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4FAA" w14:textId="17DA1FD9" w:rsidR="0008009C" w:rsidRDefault="00936FDF">
      <w:pPr>
        <w:rPr>
          <w:vanish/>
        </w:rPr>
      </w:pPr>
      <w:r>
        <w:rPr>
          <w:rFonts w:ascii="宋体" w:eastAsia="宋体" w:hAnsi="宋体" w:cs="宋体"/>
        </w:rPr>
        <w:t xml:space="preserve"> </w:t>
      </w:r>
      <w:r>
        <w:rPr>
          <w:rFonts w:ascii="宋体" w:eastAsia="宋体" w:hAnsi="宋体" w:cs="宋体"/>
          <w:vanish/>
        </w:rPr>
        <w:t xml:space="preserve">March 27, 20210000050863December </w:t>
      </w:r>
      <w:r>
        <w:rPr>
          <w:rFonts w:ascii="宋体" w:eastAsia="宋体" w:hAnsi="宋体" w:cs="宋体"/>
          <w:vanish/>
        </w:rPr>
        <w:t>252021Q1FALSE79,77877,6454,0384,0624,0384,0620.6950.660.6950.6600000508632020-12-272021-03-27xbrli:shares00000508632021-03-27iso4217:USD00000508632019-12-292020-03-280000050863us-gaap:RetainedEarningsMember2020-12-272021-03-27iso4217:USDxbrli:shares0000050</w:t>
      </w:r>
      <w:r>
        <w:rPr>
          <w:rFonts w:ascii="宋体" w:eastAsia="宋体" w:hAnsi="宋体" w:cs="宋体"/>
          <w:vanish/>
        </w:rPr>
        <w:t>8632020-12-2600000508632019-12-2800000508632020-03-280000050863srt:CumulativeEffectPeriodOfAdoptionAdjustedBalanceMemberus-gaap:CommonStockIncludingAdditionalPaidInCapitalMember2020-12-260000050863srt:CumulativeEffectPeriodOfAdoptionAdjustedBalanceMemberus</w:t>
      </w:r>
      <w:r>
        <w:rPr>
          <w:rFonts w:ascii="宋体" w:eastAsia="宋体" w:hAnsi="宋体" w:cs="宋体"/>
          <w:vanish/>
        </w:rPr>
        <w:t>-gaap:AccumulatedOtherComprehensiveIncomeMember2020-12-260000050863us-gaap:RetainedEarningsMembersrt:CumulativeEffectPeriodOfAdoptionAdjustedBalanceMember2020-12-260000050863srt:CumulativeEffectPeriodOfAdoptionAdjustedBalanceMember2020-12-260000050863us-ga</w:t>
      </w:r>
      <w:r>
        <w:rPr>
          <w:rFonts w:ascii="宋体" w:eastAsia="宋体" w:hAnsi="宋体" w:cs="宋体"/>
          <w:vanish/>
        </w:rPr>
        <w:t>ap:AccumulatedOtherComprehensiveIncomeMember2020-12-272021-03-270000050863us-gaap:CommonStockIncludingAdditionalPaidInCapitalMember2020-12-272021-03-270000050863us-gaap:CommonStockIncludingAdditionalPaidInCapitalMember2021-03-270000050863us-gaap:Accumulate</w:t>
      </w:r>
      <w:r>
        <w:rPr>
          <w:rFonts w:ascii="宋体" w:eastAsia="宋体" w:hAnsi="宋体" w:cs="宋体"/>
          <w:vanish/>
        </w:rPr>
        <w:t>dOtherComprehensiveIncomeMember2021-03-270000050863us-gaap:RetainedEarningsMember2021-03-270000050863us-gaap:CommonStockIncludingAdditionalPaidInCapitalMember2019-12-280000050863us-gaap:AccumulatedOtherComprehensiveIncomeMember2019-12-280000050863us-gaap:R</w:t>
      </w:r>
      <w:r>
        <w:rPr>
          <w:rFonts w:ascii="宋体" w:eastAsia="宋体" w:hAnsi="宋体" w:cs="宋体"/>
          <w:vanish/>
        </w:rPr>
        <w:t>etainedEarningsMember2019-12-280000050863us-gaap:RetainedEarningsMember2019-12-292020-03-280000050863us-gaap:AccumulatedOtherComprehensiveIncomeMember2019-12-292020-03-280000050863us-gaap:CommonStockIncludingAdditionalPaidInCapitalMember2019-12-292020-03-2</w:t>
      </w:r>
      <w:r>
        <w:rPr>
          <w:rFonts w:ascii="宋体" w:eastAsia="宋体" w:hAnsi="宋体" w:cs="宋体"/>
          <w:vanish/>
        </w:rPr>
        <w:t>80000050863us-gaap:CommonStockIncludingAdditionalPaidInCapitalMember2020-03-280000050863us-gaap:AccumulatedOtherComprehensiveIncomeMember2020-03-280000050863us-gaap:RetainedEarningsMember2020-03-280000050863intc:DCGPlatformMember2020-12-272021-03-270000050</w:t>
      </w:r>
      <w:r>
        <w:rPr>
          <w:rFonts w:ascii="宋体" w:eastAsia="宋体" w:hAnsi="宋体" w:cs="宋体"/>
          <w:vanish/>
        </w:rPr>
        <w:t>863intc:DCGPlatformMember2019-12-292020-03-280000050863intc:OtherProductOrServiceMemberintc:DataCenterGroupMember2020-12-272021-03-270000050863intc:OtherProductOrServiceMemberintc:DataCenterGroupMember2019-12-292020-03-280000050863intc:DataCenterGroupMembe</w:t>
      </w:r>
      <w:r>
        <w:rPr>
          <w:rFonts w:ascii="宋体" w:eastAsia="宋体" w:hAnsi="宋体" w:cs="宋体"/>
          <w:vanish/>
        </w:rPr>
        <w:t>r2020-12-272021-03-270000050863intc:DataCenterGroupMember2019-12-292020-03-280000050863intc:InternetOfThingsGroupMember2020-12-272021-03-270000050863intc:InternetOfThingsGroupMember2019-12-292020-03-280000050863intc:MobileyeMember2020-12-272021-03-27000005</w:t>
      </w:r>
      <w:r>
        <w:rPr>
          <w:rFonts w:ascii="宋体" w:eastAsia="宋体" w:hAnsi="宋体" w:cs="宋体"/>
          <w:vanish/>
        </w:rPr>
        <w:t>0863intc:MobileyeMember2019-12-292020-03-280000050863intc:InternetofThingsMember2020-12-272021-03-270000050863intc:InternetofThingsMember2019-12-292020-03-280000050863intc:NonVolatileMemorySolutionsGroupMember2020-12-272021-03-270000050863intc:NonVolatileM</w:t>
      </w:r>
      <w:r>
        <w:rPr>
          <w:rFonts w:ascii="宋体" w:eastAsia="宋体" w:hAnsi="宋体" w:cs="宋体"/>
          <w:vanish/>
        </w:rPr>
        <w:t>emorySolutionsGroupMember2019-12-292020-03-280000050863intc:ProgrammableSolutionsGroupMember2020-12-272021-03-270000050863intc:ProgrammableSolutionsGroupMember2019-12-292020-03-280000050863intc:ClientComputingGroupMemberintc:PlatformMember2020-12-272021-03</w:t>
      </w:r>
      <w:r>
        <w:rPr>
          <w:rFonts w:ascii="宋体" w:eastAsia="宋体" w:hAnsi="宋体" w:cs="宋体"/>
          <w:vanish/>
        </w:rPr>
        <w:t>-270000050863intc:ClientComputingGroupMemberintc:PlatformMember2019-12-292020-03-280000050863intc:ClientComputingGroupMemberintc:OtherProductOrServiceMember2020-12-272021-03-270000050863intc:ClientComputingGroupMemberintc:OtherProductOrServiceMember2019-12</w:t>
      </w:r>
      <w:r>
        <w:rPr>
          <w:rFonts w:ascii="宋体" w:eastAsia="宋体" w:hAnsi="宋体" w:cs="宋体"/>
          <w:vanish/>
        </w:rPr>
        <w:t>-292020-03-280000050863intc:ClientComputingGroupMember2020-12-272021-03-270000050863intc:ClientComputingGroupMember2019-12-292020-03-280000050863us-gaap:AllOtherSegmentsMember2020-12-272021-03-270000050863us-gaap:AllOtherSegmentsMember2019-12-292020-03-280</w:t>
      </w:r>
      <w:r>
        <w:rPr>
          <w:rFonts w:ascii="宋体" w:eastAsia="宋体" w:hAnsi="宋体" w:cs="宋体"/>
          <w:vanish/>
        </w:rPr>
        <w:t>000050863intc:IOTGPlatformMember2020-12-272021-03-270000050863intc:IOTGPlatformMember2019-12-292020-03-280000050863intc:DesktopPlatformMember2020-12-272021-03-270000050863intc:DesktopPlatformMember2019-12-292020-03-280000050863intc:NotebookPlatformMember20</w:t>
      </w:r>
      <w:r>
        <w:rPr>
          <w:rFonts w:ascii="宋体" w:eastAsia="宋体" w:hAnsi="宋体" w:cs="宋体"/>
          <w:vanish/>
        </w:rPr>
        <w:t>20-12-272021-03-270000050863intc:NotebookPlatformMember2019-12-292020-03-280000050863intc:OtherPlatformMember2020-12-272021-03-270000050863intc:OtherPlatformMember2019-12-292020-03-280000050863intc:PlatformMember2020-12-272021-03-270000050863intc:PlatformM</w:t>
      </w:r>
      <w:r>
        <w:rPr>
          <w:rFonts w:ascii="宋体" w:eastAsia="宋体" w:hAnsi="宋体" w:cs="宋体"/>
          <w:vanish/>
        </w:rPr>
        <w:t>ember2019-12-292020-03-280000050863intc:OtherProductOrServiceMember2020-12-272021-03-270000050863intc:OtherProductOrServiceMember2019-12-292020-03-280000050863intc:PrepaidSupplyAgreementsMember2020-12-260000050863intc:PrepaidSupplyAgreementsMember2020-12-2</w:t>
      </w:r>
      <w:r>
        <w:rPr>
          <w:rFonts w:ascii="宋体" w:eastAsia="宋体" w:hAnsi="宋体" w:cs="宋体"/>
          <w:vanish/>
        </w:rPr>
        <w:t>72021-03-270000050863intc:PrepaidSupplyAgreementsMember2021-03-270000050863us-gaap:DebtSecuritiesMember2020-12-272021-03-270000050863us-gaap:DebtSecuritiesMember2019-12-292020-03-280000050863intc:BejingUnisocTechnologyLtdMember2020-12-272021-03-27000005086</w:t>
      </w:r>
      <w:r>
        <w:rPr>
          <w:rFonts w:ascii="宋体" w:eastAsia="宋体" w:hAnsi="宋体" w:cs="宋体"/>
          <w:vanish/>
        </w:rPr>
        <w:t>3intc:BejingUnisocTechnologyLtdMember2021-03-270000050863intc:BejingUnisocTechnologyLtdMember2020-12-2600000508632020-10-192020-10-190000050863srt:ScenarioForecastMember2021-11-012021-11-010000050863srt:ScenarioForecastMember2025-03-012025-03-310000050863s</w:t>
      </w:r>
      <w:r>
        <w:rPr>
          <w:rFonts w:ascii="宋体" w:eastAsia="宋体" w:hAnsi="宋体" w:cs="宋体"/>
          <w:vanish/>
        </w:rPr>
        <w:t>rt:ScenarioForecastMember2021-03-282021-10-310000050863us-gaap:RevolvingCreditFacilityMemberintc:VariableRateRevolvingCreditFacilityMember2021-03-270000050863us-gaap:CommercialPaperMember2021-03-270000050863us-gaap:FairValueMeasurementsRecurringMemberus-ga</w:t>
      </w:r>
      <w:r>
        <w:rPr>
          <w:rFonts w:ascii="宋体" w:eastAsia="宋体" w:hAnsi="宋体" w:cs="宋体"/>
          <w:vanish/>
        </w:rPr>
        <w:t>ap:FairValueInputsLevel1Memberus-gaap:CashEquivalentsMemberus-gaap:CorporateDebtSecuritiesMember2021-03-270000050863us-gaap:FairValueMeasurementsRecurringMemberus-gaap:CashEquivalentsMemberus-gaap:CorporateDebtSecuritiesMemberus-gaap:FairValueInputsLevel2M</w:t>
      </w:r>
      <w:r>
        <w:rPr>
          <w:rFonts w:ascii="宋体" w:eastAsia="宋体" w:hAnsi="宋体" w:cs="宋体"/>
          <w:vanish/>
        </w:rPr>
        <w:t>ember2021-03-270000050863us-gaap:FairValueMeasurementsRecurringMemberus-gaap:FairValueInputsLevel3Memberus-gaap:CashEquivalentsMemberus-gaap:CorporateDebtSecuritiesMember2021-03-270000050863us-gaap:FairValueMeasurementsRecurringMemberus-gaap:CashEquivalent</w:t>
      </w:r>
      <w:r>
        <w:rPr>
          <w:rFonts w:ascii="宋体" w:eastAsia="宋体" w:hAnsi="宋体" w:cs="宋体"/>
          <w:vanish/>
        </w:rPr>
        <w:t>sMemberus-gaap:CorporateDebtSecuritiesMember2021-03-270000050863us-gaap:FairValueMeasurementsRecurringMemberus-gaap:FairValueInputsLevel1Memberus-gaap:CashEquivalentsMemberus-gaap:CorporateDebtSecuritiesMember2020-12-260000050863us-gaap:FairValueMeasuremen</w:t>
      </w:r>
      <w:r>
        <w:rPr>
          <w:rFonts w:ascii="宋体" w:eastAsia="宋体" w:hAnsi="宋体" w:cs="宋体"/>
          <w:vanish/>
        </w:rPr>
        <w:t>tsRecurringMemberus-gaap:CashEquivalentsMemberus-gaap:CorporateDebtSecuritiesMemberus-gaap:FairValueInputsLevel2Member2020-12-260000050863us-gaap:FairValueMeasurementsRecurringMemberus-gaap:FairValueInputsLevel3Memberus-gaap:CashEquivalentsMemberus-gaap:Co</w:t>
      </w:r>
      <w:r>
        <w:rPr>
          <w:rFonts w:ascii="宋体" w:eastAsia="宋体" w:hAnsi="宋体" w:cs="宋体"/>
          <w:vanish/>
        </w:rPr>
        <w:t>rporateDebtSecuritiesMember2020-12-260000050863us-gaap:FairValueMeasurementsRecurringMemberus-gaap:CashEquivalentsMemberus-gaap:CorporateDebtSecuritiesMember2020-12-260000050863us-gaap:FairValueMeasurementsRecurringMemberus-gaap:FairValueInputsLevel1Member</w:t>
      </w:r>
      <w:r>
        <w:rPr>
          <w:rFonts w:ascii="宋体" w:eastAsia="宋体" w:hAnsi="宋体" w:cs="宋体"/>
          <w:vanish/>
        </w:rPr>
        <w:t>us-gaap:CashEquivalentsMemberus-gaap:FixedIncomeSecuritiesMember2021-03-270000050863us-gaap:FairValueMeasurementsRecurringMemberus-gaap:CashEquivalentsMemberus-gaap:FixedIncomeSecuritiesMemberus-gaap:FairValueInputsLevel2Member2021-03-270000050863us-gaap:F</w:t>
      </w:r>
      <w:r>
        <w:rPr>
          <w:rFonts w:ascii="宋体" w:eastAsia="宋体" w:hAnsi="宋体" w:cs="宋体"/>
          <w:vanish/>
        </w:rPr>
        <w:t>airValueMeasurementsRecurringMemberus-gaap:FairValueInputsLevel3Memberus-gaap:CashEquivalentsMemberus-gaap:FixedIncomeSecuritiesMember2021-03-270000050863us-gaap:FairValueMeasurementsRecurringMemberus-gaap:CashEquivalentsMemberus-gaap:FixedIncomeSecurities</w:t>
      </w:r>
      <w:r>
        <w:rPr>
          <w:rFonts w:ascii="宋体" w:eastAsia="宋体" w:hAnsi="宋体" w:cs="宋体"/>
          <w:vanish/>
        </w:rPr>
        <w:t>Member2021-03-270000050863us-gaap:FairValueMeasurementsRecurringMemberus-gaap:FairValueInputsLevel1Memberus-gaap:CashEquivalentsMemberus-gaap:FixedIncomeSecuritiesMember2020-12-260000050863us-gaap:FairValueMeasurementsRecurringMemberus-gaap:CashEquivalents</w:t>
      </w:r>
      <w:r>
        <w:rPr>
          <w:rFonts w:ascii="宋体" w:eastAsia="宋体" w:hAnsi="宋体" w:cs="宋体"/>
          <w:vanish/>
        </w:rPr>
        <w:t>Memberus-gaap:FixedIncomeSecuritiesMemberus-gaap:FairValueInputsLevel2Member2020-12-260000050863us-gaap:FairValueMeasurementsRecurringMemberus-gaap:FairValueInputsLevel3Memberus-gaap:CashEquivalentsMemberus-gaap:FixedIncomeSecuritiesMember2020-12-260000050</w:t>
      </w:r>
      <w:r>
        <w:rPr>
          <w:rFonts w:ascii="宋体" w:eastAsia="宋体" w:hAnsi="宋体" w:cs="宋体"/>
          <w:vanish/>
        </w:rPr>
        <w:t>863us-gaap:FairValueMeasurementsRecurringMemberus-gaap:CashEquivalentsMemberus-gaap:FixedIncomeSecuritiesMember2020-12-260000050863us-gaap:FairValueMeasurementsRecurringMemberus-gaap:FairValueInputsLevel1Memberus-gaap:CashEquivalentsMemberintc:GovernmentDe</w:t>
      </w:r>
      <w:r>
        <w:rPr>
          <w:rFonts w:ascii="宋体" w:eastAsia="宋体" w:hAnsi="宋体" w:cs="宋体"/>
          <w:vanish/>
        </w:rPr>
        <w:t>btSecuritiesMember2021-03-270000050863us-gaap:FairValueMeasurementsRecurringMemberus-gaap:CashEquivalentsMemberus-gaap:FairValueInputsLevel2Memberintc:GovernmentDebtSecuritiesMember2021-03-270000050863us-gaap:FairValueMeasurementsRecurringMemberus-gaap:Fai</w:t>
      </w:r>
      <w:r>
        <w:rPr>
          <w:rFonts w:ascii="宋体" w:eastAsia="宋体" w:hAnsi="宋体" w:cs="宋体"/>
          <w:vanish/>
        </w:rPr>
        <w:t>rValueInputsLevel3Memberus-gaap:CashEquivalentsMemberintc:GovernmentDebtSecuritiesMember2021-03-270000050863us-gaap:FairValueMeasurementsRecurringMemberus-gaap:CashEquivalentsMemberintc:GovernmentDebtSecuritiesMember2021-03-270000050863us-gaap:FairValueMea</w:t>
      </w:r>
      <w:r>
        <w:rPr>
          <w:rFonts w:ascii="宋体" w:eastAsia="宋体" w:hAnsi="宋体" w:cs="宋体"/>
          <w:vanish/>
        </w:rPr>
        <w:t>surementsRecurringMemberus-gaap:FairValueInputsLevel1Memberus-gaap:CashEquivalentsMemberintc:GovernmentDebtSecuritiesMember2020-12-260000050863us-gaap:FairValueMeasurementsRecurringMemberus-gaap:CashEquivalentsMemberus-gaap:FairValueInputsLevel2Memberintc:</w:t>
      </w:r>
      <w:r>
        <w:rPr>
          <w:rFonts w:ascii="宋体" w:eastAsia="宋体" w:hAnsi="宋体" w:cs="宋体"/>
          <w:vanish/>
        </w:rPr>
        <w:t>GovernmentDebtSecuritiesMember2020-12-260000050863us-gaap:FairValueMeasurementsRecurringMemberus-gaap:FairValueInputsLevel3Memberus-gaap:CashEquivalentsMemberintc:GovernmentDebtSecuritiesMember2020-12-260000050863us-gaap:FairValueMeasurementsRecurringMembe</w:t>
      </w:r>
      <w:r>
        <w:rPr>
          <w:rFonts w:ascii="宋体" w:eastAsia="宋体" w:hAnsi="宋体" w:cs="宋体"/>
          <w:vanish/>
        </w:rPr>
        <w:t>rus-gaap:CashEquivalentsMemberintc:GovernmentDebtSecuritiesMember2020-12-260000050863us-gaap:FairValueMeasurementsRecurringMemberus-gaap:FairValueInputsLevel1Memberus-gaap:CashEquivalentsMember2021-03-270000050863us-gaap:FairValueMeasurementsRecurringMembe</w:t>
      </w:r>
      <w:r>
        <w:rPr>
          <w:rFonts w:ascii="宋体" w:eastAsia="宋体" w:hAnsi="宋体" w:cs="宋体"/>
          <w:vanish/>
        </w:rPr>
        <w:t>rus-gaap:CashEquivalentsMemberus-gaap:FairValueInputsLevel2Member2021-03-270000050863us-gaap:FairValueMeasurementsRecurringMemberus-gaap:FairValueInputsLevel3Memberus-gaap:CashEquivalentsMember2021-03-270000050863us-gaap:FairValueMeasurementsRecurringMembe</w:t>
      </w:r>
      <w:r>
        <w:rPr>
          <w:rFonts w:ascii="宋体" w:eastAsia="宋体" w:hAnsi="宋体" w:cs="宋体"/>
          <w:vanish/>
        </w:rPr>
        <w:t>rus-gaap:CashEquivalentsMember2021-03-270000050863us-gaap:FairValueMeasurementsRecurringMemberus-gaap:FairValueInputsLevel1Memberus-gaap:CashEquivalentsMember2020-12-260000050863us-gaap:FairValueMeasurementsRecurringMemberus-gaap:CashEquivalentsMemberus-ga</w:t>
      </w:r>
      <w:r>
        <w:rPr>
          <w:rFonts w:ascii="宋体" w:eastAsia="宋体" w:hAnsi="宋体" w:cs="宋体"/>
          <w:vanish/>
        </w:rPr>
        <w:t>ap:FairValueInputsLevel2Member2020-12-260000050863us-gaap:FairValueMeasurementsRecurringMemberus-gaap:FairValueInputsLevel3Memberus-gaap:CashEquivalentsMember2020-12-260000050863us-gaap:FairValueMeasurementsRecurringMemberus-gaap:CashEquivalentsMember2020-</w:t>
      </w:r>
      <w:r>
        <w:rPr>
          <w:rFonts w:ascii="宋体" w:eastAsia="宋体" w:hAnsi="宋体" w:cs="宋体"/>
          <w:vanish/>
        </w:rPr>
        <w:t>12-260000050863us-gaap:ShortTermInvestmentsMemberus-gaap:FairValueMeasurementsRecurringMemberus-gaap:FairValueInputsLevel1Memberus-gaap:CorporateDebtSecuritiesMember2021-03-270000050863us-gaap:ShortTermInvestmentsMemberus-gaap:FairValueMeasurementsRecurrin</w:t>
      </w:r>
      <w:r>
        <w:rPr>
          <w:rFonts w:ascii="宋体" w:eastAsia="宋体" w:hAnsi="宋体" w:cs="宋体"/>
          <w:vanish/>
        </w:rPr>
        <w:t>gMemberus-gaap:CorporateDebtSecuritiesMemberus-gaap:FairValueInputsLevel2Member2021-03-270000050863us-gaap:ShortTermInvestmentsMemberus-gaap:FairValueMeasurementsRecurringMemberus-gaap:FairValueInputsLevel3Memberus-gaap:CorporateDebtSecuritiesMember2021-03</w:t>
      </w:r>
      <w:r>
        <w:rPr>
          <w:rFonts w:ascii="宋体" w:eastAsia="宋体" w:hAnsi="宋体" w:cs="宋体"/>
          <w:vanish/>
        </w:rPr>
        <w:t>-270000050863us-gaap:ShortTermInvestmentsMemberus-gaap:FairValueMeasurementsRecurringMemberus-gaap:CorporateDebtSecuritiesMember2021-03-270000050863us-gaap:ShortTermInvestmentsMemberus-gaap:FairValueMeasurementsRecurringMemberus-gaap:FairValueInputsLevel1M</w:t>
      </w:r>
      <w:r>
        <w:rPr>
          <w:rFonts w:ascii="宋体" w:eastAsia="宋体" w:hAnsi="宋体" w:cs="宋体"/>
          <w:vanish/>
        </w:rPr>
        <w:t>emberus-gaap:CorporateDebtSecuritiesMember2020-12-260000050863us-gaap:ShortTermInvestmentsMemberus-gaap:FairValueMeasurementsRecurringMemberus-gaap:CorporateDebtSecuritiesMemberus-gaap:FairValueInputsLevel2Member2020-12-260000050863us-gaap:ShortTermInvestm</w:t>
      </w:r>
      <w:r>
        <w:rPr>
          <w:rFonts w:ascii="宋体" w:eastAsia="宋体" w:hAnsi="宋体" w:cs="宋体"/>
          <w:vanish/>
        </w:rPr>
        <w:t>entsMemberus-gaap:FairValueMeasurementsRecurringMemberus-gaap:FairValueInputsLevel3Memberus-gaap:CorporateDebtSecuritiesMember2020-12-260000050863us-gaap:ShortTermInvestmentsMemberus-gaap:FairValueMeasurementsRecurringMemberus-gaap:CorporateDebtSecuritiesM</w:t>
      </w:r>
      <w:r>
        <w:rPr>
          <w:rFonts w:ascii="宋体" w:eastAsia="宋体" w:hAnsi="宋体" w:cs="宋体"/>
          <w:vanish/>
        </w:rPr>
        <w:t>ember2020-12-260000050863us-gaap:ShortTermInvestmentsMemberus-gaap:FairValueMeasurementsRecurringMemberus-gaap:FairValueInputsLevel1Memberus-gaap:FixedIncomeSecuritiesMember2021-03-270000050863us-gaap:ShortTermInvestmentsMemberus-gaap:FairValueMeasurements</w:t>
      </w:r>
      <w:r>
        <w:rPr>
          <w:rFonts w:ascii="宋体" w:eastAsia="宋体" w:hAnsi="宋体" w:cs="宋体"/>
          <w:vanish/>
        </w:rPr>
        <w:t>RecurringMemberus-gaap:FixedIncomeSecuritiesMemberus-gaap:FairValueInputsLevel2Member2021-03-270000050863us-gaap:ShortTermInvestmentsMemberus-gaap:FairValueMeasurementsRecurringMemberus-gaap:FairValueInputsLevel3Memberus-gaap:FixedIncomeSecuritiesMember202</w:t>
      </w:r>
      <w:r>
        <w:rPr>
          <w:rFonts w:ascii="宋体" w:eastAsia="宋体" w:hAnsi="宋体" w:cs="宋体"/>
          <w:vanish/>
        </w:rPr>
        <w:t>1-03-270000050863us-gaap:ShortTermInvestmentsMemberus-gaap:FairValueMeasurementsRecurringMemberus-gaap:FixedIncomeSecuritiesMember2021-03-270000050863us-gaap:ShortTermInvestmentsMemberus-gaap:FairValueMeasurementsRecurringMemberus-gaap:FairValueInputsLevel</w:t>
      </w:r>
      <w:r>
        <w:rPr>
          <w:rFonts w:ascii="宋体" w:eastAsia="宋体" w:hAnsi="宋体" w:cs="宋体"/>
          <w:vanish/>
        </w:rPr>
        <w:t>1Memberus-gaap:FixedIncomeSecuritiesMember2020-12-260000050863us-gaap:ShortTermInvestmentsMemberus-gaap:FairValueMeasurementsRecurringMemberus-gaap:FixedIncomeSecuritiesMemberus-gaap:FairValueInputsLevel2Member2020-12-260000050863us-gaap:ShortTermInvestmen</w:t>
      </w:r>
      <w:r>
        <w:rPr>
          <w:rFonts w:ascii="宋体" w:eastAsia="宋体" w:hAnsi="宋体" w:cs="宋体"/>
          <w:vanish/>
        </w:rPr>
        <w:t>tsMemberus-gaap:FairValueMeasurementsRecurringMemberus-gaap:FairValueInputsLevel3Memberus-gaap:FixedIncomeSecuritiesMember2020-12-260000050863us-gaap:ShortTermInvestmentsMemberus-gaap:FairValueMeasurementsRecurringMemberus-gaap:FixedIncomeSecuritiesMember2</w:t>
      </w:r>
      <w:r>
        <w:rPr>
          <w:rFonts w:ascii="宋体" w:eastAsia="宋体" w:hAnsi="宋体" w:cs="宋体"/>
          <w:vanish/>
        </w:rPr>
        <w:t>020-12-260000050863us-gaap:ShortTermInvestmentsMemberus-gaap:FairValueMeasurementsRecurringMemberus-gaap:FairValueInputsLevel1Memberintc:GovernmentDebtSecuritiesMember2021-03-270000050863us-gaap:ShortTermInvestmentsMemberus-gaap:FairValueMeasurementsRecurr</w:t>
      </w:r>
      <w:r>
        <w:rPr>
          <w:rFonts w:ascii="宋体" w:eastAsia="宋体" w:hAnsi="宋体" w:cs="宋体"/>
          <w:vanish/>
        </w:rPr>
        <w:t>ingMemberus-gaap:FairValueInputsLevel2Memberintc:GovernmentDebtSecuritiesMember2021-03-270000050863us-gaap:ShortTermInvestmentsMemberus-gaap:FairValueMeasurementsRecurringMemberus-gaap:FairValueInputsLevel3Memberintc:GovernmentDebtSecuritiesMember2021-03-2</w:t>
      </w:r>
      <w:r>
        <w:rPr>
          <w:rFonts w:ascii="宋体" w:eastAsia="宋体" w:hAnsi="宋体" w:cs="宋体"/>
          <w:vanish/>
        </w:rPr>
        <w:t>70000050863us-gaap:ShortTermInvestmentsMemberus-gaap:FairValueMeasurementsRecurringMemberintc:GovernmentDebtSecuritiesMember2021-03-270000050863us-gaap:ShortTermInvestmentsMemberus-gaap:FairValueMeasurementsRecurringMemberus-gaap:FairValueInputsLevel1Membe</w:t>
      </w:r>
      <w:r>
        <w:rPr>
          <w:rFonts w:ascii="宋体" w:eastAsia="宋体" w:hAnsi="宋体" w:cs="宋体"/>
          <w:vanish/>
        </w:rPr>
        <w:t>rintc:GovernmentDebtSecuritiesMember2020-12-260000050863us-gaap:ShortTermInvestmentsMemberus-gaap:FairValueMeasurementsRecurringMemberus-gaap:FairValueInputsLevel2Memberintc:GovernmentDebtSecuritiesMember2020-12-260000050863us-gaap:ShortTermInvestmentsMemb</w:t>
      </w:r>
      <w:r>
        <w:rPr>
          <w:rFonts w:ascii="宋体" w:eastAsia="宋体" w:hAnsi="宋体" w:cs="宋体"/>
          <w:vanish/>
        </w:rPr>
        <w:t>erus-gaap:FairValueMeasurementsRecurringMemberus-gaap:FairValueInputsLevel3Memberintc:GovernmentDebtSecuritiesMember2020-12-260000050863us-gaap:ShortTermInvestmentsMemberus-gaap:FairValueMeasurementsRecurringMemberintc:GovernmentDebtSecuritiesMember2020-12</w:t>
      </w:r>
      <w:r>
        <w:rPr>
          <w:rFonts w:ascii="宋体" w:eastAsia="宋体" w:hAnsi="宋体" w:cs="宋体"/>
          <w:vanish/>
        </w:rPr>
        <w:t>-260000050863us-gaap:FairValueMeasurementsRecurringMemberus-gaap:FairValueInputsLevel1Memberus-gaap:CorporateDebtSecuritiesMember2021-03-270000050863us-gaap:FairValueMeasurementsRecurringMemberus-gaap:CorporateDebtSecuritiesMemberus-gaap:FairValueInputsLev</w:t>
      </w:r>
      <w:r>
        <w:rPr>
          <w:rFonts w:ascii="宋体" w:eastAsia="宋体" w:hAnsi="宋体" w:cs="宋体"/>
          <w:vanish/>
        </w:rPr>
        <w:t>el2Member2021-03-270000050863us-gaap:FairValueMeasurementsRecurringMemberus-gaap:FairValueInputsLevel3Memberus-gaap:CorporateDebtSecuritiesMember2021-03-270000050863us-gaap:FairValueMeasurementsRecurringMemberus-gaap:CorporateDebtSecuritiesMember2021-03-27</w:t>
      </w:r>
      <w:r>
        <w:rPr>
          <w:rFonts w:ascii="宋体" w:eastAsia="宋体" w:hAnsi="宋体" w:cs="宋体"/>
          <w:vanish/>
        </w:rPr>
        <w:t>0000050863us-gaap:FairValueMeasurementsRecurringMemberus-gaap:FairValueInputsLevel1Memberus-gaap:CorporateDebtSecuritiesMember2020-12-260000050863us-gaap:FairValueMeasurementsRecurringMemberus-gaap:CorporateDebtSecuritiesMemberus-gaap:FairValueInputsLevel2</w:t>
      </w:r>
      <w:r>
        <w:rPr>
          <w:rFonts w:ascii="宋体" w:eastAsia="宋体" w:hAnsi="宋体" w:cs="宋体"/>
          <w:vanish/>
        </w:rPr>
        <w:t>Member2020-12-260000050863us-gaap:FairValueMeasurementsRecurringMemberus-gaap:FairValueInputsLevel3Memberus-gaap:CorporateDebtSecuritiesMember2020-12-260000050863us-gaap:FairValueMeasurementsRecurringMemberus-gaap:CorporateDebtSecuritiesMember2020-12-26000</w:t>
      </w:r>
      <w:r>
        <w:rPr>
          <w:rFonts w:ascii="宋体" w:eastAsia="宋体" w:hAnsi="宋体" w:cs="宋体"/>
          <w:vanish/>
        </w:rPr>
        <w:t>0050863us-gaap:FairValueMeasurementsRecurringMemberus-gaap:FairValueInputsLevel1Memberus-gaap:FixedIncomeSecuritiesMember2021-03-270000050863us-gaap:FairValueMeasurementsRecurringMemberus-gaap:FixedIncomeSecuritiesMemberus-gaap:FairValueInputsLevel2Member2</w:t>
      </w:r>
      <w:r>
        <w:rPr>
          <w:rFonts w:ascii="宋体" w:eastAsia="宋体" w:hAnsi="宋体" w:cs="宋体"/>
          <w:vanish/>
        </w:rPr>
        <w:t>021-03-270000050863us-gaap:FairValueMeasurementsRecurringMemberus-gaap:FairValueInputsLevel3Memberus-gaap:FixedIncomeSecuritiesMember2021-03-270000050863us-gaap:FairValueMeasurementsRecurringMemberus-gaap:FixedIncomeSecuritiesMember2021-03-270000050863us-g</w:t>
      </w:r>
      <w:r>
        <w:rPr>
          <w:rFonts w:ascii="宋体" w:eastAsia="宋体" w:hAnsi="宋体" w:cs="宋体"/>
          <w:vanish/>
        </w:rPr>
        <w:t>aap:FairValueMeasurementsRecurringMemberus-gaap:FairValueInputsLevel1Memberus-gaap:FixedIncomeSecuritiesMember2020-12-260000050863us-gaap:FairValueMeasurementsRecurringMemberus-gaap:FixedIncomeSecuritiesMemberus-gaap:FairValueInputsLevel2Member2020-12-2600</w:t>
      </w:r>
      <w:r>
        <w:rPr>
          <w:rFonts w:ascii="宋体" w:eastAsia="宋体" w:hAnsi="宋体" w:cs="宋体"/>
          <w:vanish/>
        </w:rPr>
        <w:t>00050863us-gaap:FairValueMeasurementsRecurringMemberus-gaap:FairValueInputsLevel3Memberus-gaap:FixedIncomeSecuritiesMember2020-12-260000050863us-gaap:FairValueMeasurementsRecurringMemberus-gaap:FixedIncomeSecuritiesMember2020-12-260000050863us-gaap:FairVal</w:t>
      </w:r>
      <w:r>
        <w:rPr>
          <w:rFonts w:ascii="宋体" w:eastAsia="宋体" w:hAnsi="宋体" w:cs="宋体"/>
          <w:vanish/>
        </w:rPr>
        <w:t>ueMeasurementsRecurringMemberus-gaap:FairValueInputsLevel1Memberintc:GovernmentDebtSecuritiesMember2021-03-270000050863us-gaap:FairValueMeasurementsRecurringMemberus-gaap:FairValueInputsLevel2Memberintc:GovernmentDebtSecuritiesMember2021-03-270000050863us-</w:t>
      </w:r>
      <w:r>
        <w:rPr>
          <w:rFonts w:ascii="宋体" w:eastAsia="宋体" w:hAnsi="宋体" w:cs="宋体"/>
          <w:vanish/>
        </w:rPr>
        <w:t>gaap:FairValueMeasurementsRecurringMemberus-gaap:FairValueInputsLevel3Memberintc:GovernmentDebtSecuritiesMember2021-03-270000050863us-gaap:FairValueMeasurementsRecurringMemberintc:GovernmentDebtSecuritiesMember2021-03-270000050863us-gaap:FairValueMeasureme</w:t>
      </w:r>
      <w:r>
        <w:rPr>
          <w:rFonts w:ascii="宋体" w:eastAsia="宋体" w:hAnsi="宋体" w:cs="宋体"/>
          <w:vanish/>
        </w:rPr>
        <w:t>ntsRecurringMemberus-gaap:FairValueInputsLevel1Memberintc:GovernmentDebtSecuritiesMember2020-12-260000050863us-gaap:FairValueMeasurementsRecurringMemberus-gaap:FairValueInputsLevel2Memberintc:GovernmentDebtSecuritiesMember2020-12-260000050863us-gaap:FairVa</w:t>
      </w:r>
      <w:r>
        <w:rPr>
          <w:rFonts w:ascii="宋体" w:eastAsia="宋体" w:hAnsi="宋体" w:cs="宋体"/>
          <w:vanish/>
        </w:rPr>
        <w:t>lueMeasurementsRecurringMemberus-gaap:FairValueInputsLevel3Memberintc:GovernmentDebtSecuritiesMember2020-12-260000050863us-gaap:FairValueMeasurementsRecurringMemberintc:GovernmentDebtSecuritiesMember2020-12-260000050863us-gaap:OtherCurrentAssetsMemberus-ga</w:t>
      </w:r>
      <w:r>
        <w:rPr>
          <w:rFonts w:ascii="宋体" w:eastAsia="宋体" w:hAnsi="宋体" w:cs="宋体"/>
          <w:vanish/>
        </w:rPr>
        <w:t>ap:FairValueMeasurementsRecurringMemberus-gaap:FairValueInputsLevel1Member2021-03-270000050863us-gaap:OtherCurrentAssetsMemberus-gaap:FairValueMeasurementsRecurringMemberus-gaap:FairValueInputsLevel2Member2021-03-270000050863us-gaap:OtherCurrentAssetsMembe</w:t>
      </w:r>
      <w:r>
        <w:rPr>
          <w:rFonts w:ascii="宋体" w:eastAsia="宋体" w:hAnsi="宋体" w:cs="宋体"/>
          <w:vanish/>
        </w:rPr>
        <w:t>rus-gaap:FairValueMeasurementsRecurringMemberus-gaap:FairValueInputsLevel3Member2021-03-270000050863us-gaap:OtherCurrentAssetsMemberus-gaap:FairValueMeasurementsRecurringMember2021-03-270000050863us-gaap:OtherCurrentAssetsMemberus-gaap:FairValueMeasurement</w:t>
      </w:r>
      <w:r>
        <w:rPr>
          <w:rFonts w:ascii="宋体" w:eastAsia="宋体" w:hAnsi="宋体" w:cs="宋体"/>
          <w:vanish/>
        </w:rPr>
        <w:t>sRecurringMemberus-gaap:FairValueInputsLevel1Member2020-12-260000050863us-gaap:OtherCurrentAssetsMemberus-gaap:FairValueMeasurementsRecurringMemberus-gaap:FairValueInputsLevel2Member2020-12-260000050863us-gaap:OtherCurrentAssetsMemberus-gaap:FairValueMeasu</w:t>
      </w:r>
      <w:r>
        <w:rPr>
          <w:rFonts w:ascii="宋体" w:eastAsia="宋体" w:hAnsi="宋体" w:cs="宋体"/>
          <w:vanish/>
        </w:rPr>
        <w:t>rementsRecurringMemberus-gaap:FairValueInputsLevel3Member2020-12-260000050863us-gaap:OtherCurrentAssetsMemberus-gaap:FairValueMeasurementsRecurringMember2020-12-260000050863us-gaap:FairValueMeasurementsRecurringMemberus-gaap:FairValueInputsLevel1Memberus-g</w:t>
      </w:r>
      <w:r>
        <w:rPr>
          <w:rFonts w:ascii="宋体" w:eastAsia="宋体" w:hAnsi="宋体" w:cs="宋体"/>
          <w:vanish/>
        </w:rPr>
        <w:t>aap:EquitySecuritiesMember2021-03-270000050863us-gaap:FairValueMeasurementsRecurringMemberus-gaap:EquitySecuritiesMemberus-gaap:FairValueInputsLevel2Member2021-03-270000050863us-gaap:FairValueMeasurementsRecurringMemberus-gaap:FairValueInputsLevel3Memberus</w:t>
      </w:r>
      <w:r>
        <w:rPr>
          <w:rFonts w:ascii="宋体" w:eastAsia="宋体" w:hAnsi="宋体" w:cs="宋体"/>
          <w:vanish/>
        </w:rPr>
        <w:t>-gaap:EquitySecuritiesMember2021-03-270000050863us-gaap:FairValueMeasurementsRecurringMemberus-gaap:EquitySecuritiesMember2021-03-270000050863us-gaap:FairValueMeasurementsRecurringMemberus-gaap:FairValueInputsLevel1Memberus-gaap:EquitySecuritiesMember2020-</w:t>
      </w:r>
      <w:r>
        <w:rPr>
          <w:rFonts w:ascii="宋体" w:eastAsia="宋体" w:hAnsi="宋体" w:cs="宋体"/>
          <w:vanish/>
        </w:rPr>
        <w:t>12-260000050863us-gaap:FairValueMeasurementsRecurringMemberus-gaap:EquitySecuritiesMemberus-gaap:FairValueInputsLevel2Member2020-12-260000050863us-gaap:FairValueMeasurementsRecurringMemberus-gaap:FairValueInputsLevel3Memberus-gaap:EquitySecuritiesMember202</w:t>
      </w:r>
      <w:r>
        <w:rPr>
          <w:rFonts w:ascii="宋体" w:eastAsia="宋体" w:hAnsi="宋体" w:cs="宋体"/>
          <w:vanish/>
        </w:rPr>
        <w:t>0-12-260000050863us-gaap:FairValueMeasurementsRecurringMemberus-gaap:EquitySecuritiesMember2020-12-260000050863us-gaap:FairValueMeasurementsRecurringMemberus-gaap:FairValueInputsLevel1Memberus-gaap:CorporateDebtSecuritiesMemberus-gaap:OtherLongTermInvestme</w:t>
      </w:r>
      <w:r>
        <w:rPr>
          <w:rFonts w:ascii="宋体" w:eastAsia="宋体" w:hAnsi="宋体" w:cs="宋体"/>
          <w:vanish/>
        </w:rPr>
        <w:t>ntsMember2021-03-270000050863us-gaap:FairValueMeasurementsRecurringMemberus-gaap:CorporateDebtSecuritiesMemberus-gaap:OtherLongTermInvestmentsMemberus-gaap:FairValueInputsLevel2Member2021-03-270000050863us-gaap:FairValueMeasurementsRecurringMemberus-gaap:F</w:t>
      </w:r>
      <w:r>
        <w:rPr>
          <w:rFonts w:ascii="宋体" w:eastAsia="宋体" w:hAnsi="宋体" w:cs="宋体"/>
          <w:vanish/>
        </w:rPr>
        <w:t>airValueInputsLevel3Memberus-gaap:CorporateDebtSecuritiesMemberus-gaap:OtherLongTermInvestmentsMember2021-03-270000050863us-gaap:FairValueMeasurementsRecurringMemberus-gaap:CorporateDebtSecuritiesMemberus-gaap:OtherLongTermInvestmentsMember2021-03-27000005</w:t>
      </w:r>
      <w:r>
        <w:rPr>
          <w:rFonts w:ascii="宋体" w:eastAsia="宋体" w:hAnsi="宋体" w:cs="宋体"/>
          <w:vanish/>
        </w:rPr>
        <w:t>0863us-gaap:FairValueMeasurementsRecurringMemberus-gaap:FairValueInputsLevel1Memberus-gaap:CorporateDebtSecuritiesMemberus-gaap:OtherLongTermInvestmentsMember2020-12-260000050863us-gaap:FairValueMeasurementsRecurringMemberus-gaap:CorporateDebtSecuritiesMem</w:t>
      </w:r>
      <w:r>
        <w:rPr>
          <w:rFonts w:ascii="宋体" w:eastAsia="宋体" w:hAnsi="宋体" w:cs="宋体"/>
          <w:vanish/>
        </w:rPr>
        <w:t>berus-gaap:OtherLongTermInvestmentsMemberus-gaap:FairValueInputsLevel2Member2020-12-260000050863us-gaap:FairValueMeasurementsRecurringMemberus-gaap:FairValueInputsLevel3Memberus-gaap:CorporateDebtSecuritiesMemberus-gaap:OtherLongTermInvestmentsMember2020-1</w:t>
      </w:r>
      <w:r>
        <w:rPr>
          <w:rFonts w:ascii="宋体" w:eastAsia="宋体" w:hAnsi="宋体" w:cs="宋体"/>
          <w:vanish/>
        </w:rPr>
        <w:t>2-260000050863us-gaap:FairValueMeasurementsRecurringMemberus-gaap:CorporateDebtSecuritiesMemberus-gaap:OtherLongTermInvestmentsMember2020-12-260000050863us-gaap:FairValueMeasurementsRecurringMemberus-gaap:FairValueInputsLevel1Memberus-gaap:FixedIncomeSecur</w:t>
      </w:r>
      <w:r>
        <w:rPr>
          <w:rFonts w:ascii="宋体" w:eastAsia="宋体" w:hAnsi="宋体" w:cs="宋体"/>
          <w:vanish/>
        </w:rPr>
        <w:t>itiesMemberus-gaap:OtherLongTermInvestmentsMember2021-03-270000050863us-gaap:FairValueMeasurementsRecurringMemberus-gaap:FixedIncomeSecuritiesMemberus-gaap:OtherLongTermInvestmentsMemberus-gaap:FairValueInputsLevel2Member2021-03-270000050863us-gaap:FairVal</w:t>
      </w:r>
      <w:r>
        <w:rPr>
          <w:rFonts w:ascii="宋体" w:eastAsia="宋体" w:hAnsi="宋体" w:cs="宋体"/>
          <w:vanish/>
        </w:rPr>
        <w:t>ueMeasurementsRecurringMemberus-gaap:FairValueInputsLevel3Memberus-gaap:FixedIncomeSecuritiesMemberus-gaap:OtherLongTermInvestmentsMember2021-03-270000050863us-gaap:FairValueMeasurementsRecurringMemberus-gaap:FixedIncomeSecuritiesMemberus-gaap:OtherLongTer</w:t>
      </w:r>
      <w:r>
        <w:rPr>
          <w:rFonts w:ascii="宋体" w:eastAsia="宋体" w:hAnsi="宋体" w:cs="宋体"/>
          <w:vanish/>
        </w:rPr>
        <w:t>mInvestmentsMember2021-03-270000050863us-gaap:FairValueMeasurementsRecurringMemberus-gaap:FairValueInputsLevel1Memberus-gaap:FixedIncomeSecuritiesMemberus-gaap:OtherLongTermInvestmentsMember2020-12-260000050863us-gaap:FairValueMeasurementsRecurringMemberus</w:t>
      </w:r>
      <w:r>
        <w:rPr>
          <w:rFonts w:ascii="宋体" w:eastAsia="宋体" w:hAnsi="宋体" w:cs="宋体"/>
          <w:vanish/>
        </w:rPr>
        <w:t>-gaap:FixedIncomeSecuritiesMemberus-gaap:OtherLongTermInvestmentsMemberus-gaap:FairValueInputsLevel2Member2020-12-260000050863us-gaap:FairValueMeasurementsRecurringMemberus-gaap:FairValueInputsLevel3Memberus-gaap:FixedIncomeSecuritiesMemberus-gaap:OtherLon</w:t>
      </w:r>
      <w:r>
        <w:rPr>
          <w:rFonts w:ascii="宋体" w:eastAsia="宋体" w:hAnsi="宋体" w:cs="宋体"/>
          <w:vanish/>
        </w:rPr>
        <w:t>gTermInvestmentsMember2020-12-260000050863us-gaap:FairValueMeasurementsRecurringMemberus-gaap:FixedIncomeSecuritiesMemberus-gaap:OtherLongTermInvestmentsMember2020-12-260000050863us-gaap:FairValueMeasurementsRecurringMemberus-gaap:FairValueInputsLevel1Memb</w:t>
      </w:r>
      <w:r>
        <w:rPr>
          <w:rFonts w:ascii="宋体" w:eastAsia="宋体" w:hAnsi="宋体" w:cs="宋体"/>
          <w:vanish/>
        </w:rPr>
        <w:t>erus-gaap:OtherLongTermInvestmentsMemberintc:GovernmentDebtSecuritiesMember2021-03-270000050863us-gaap:FairValueMeasurementsRecurringMemberus-gaap:OtherLongTermInvestmentsMemberus-gaap:FairValueInputsLevel2Memberintc:GovernmentDebtSecuritiesMember2021-03-2</w:t>
      </w:r>
      <w:r>
        <w:rPr>
          <w:rFonts w:ascii="宋体" w:eastAsia="宋体" w:hAnsi="宋体" w:cs="宋体"/>
          <w:vanish/>
        </w:rPr>
        <w:t>70000050863us-gaap:FairValueMeasurementsRecurringMemberus-gaap:FairValueInputsLevel3Memberus-gaap:OtherLongTermInvestmentsMemberintc:GovernmentDebtSecuritiesMember2021-03-270000050863us-gaap:FairValueMeasurementsRecurringMemberus-gaap:OtherLongTermInvestme</w:t>
      </w:r>
      <w:r>
        <w:rPr>
          <w:rFonts w:ascii="宋体" w:eastAsia="宋体" w:hAnsi="宋体" w:cs="宋体"/>
          <w:vanish/>
        </w:rPr>
        <w:t>ntsMemberintc:GovernmentDebtSecuritiesMember2021-03-270000050863us-gaap:FairValueMeasurementsRecurringMemberus-gaap:FairValueInputsLevel1Memberus-gaap:OtherLongTermInvestmentsMemberintc:GovernmentDebtSecuritiesMember2020-12-260000050863us-gaap:FairValueMea</w:t>
      </w:r>
      <w:r>
        <w:rPr>
          <w:rFonts w:ascii="宋体" w:eastAsia="宋体" w:hAnsi="宋体" w:cs="宋体"/>
          <w:vanish/>
        </w:rPr>
        <w:t>surementsRecurringMemberus-gaap:OtherLongTermInvestmentsMemberus-gaap:FairValueInputsLevel2Memberintc:GovernmentDebtSecuritiesMember2020-12-260000050863us-gaap:FairValueMeasurementsRecurringMemberus-gaap:FairValueInputsLevel3Memberus-gaap:OtherLongTermInve</w:t>
      </w:r>
      <w:r>
        <w:rPr>
          <w:rFonts w:ascii="宋体" w:eastAsia="宋体" w:hAnsi="宋体" w:cs="宋体"/>
          <w:vanish/>
        </w:rPr>
        <w:t>stmentsMemberintc:GovernmentDebtSecuritiesMember2020-12-260000050863us-gaap:FairValueMeasurementsRecurringMemberus-gaap:OtherLongTermInvestmentsMemberintc:GovernmentDebtSecuritiesMember2020-12-260000050863us-gaap:FairValueMeasurementsRecurringMemberus-gaap</w:t>
      </w:r>
      <w:r>
        <w:rPr>
          <w:rFonts w:ascii="宋体" w:eastAsia="宋体" w:hAnsi="宋体" w:cs="宋体"/>
          <w:vanish/>
        </w:rPr>
        <w:t>:FairValueInputsLevel1Memberus-gaap:OtherNoncurrentAssetsMember2021-03-270000050863us-gaap:FairValueMeasurementsRecurringMemberus-gaap:OtherNoncurrentAssetsMemberus-gaap:FairValueInputsLevel2Member2021-03-270000050863us-gaap:FairValueMeasurementsRecurringM</w:t>
      </w:r>
      <w:r>
        <w:rPr>
          <w:rFonts w:ascii="宋体" w:eastAsia="宋体" w:hAnsi="宋体" w:cs="宋体"/>
          <w:vanish/>
        </w:rPr>
        <w:t>emberus-gaap:FairValueInputsLevel3Memberus-gaap:OtherNoncurrentAssetsMember2021-03-270000050863us-gaap:FairValueMeasurementsRecurringMemberus-gaap:OtherNoncurrentAssetsMember2021-03-270000050863us-gaap:FairValueMeasurementsRecurringMemberus-gaap:FairValueI</w:t>
      </w:r>
      <w:r>
        <w:rPr>
          <w:rFonts w:ascii="宋体" w:eastAsia="宋体" w:hAnsi="宋体" w:cs="宋体"/>
          <w:vanish/>
        </w:rPr>
        <w:t>nputsLevel1Memberus-gaap:OtherNoncurrentAssetsMember2020-12-260000050863us-gaap:FairValueMeasurementsRecurringMemberus-gaap:OtherNoncurrentAssetsMemberus-gaap:FairValueInputsLevel2Member2020-12-260000050863us-gaap:FairValueMeasurementsRecurringMemberus-gaa</w:t>
      </w:r>
      <w:r>
        <w:rPr>
          <w:rFonts w:ascii="宋体" w:eastAsia="宋体" w:hAnsi="宋体" w:cs="宋体"/>
          <w:vanish/>
        </w:rPr>
        <w:t>p:FairValueInputsLevel3Memberus-gaap:OtherNoncurrentAssetsMember2020-12-260000050863us-gaap:FairValueMeasurementsRecurringMemberus-gaap:OtherNoncurrentAssetsMember2020-12-260000050863us-gaap:FairValueMeasurementsRecurringMemberus-gaap:FairValueInputsLevel1</w:t>
      </w:r>
      <w:r>
        <w:rPr>
          <w:rFonts w:ascii="宋体" w:eastAsia="宋体" w:hAnsi="宋体" w:cs="宋体"/>
          <w:vanish/>
        </w:rPr>
        <w:t>Member2021-03-270000050863us-gaap:FairValueMeasurementsRecurringMemberus-gaap:FairValueInputsLevel2Member2021-03-270000050863us-gaap:FairValueMeasurementsRecurringMemberus-gaap:FairValueInputsLevel3Member2021-03-270000050863us-gaap:FairValueMeasurementsRec</w:t>
      </w:r>
      <w:r>
        <w:rPr>
          <w:rFonts w:ascii="宋体" w:eastAsia="宋体" w:hAnsi="宋体" w:cs="宋体"/>
          <w:vanish/>
        </w:rPr>
        <w:t>urringMember2021-03-270000050863us-gaap:FairValueMeasurementsRecurringMemberus-gaap:FairValueInputsLevel1Member2020-12-260000050863us-gaap:FairValueMeasurementsRecurringMemberus-gaap:FairValueInputsLevel2Member2020-12-260000050863us-gaap:FairValueMeasureme</w:t>
      </w:r>
      <w:r>
        <w:rPr>
          <w:rFonts w:ascii="宋体" w:eastAsia="宋体" w:hAnsi="宋体" w:cs="宋体"/>
          <w:vanish/>
        </w:rPr>
        <w:t>ntsRecurringMemberus-gaap:FairValueInputsLevel3Member2020-12-260000050863us-gaap:FairValueMeasurementsRecurringMember2020-12-260000050863us-gaap:FairValueMeasurementsRecurringMemberus-gaap:FairValueInputsLevel1Memberus-gaap:OtherCurrentLiabilitiesMember202</w:t>
      </w:r>
      <w:r>
        <w:rPr>
          <w:rFonts w:ascii="宋体" w:eastAsia="宋体" w:hAnsi="宋体" w:cs="宋体"/>
          <w:vanish/>
        </w:rPr>
        <w:t>1-03-270000050863us-gaap:FairValueMeasurementsRecurringMemberus-gaap:FairValueInputsLevel2Memberus-gaap:OtherCurrentLiabilitiesMember2021-03-270000050863us-gaap:FairValueMeasurementsRecurringMemberus-gaap:FairValueInputsLevel3Memberus-gaap:OtherCurrentLiab</w:t>
      </w:r>
      <w:r>
        <w:rPr>
          <w:rFonts w:ascii="宋体" w:eastAsia="宋体" w:hAnsi="宋体" w:cs="宋体"/>
          <w:vanish/>
        </w:rPr>
        <w:t>ilitiesMember2021-03-270000050863us-gaap:FairValueMeasurementsRecurringMemberus-gaap:OtherCurrentLiabilitiesMember2021-03-270000050863us-gaap:FairValueMeasurementsRecurringMemberus-gaap:FairValueInputsLevel1Memberus-gaap:OtherCurrentLiabilitiesMember2020-1</w:t>
      </w:r>
      <w:r>
        <w:rPr>
          <w:rFonts w:ascii="宋体" w:eastAsia="宋体" w:hAnsi="宋体" w:cs="宋体"/>
          <w:vanish/>
        </w:rPr>
        <w:t>2-260000050863us-gaap:FairValueMeasurementsRecurringMemberus-gaap:FairValueInputsLevel2Memberus-gaap:OtherCurrentLiabilitiesMember2020-12-260000050863us-gaap:FairValueMeasurementsRecurringMemberus-gaap:FairValueInputsLevel3Memberus-gaap:OtherCurrentLiabili</w:t>
      </w:r>
      <w:r>
        <w:rPr>
          <w:rFonts w:ascii="宋体" w:eastAsia="宋体" w:hAnsi="宋体" w:cs="宋体"/>
          <w:vanish/>
        </w:rPr>
        <w:t>tiesMember2020-12-260000050863us-gaap:FairValueMeasurementsRecurringMemberus-gaap:OtherCurrentLiabilitiesMember2020-12-260000050863us-gaap:OtherNoncurrentLiabilitiesMemberus-gaap:FairValueMeasurementsRecurringMemberus-gaap:FairValueInputsLevel1Member2021-0</w:t>
      </w:r>
      <w:r>
        <w:rPr>
          <w:rFonts w:ascii="宋体" w:eastAsia="宋体" w:hAnsi="宋体" w:cs="宋体"/>
          <w:vanish/>
        </w:rPr>
        <w:t>3-270000050863us-gaap:OtherNoncurrentLiabilitiesMemberus-gaap:FairValueMeasurementsRecurringMemberus-gaap:FairValueInputsLevel2Member2021-03-270000050863us-gaap:OtherNoncurrentLiabilitiesMemberus-gaap:FairValueMeasurementsRecurringMemberus-gaap:FairValueIn</w:t>
      </w:r>
      <w:r>
        <w:rPr>
          <w:rFonts w:ascii="宋体" w:eastAsia="宋体" w:hAnsi="宋体" w:cs="宋体"/>
          <w:vanish/>
        </w:rPr>
        <w:t>putsLevel3Member2021-03-270000050863us-gaap:OtherNoncurrentLiabilitiesMemberus-gaap:FairValueMeasurementsRecurringMember2021-03-270000050863us-gaap:OtherNoncurrentLiabilitiesMemberus-gaap:FairValueMeasurementsRecurringMemberus-gaap:FairValueInputsLevel1Mem</w:t>
      </w:r>
      <w:r>
        <w:rPr>
          <w:rFonts w:ascii="宋体" w:eastAsia="宋体" w:hAnsi="宋体" w:cs="宋体"/>
          <w:vanish/>
        </w:rPr>
        <w:t>ber2020-12-260000050863us-gaap:OtherNoncurrentLiabilitiesMemberus-gaap:FairValueMeasurementsRecurringMemberus-gaap:FairValueInputsLevel2Member2020-12-260000050863us-gaap:OtherNoncurrentLiabilitiesMemberus-gaap:FairValueMeasurementsRecurringMemberus-gaap:Fa</w:t>
      </w:r>
      <w:r>
        <w:rPr>
          <w:rFonts w:ascii="宋体" w:eastAsia="宋体" w:hAnsi="宋体" w:cs="宋体"/>
          <w:vanish/>
        </w:rPr>
        <w:t>irValueInputsLevel3Member2020-12-260000050863us-gaap:OtherNoncurrentLiabilitiesMemberus-gaap:FairValueMeasurementsRecurringMember2020-12-260000050863us-gaap:FairValueMeasurementsNonrecurringMember2021-03-270000050863us-gaap:FairValueMeasurementsNonrecurrin</w:t>
      </w:r>
      <w:r>
        <w:rPr>
          <w:rFonts w:ascii="宋体" w:eastAsia="宋体" w:hAnsi="宋体" w:cs="宋体"/>
          <w:vanish/>
        </w:rPr>
        <w:t>gMember2020-12-260000050863us-gaap:AccumulatedNetInvestmentGainLossIncludingPortionAttributableToNoncontrollingInterestMember2020-12-260000050863us-gaap:AccumulatedNetGainLossFromCashFlowHedgesIncludingPortionAttributableToNoncontrollingInterestMember2020-</w:t>
      </w:r>
      <w:r>
        <w:rPr>
          <w:rFonts w:ascii="宋体" w:eastAsia="宋体" w:hAnsi="宋体" w:cs="宋体"/>
          <w:vanish/>
        </w:rPr>
        <w:t>12-260000050863us-gaap:AccumulatedDefinedBenefitPlansAdjustmentNetGainLossIncludingPortionAttributableToNoncontrollingInterestMember2020-12-260000050863us-gaap:AccumulatedTranslationAdjustmentMember2020-12-260000050863us-gaap:AccumulatedNetInvestmentGainLo</w:t>
      </w:r>
      <w:r>
        <w:rPr>
          <w:rFonts w:ascii="宋体" w:eastAsia="宋体" w:hAnsi="宋体" w:cs="宋体"/>
          <w:vanish/>
        </w:rPr>
        <w:t>ssIncludingPortionAttributableToNoncontrollingInterestMember2020-12-272021-03-270000050863us-gaap:AccumulatedNetGainLossFromCashFlowHedgesIncludingPortionAttributableToNoncontrollingInterestMember2020-12-272021-03-270000050863us-gaap:AccumulatedDefinedBene</w:t>
      </w:r>
      <w:r>
        <w:rPr>
          <w:rFonts w:ascii="宋体" w:eastAsia="宋体" w:hAnsi="宋体" w:cs="宋体"/>
          <w:vanish/>
        </w:rPr>
        <w:t>fitPlansAdjustmentNetGainLossIncludingPortionAttributableToNoncontrollingInterestMember2020-12-272021-03-270000050863us-gaap:AccumulatedTranslationAdjustmentMember2020-12-272021-03-270000050863us-gaap:AccumulatedNetInvestmentGainLossIncludingPortionAttribu</w:t>
      </w:r>
      <w:r>
        <w:rPr>
          <w:rFonts w:ascii="宋体" w:eastAsia="宋体" w:hAnsi="宋体" w:cs="宋体"/>
          <w:vanish/>
        </w:rPr>
        <w:t>tableToNoncontrollingInterestMember2021-03-270000050863us-gaap:AccumulatedNetGainLossFromCashFlowHedgesIncludingPortionAttributableToNoncontrollingInterestMember2021-03-270000050863us-gaap:AccumulatedDefinedBenefitPlansAdjustmentNetGainLossIncludingPortion</w:t>
      </w:r>
      <w:r>
        <w:rPr>
          <w:rFonts w:ascii="宋体" w:eastAsia="宋体" w:hAnsi="宋体" w:cs="宋体"/>
          <w:vanish/>
        </w:rPr>
        <w:t>AttributableToNoncontrollingInterestMember2021-03-270000050863us-gaap:AccumulatedTranslationAdjustmentMember2021-03-270000050863us-gaap:ForeignExchangeContractMember2021-03-270000050863us-gaap:ForeignExchangeContractMember2020-12-260000050863us-gaap:Intere</w:t>
      </w:r>
      <w:r>
        <w:rPr>
          <w:rFonts w:ascii="宋体" w:eastAsia="宋体" w:hAnsi="宋体" w:cs="宋体"/>
          <w:vanish/>
        </w:rPr>
        <w:t>stRateContractMember2021-03-270000050863us-gaap:InterestRateContractMember2020-12-260000050863us-gaap:OtherContractMember2021-03-270000050863us-gaap:OtherContractMember2020-12-260000050863us-gaap:DesignatedAsHedgingInstrumentMemberus-gaap:ForeignExchangeCo</w:t>
      </w:r>
      <w:r>
        <w:rPr>
          <w:rFonts w:ascii="宋体" w:eastAsia="宋体" w:hAnsi="宋体" w:cs="宋体"/>
          <w:vanish/>
        </w:rPr>
        <w:t>ntractMemberus-gaap:OtherAssetsMember2021-03-270000050863us-gaap:DesignatedAsHedgingInstrumentMemberus-gaap:ForeignExchangeContractMemberus-gaap:OtherLiabilitiesMember2021-03-270000050863us-gaap:DesignatedAsHedgingInstrumentMemberus-gaap:ForeignExchangeCon</w:t>
      </w:r>
      <w:r>
        <w:rPr>
          <w:rFonts w:ascii="宋体" w:eastAsia="宋体" w:hAnsi="宋体" w:cs="宋体"/>
          <w:vanish/>
        </w:rPr>
        <w:t>tractMemberus-gaap:OtherAssetsMember2020-12-260000050863us-gaap:DesignatedAsHedgingInstrumentMemberus-gaap:ForeignExchangeContractMemberus-gaap:OtherLiabilitiesMember2020-12-260000050863us-gaap:DesignatedAsHedgingInstrumentMemberus-gaap:OtherAssetsMemberus</w:t>
      </w:r>
      <w:r>
        <w:rPr>
          <w:rFonts w:ascii="宋体" w:eastAsia="宋体" w:hAnsi="宋体" w:cs="宋体"/>
          <w:vanish/>
        </w:rPr>
        <w:t>-gaap:InterestRateContractMember2021-03-270000050863us-gaap:DesignatedAsHedgingInstrumentMemberus-gaap:InterestRateContractMemberus-gaap:OtherLiabilitiesMember2021-03-270000050863us-gaap:DesignatedAsHedgingInstrumentMemberus-gaap:OtherAssetsMemberus-gaap:I</w:t>
      </w:r>
      <w:r>
        <w:rPr>
          <w:rFonts w:ascii="宋体" w:eastAsia="宋体" w:hAnsi="宋体" w:cs="宋体"/>
          <w:vanish/>
        </w:rPr>
        <w:t>nterestRateContractMember2020-12-260000050863us-gaap:DesignatedAsHedgingInstrumentMemberus-gaap:InterestRateContractMemberus-gaap:OtherLiabilitiesMember2020-12-260000050863us-gaap:DesignatedAsHedgingInstrumentMemberus-gaap:OtherAssetsMember2021-03-27000005</w:t>
      </w:r>
      <w:r>
        <w:rPr>
          <w:rFonts w:ascii="宋体" w:eastAsia="宋体" w:hAnsi="宋体" w:cs="宋体"/>
          <w:vanish/>
        </w:rPr>
        <w:t>0863us-gaap:DesignatedAsHedgingInstrumentMemberus-gaap:OtherLiabilitiesMember2021-03-270000050863us-gaap:DesignatedAsHedgingInstrumentMemberus-gaap:OtherAssetsMember2020-12-260000050863us-gaap:DesignatedAsHedgingInstrumentMemberus-gaap:OtherLiabilitiesMemb</w:t>
      </w:r>
      <w:r>
        <w:rPr>
          <w:rFonts w:ascii="宋体" w:eastAsia="宋体" w:hAnsi="宋体" w:cs="宋体"/>
          <w:vanish/>
        </w:rPr>
        <w:t>er2020-12-260000050863us-gaap:ForeignExchangeContractMemberus-gaap:OtherAssetsMemberus-gaap:NondesignatedMember2021-03-270000050863us-gaap:ForeignExchangeContractMemberus-gaap:OtherLiabilitiesMemberus-gaap:NondesignatedMember2021-03-270000050863us-gaap:For</w:t>
      </w:r>
      <w:r>
        <w:rPr>
          <w:rFonts w:ascii="宋体" w:eastAsia="宋体" w:hAnsi="宋体" w:cs="宋体"/>
          <w:vanish/>
        </w:rPr>
        <w:t>eignExchangeContractMemberus-gaap:OtherAssetsMemberus-gaap:NondesignatedMember2020-12-260000050863us-gaap:ForeignExchangeContractMemberus-gaap:OtherLiabilitiesMemberus-gaap:NondesignatedMember2020-12-260000050863us-gaap:OtherAssetsMemberus-gaap:InterestRat</w:t>
      </w:r>
      <w:r>
        <w:rPr>
          <w:rFonts w:ascii="宋体" w:eastAsia="宋体" w:hAnsi="宋体" w:cs="宋体"/>
          <w:vanish/>
        </w:rPr>
        <w:t>eContractMemberus-gaap:NondesignatedMember2021-03-270000050863us-gaap:InterestRateContractMemberus-gaap:OtherLiabilitiesMemberus-gaap:NondesignatedMember2021-03-270000050863us-gaap:OtherAssetsMemberus-gaap:InterestRateContractMemberus-gaap:NondesignatedMem</w:t>
      </w:r>
      <w:r>
        <w:rPr>
          <w:rFonts w:ascii="宋体" w:eastAsia="宋体" w:hAnsi="宋体" w:cs="宋体"/>
          <w:vanish/>
        </w:rPr>
        <w:t>ber2020-12-260000050863us-gaap:InterestRateContractMemberus-gaap:OtherLiabilitiesMemberus-gaap:NondesignatedMember2020-12-260000050863us-gaap:OtherAssetsMemberus-gaap:OtherContractMemberus-gaap:NondesignatedMember2021-03-270000050863us-gaap:OtherLiabilitie</w:t>
      </w:r>
      <w:r>
        <w:rPr>
          <w:rFonts w:ascii="宋体" w:eastAsia="宋体" w:hAnsi="宋体" w:cs="宋体"/>
          <w:vanish/>
        </w:rPr>
        <w:t>sMemberus-gaap:OtherContractMemberus-gaap:NondesignatedMember2021-03-270000050863us-gaap:OtherAssetsMemberus-gaap:OtherContractMemberus-gaap:NondesignatedMember2020-12-260000050863us-gaap:OtherLiabilitiesMemberus-gaap:OtherContractMemberus-gaap:Nondesignat</w:t>
      </w:r>
      <w:r>
        <w:rPr>
          <w:rFonts w:ascii="宋体" w:eastAsia="宋体" w:hAnsi="宋体" w:cs="宋体"/>
          <w:vanish/>
        </w:rPr>
        <w:t>edMember2020-12-260000050863us-gaap:OtherAssetsMemberus-gaap:NondesignatedMember2021-03-270000050863us-gaap:OtherLiabilitiesMemberus-gaap:NondesignatedMember2021-03-270000050863us-gaap:OtherAssetsMemberus-gaap:NondesignatedMember2020-12-260000050863us-gaap</w:t>
      </w:r>
      <w:r>
        <w:rPr>
          <w:rFonts w:ascii="宋体" w:eastAsia="宋体" w:hAnsi="宋体" w:cs="宋体"/>
          <w:vanish/>
        </w:rPr>
        <w:t>:OtherLiabilitiesMemberus-gaap:NondesignatedMember2020-12-260000050863us-gaap:OtherAssetsMember2021-03-270000050863us-gaap:OtherLiabilitiesMember2021-03-270000050863us-gaap:OtherAssetsMember2020-12-260000050863us-gaap:OtherLiabilitiesMember2020-12-26000005</w:t>
      </w:r>
      <w:r>
        <w:rPr>
          <w:rFonts w:ascii="宋体" w:eastAsia="宋体" w:hAnsi="宋体" w:cs="宋体"/>
          <w:vanish/>
        </w:rPr>
        <w:t>0863us-gaap:ForeignExchangeContractMember2020-12-272021-03-270000050863us-gaap:ForeignExchangeContractMember2019-12-292020-03-280000050863us-gaap:OtherNonoperatingIncomeExpenseMemberus-gaap:FairValueHedgingMember2020-12-272021-03-270000050863us-gaap:Intere</w:t>
      </w:r>
      <w:r>
        <w:rPr>
          <w:rFonts w:ascii="宋体" w:eastAsia="宋体" w:hAnsi="宋体" w:cs="宋体"/>
          <w:vanish/>
        </w:rPr>
        <w:t>stRateContractMember2020-12-272021-03-270000050863us-gaap:InterestRateContractMember2019-12-292020-03-280000050863us-gaap:LongTermDebtMemberus-gaap:InterestRateSwapMemberus-gaap:FairValueHedgingMember2021-03-270000050863us-gaap:LongTermDebtMemberus-gaap:In</w:t>
      </w:r>
      <w:r>
        <w:rPr>
          <w:rFonts w:ascii="宋体" w:eastAsia="宋体" w:hAnsi="宋体" w:cs="宋体"/>
          <w:vanish/>
        </w:rPr>
        <w:t>terestRateSwapMemberus-gaap:FairValueHedgingMember2020-12-260000050863us-gaap:LongTermDebtMemberus-gaap:InterestRateSwapMemberus-gaap:FairValueHedgingMember2020-12-272021-03-270000050863us-gaap:LongTermDebtMemberus-gaap:InterestRateSwapMemberus-gaap:FairVa</w:t>
      </w:r>
      <w:r>
        <w:rPr>
          <w:rFonts w:ascii="宋体" w:eastAsia="宋体" w:hAnsi="宋体" w:cs="宋体"/>
          <w:vanish/>
        </w:rPr>
        <w:t>lueHedgingMember2019-12-292020-12-260000050863us-gaap:NondesignatedMember2020-12-272021-03-270000050863us-gaap:ForeignExchangeContractMemberus-gaap:NondesignatedMemberus-gaap:OtherNonoperatingIncomeExpenseMember2020-12-272021-03-270000050863us-gaap:Foreign</w:t>
      </w:r>
      <w:r>
        <w:rPr>
          <w:rFonts w:ascii="宋体" w:eastAsia="宋体" w:hAnsi="宋体" w:cs="宋体"/>
          <w:vanish/>
        </w:rPr>
        <w:t>ExchangeContractMemberus-gaap:NondesignatedMemberus-gaap:OtherNonoperatingIncomeExpenseMember2019-12-292020-03-280000050863us-gaap:InterestRateContractMemberus-gaap:NondesignatedMemberus-gaap:OtherNonoperatingIncomeExpenseMember2020-12-272021-03-2700000508</w:t>
      </w:r>
      <w:r>
        <w:rPr>
          <w:rFonts w:ascii="宋体" w:eastAsia="宋体" w:hAnsi="宋体" w:cs="宋体"/>
          <w:vanish/>
        </w:rPr>
        <w:t>63us-gaap:InterestRateContractMemberus-gaap:NondesignatedMemberus-gaap:OtherNonoperatingIncomeExpenseMember2019-12-292020-03-280000050863us-gaap:OtherContractMemberus-gaap:NondesignatedMemberintc:VariousMember2020-12-272021-03-270000050863us-gaap:OtherCont</w:t>
      </w:r>
      <w:r>
        <w:rPr>
          <w:rFonts w:ascii="宋体" w:eastAsia="宋体" w:hAnsi="宋体" w:cs="宋体"/>
          <w:vanish/>
        </w:rPr>
        <w:t>ractMemberus-gaap:NondesignatedMemberintc:VariousMember2019-12-292020-03-280000050863us-gaap:NondesignatedMember2019-12-292020-03-28iso4217:EUR0000050863intc:EcFineMember2009-05-012009-05-31</w:t>
      </w:r>
    </w:p>
    <w:p w14:paraId="5C7C4FAB" w14:textId="77777777" w:rsidR="0008009C" w:rsidRDefault="0008009C">
      <w:pPr>
        <w:spacing w:after="180"/>
      </w:pPr>
    </w:p>
    <w:p w14:paraId="5C7C4FAC" w14:textId="77777777" w:rsidR="0008009C" w:rsidRDefault="00936FDF">
      <w:pPr>
        <w:jc w:val="center"/>
      </w:pPr>
      <w:r>
        <w:rPr>
          <w:rFonts w:ascii="Arial" w:eastAsia="宋体" w:hAnsi="Arial" w:cs="Arial"/>
          <w:b/>
          <w:bCs/>
          <w:color w:val="262626"/>
          <w:sz w:val="28"/>
          <w:szCs w:val="28"/>
        </w:rPr>
        <w:t>UNITED STATES SECURITIES AND EXCHANGE COMMISSION</w:t>
      </w:r>
    </w:p>
    <w:p w14:paraId="5C7C4FAD" w14:textId="77777777" w:rsidR="0008009C" w:rsidRDefault="00936FDF">
      <w:pPr>
        <w:spacing w:after="180"/>
        <w:jc w:val="center"/>
      </w:pPr>
      <w:r>
        <w:rPr>
          <w:rFonts w:ascii="Arial" w:eastAsia="宋体" w:hAnsi="Arial" w:cs="Arial"/>
          <w:color w:val="262626"/>
          <w:sz w:val="18"/>
          <w:szCs w:val="18"/>
        </w:rPr>
        <w:t>Washington, D.C</w:t>
      </w:r>
      <w:r>
        <w:rPr>
          <w:rFonts w:ascii="Arial" w:eastAsia="宋体" w:hAnsi="Arial" w:cs="Arial"/>
          <w:color w:val="262626"/>
          <w:sz w:val="18"/>
          <w:szCs w:val="18"/>
        </w:rPr>
        <w:t>. 20549</w:t>
      </w:r>
    </w:p>
    <w:p w14:paraId="5C7C4FAE" w14:textId="77777777" w:rsidR="0008009C" w:rsidRDefault="00936FDF">
      <w:pPr>
        <w:spacing w:before="120" w:after="120"/>
        <w:jc w:val="center"/>
      </w:pPr>
      <w:r>
        <w:rPr>
          <w:rFonts w:ascii="Arial" w:eastAsia="宋体" w:hAnsi="Arial" w:cs="Arial"/>
          <w:b/>
          <w:bCs/>
          <w:color w:val="262626"/>
          <w:sz w:val="36"/>
          <w:szCs w:val="36"/>
        </w:rPr>
        <w:t xml:space="preserve">FORM 10-Q </w:t>
      </w:r>
    </w:p>
    <w:p w14:paraId="5C7C4FAF" w14:textId="77777777" w:rsidR="0008009C" w:rsidRDefault="00936FDF">
      <w:pPr>
        <w:spacing w:before="180" w:after="180"/>
      </w:pPr>
      <w:r>
        <w:rPr>
          <w:rFonts w:ascii="Arial" w:eastAsia="宋体" w:hAnsi="Arial" w:cs="Arial"/>
          <w:color w:val="262626"/>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36"/>
        <w:gridCol w:w="116"/>
        <w:gridCol w:w="36"/>
        <w:gridCol w:w="118"/>
        <w:gridCol w:w="241"/>
        <w:gridCol w:w="36"/>
        <w:gridCol w:w="38"/>
        <w:gridCol w:w="1916"/>
        <w:gridCol w:w="37"/>
        <w:gridCol w:w="36"/>
        <w:gridCol w:w="5690"/>
        <w:gridCol w:w="36"/>
      </w:tblGrid>
      <w:tr w:rsidR="0008009C" w14:paraId="5C7C4FBC" w14:textId="77777777">
        <w:tc>
          <w:tcPr>
            <w:tcW w:w="5" w:type="pct"/>
            <w:shd w:val="clear" w:color="auto" w:fill="auto"/>
          </w:tcPr>
          <w:p w14:paraId="5C7C4FB0" w14:textId="77777777" w:rsidR="0008009C" w:rsidRDefault="0008009C">
            <w:pPr>
              <w:rPr>
                <w:rFonts w:ascii="宋体"/>
              </w:rPr>
            </w:pPr>
          </w:p>
        </w:tc>
        <w:tc>
          <w:tcPr>
            <w:tcW w:w="99" w:type="pct"/>
            <w:shd w:val="clear" w:color="auto" w:fill="auto"/>
          </w:tcPr>
          <w:p w14:paraId="5C7C4FB1" w14:textId="77777777" w:rsidR="0008009C" w:rsidRDefault="0008009C">
            <w:pPr>
              <w:rPr>
                <w:rFonts w:ascii="宋体"/>
              </w:rPr>
            </w:pPr>
          </w:p>
        </w:tc>
        <w:tc>
          <w:tcPr>
            <w:tcW w:w="5" w:type="pct"/>
            <w:shd w:val="clear" w:color="auto" w:fill="auto"/>
          </w:tcPr>
          <w:p w14:paraId="5C7C4FB2" w14:textId="77777777" w:rsidR="0008009C" w:rsidRDefault="0008009C">
            <w:pPr>
              <w:rPr>
                <w:rFonts w:ascii="宋体"/>
              </w:rPr>
            </w:pPr>
          </w:p>
        </w:tc>
        <w:tc>
          <w:tcPr>
            <w:tcW w:w="50" w:type="pct"/>
            <w:shd w:val="clear" w:color="auto" w:fill="auto"/>
          </w:tcPr>
          <w:p w14:paraId="5C7C4FB3" w14:textId="77777777" w:rsidR="0008009C" w:rsidRDefault="0008009C">
            <w:pPr>
              <w:rPr>
                <w:rFonts w:ascii="宋体"/>
              </w:rPr>
            </w:pPr>
          </w:p>
        </w:tc>
        <w:tc>
          <w:tcPr>
            <w:tcW w:w="102" w:type="pct"/>
            <w:shd w:val="clear" w:color="auto" w:fill="auto"/>
          </w:tcPr>
          <w:p w14:paraId="5C7C4FB4" w14:textId="77777777" w:rsidR="0008009C" w:rsidRDefault="0008009C">
            <w:pPr>
              <w:rPr>
                <w:rFonts w:ascii="宋体"/>
              </w:rPr>
            </w:pPr>
          </w:p>
        </w:tc>
        <w:tc>
          <w:tcPr>
            <w:tcW w:w="5" w:type="pct"/>
            <w:shd w:val="clear" w:color="auto" w:fill="auto"/>
          </w:tcPr>
          <w:p w14:paraId="5C7C4FB5" w14:textId="77777777" w:rsidR="0008009C" w:rsidRDefault="0008009C">
            <w:pPr>
              <w:rPr>
                <w:rFonts w:ascii="宋体"/>
              </w:rPr>
            </w:pPr>
          </w:p>
        </w:tc>
        <w:tc>
          <w:tcPr>
            <w:tcW w:w="50" w:type="pct"/>
            <w:shd w:val="clear" w:color="auto" w:fill="auto"/>
          </w:tcPr>
          <w:p w14:paraId="5C7C4FB6" w14:textId="77777777" w:rsidR="0008009C" w:rsidRDefault="0008009C">
            <w:pPr>
              <w:rPr>
                <w:rFonts w:ascii="宋体"/>
              </w:rPr>
            </w:pPr>
          </w:p>
        </w:tc>
        <w:tc>
          <w:tcPr>
            <w:tcW w:w="1181" w:type="pct"/>
            <w:shd w:val="clear" w:color="auto" w:fill="auto"/>
          </w:tcPr>
          <w:p w14:paraId="5C7C4FB7" w14:textId="77777777" w:rsidR="0008009C" w:rsidRDefault="0008009C">
            <w:pPr>
              <w:rPr>
                <w:rFonts w:ascii="宋体"/>
              </w:rPr>
            </w:pPr>
          </w:p>
        </w:tc>
        <w:tc>
          <w:tcPr>
            <w:tcW w:w="5" w:type="pct"/>
            <w:shd w:val="clear" w:color="auto" w:fill="auto"/>
          </w:tcPr>
          <w:p w14:paraId="5C7C4FB8" w14:textId="77777777" w:rsidR="0008009C" w:rsidRDefault="0008009C">
            <w:pPr>
              <w:rPr>
                <w:rFonts w:ascii="宋体"/>
              </w:rPr>
            </w:pPr>
          </w:p>
        </w:tc>
        <w:tc>
          <w:tcPr>
            <w:tcW w:w="50" w:type="pct"/>
            <w:shd w:val="clear" w:color="auto" w:fill="auto"/>
          </w:tcPr>
          <w:p w14:paraId="5C7C4FB9" w14:textId="77777777" w:rsidR="0008009C" w:rsidRDefault="0008009C">
            <w:pPr>
              <w:rPr>
                <w:rFonts w:ascii="宋体"/>
              </w:rPr>
            </w:pPr>
          </w:p>
        </w:tc>
        <w:tc>
          <w:tcPr>
            <w:tcW w:w="3442" w:type="pct"/>
            <w:shd w:val="clear" w:color="auto" w:fill="auto"/>
          </w:tcPr>
          <w:p w14:paraId="5C7C4FBA" w14:textId="77777777" w:rsidR="0008009C" w:rsidRDefault="0008009C">
            <w:pPr>
              <w:rPr>
                <w:rFonts w:ascii="宋体"/>
              </w:rPr>
            </w:pPr>
          </w:p>
        </w:tc>
        <w:tc>
          <w:tcPr>
            <w:tcW w:w="5" w:type="pct"/>
            <w:shd w:val="clear" w:color="auto" w:fill="auto"/>
          </w:tcPr>
          <w:p w14:paraId="5C7C4FBB" w14:textId="77777777" w:rsidR="0008009C" w:rsidRDefault="0008009C">
            <w:pPr>
              <w:rPr>
                <w:rFonts w:ascii="宋体"/>
              </w:rPr>
            </w:pPr>
          </w:p>
        </w:tc>
      </w:tr>
      <w:tr w:rsidR="0008009C" w14:paraId="5C7C4FC0" w14:textId="77777777">
        <w:tc>
          <w:tcPr>
            <w:tcW w:w="0" w:type="auto"/>
            <w:gridSpan w:val="3"/>
            <w:shd w:val="clear" w:color="auto" w:fill="auto"/>
            <w:tcMar>
              <w:top w:w="40" w:type="dxa"/>
              <w:left w:w="20" w:type="dxa"/>
              <w:bottom w:w="40" w:type="dxa"/>
              <w:right w:w="20" w:type="dxa"/>
            </w:tcMar>
            <w:vAlign w:val="bottom"/>
          </w:tcPr>
          <w:p w14:paraId="5C7C4FBD" w14:textId="77777777" w:rsidR="0008009C" w:rsidRDefault="00936FDF">
            <w:pPr>
              <w:textAlignment w:val="bottom"/>
            </w:pPr>
            <w:r>
              <w:rPr>
                <w:rFonts w:ascii="Arial" w:eastAsia="宋体" w:hAnsi="Arial" w:cs="Arial"/>
                <w:color w:val="262626"/>
                <w:sz w:val="16"/>
                <w:szCs w:val="16"/>
              </w:rPr>
              <w:t> </w:t>
            </w:r>
          </w:p>
        </w:tc>
        <w:tc>
          <w:tcPr>
            <w:tcW w:w="0" w:type="auto"/>
            <w:gridSpan w:val="3"/>
            <w:shd w:val="clear" w:color="auto" w:fill="auto"/>
            <w:tcMar>
              <w:top w:w="40" w:type="dxa"/>
              <w:left w:w="20" w:type="dxa"/>
              <w:bottom w:w="40" w:type="dxa"/>
              <w:right w:w="20" w:type="dxa"/>
            </w:tcMar>
          </w:tcPr>
          <w:p w14:paraId="5C7C4FBE" w14:textId="77777777" w:rsidR="0008009C" w:rsidRDefault="00936FDF">
            <w:pPr>
              <w:textAlignment w:val="top"/>
            </w:pPr>
            <w:r>
              <w:rPr>
                <w:rFonts w:ascii="Arial Unicode MS" w:eastAsia="Arial Unicode MS" w:hAnsi="Arial Unicode MS" w:cs="Arial Unicode MS"/>
                <w:b/>
                <w:bCs/>
                <w:color w:val="262626"/>
              </w:rPr>
              <w:t>☑</w:t>
            </w:r>
          </w:p>
        </w:tc>
        <w:tc>
          <w:tcPr>
            <w:tcW w:w="0" w:type="auto"/>
            <w:gridSpan w:val="6"/>
            <w:shd w:val="clear" w:color="auto" w:fill="auto"/>
            <w:tcMar>
              <w:top w:w="40" w:type="dxa"/>
              <w:left w:w="20" w:type="dxa"/>
              <w:bottom w:w="40" w:type="dxa"/>
              <w:right w:w="20" w:type="dxa"/>
            </w:tcMar>
          </w:tcPr>
          <w:p w14:paraId="5C7C4FBF" w14:textId="77777777" w:rsidR="0008009C" w:rsidRDefault="00936FDF">
            <w:pPr>
              <w:textAlignment w:val="top"/>
            </w:pPr>
            <w:r>
              <w:rPr>
                <w:rFonts w:ascii="Arial" w:eastAsia="宋体" w:hAnsi="Arial" w:cs="Arial"/>
                <w:color w:val="262626"/>
                <w:sz w:val="18"/>
                <w:szCs w:val="18"/>
              </w:rPr>
              <w:t>QUARTERLY REPORT PURSUANT TO SECTION 13 OR 15(d) OF THE SECURITIES EXCHANGE ACT OF 1934</w:t>
            </w:r>
          </w:p>
        </w:tc>
      </w:tr>
      <w:tr w:rsidR="0008009C" w14:paraId="5C7C4FC5" w14:textId="77777777">
        <w:tc>
          <w:tcPr>
            <w:tcW w:w="0" w:type="auto"/>
            <w:gridSpan w:val="3"/>
            <w:shd w:val="clear" w:color="auto" w:fill="auto"/>
            <w:tcMar>
              <w:top w:w="0" w:type="dxa"/>
              <w:left w:w="20" w:type="dxa"/>
              <w:bottom w:w="0" w:type="dxa"/>
              <w:right w:w="20" w:type="dxa"/>
            </w:tcMar>
          </w:tcPr>
          <w:p w14:paraId="5C7C4FC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4FC2"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4FC3" w14:textId="77777777" w:rsidR="0008009C" w:rsidRDefault="00936FDF">
            <w:pPr>
              <w:textAlignment w:val="bottom"/>
            </w:pPr>
            <w:r>
              <w:rPr>
                <w:rFonts w:ascii="Arial" w:eastAsia="宋体" w:hAnsi="Arial" w:cs="Arial"/>
                <w:color w:val="262626"/>
                <w:sz w:val="18"/>
                <w:szCs w:val="18"/>
              </w:rPr>
              <w:t>For the quarterly period ended</w:t>
            </w:r>
          </w:p>
        </w:tc>
        <w:tc>
          <w:tcPr>
            <w:tcW w:w="0" w:type="auto"/>
            <w:gridSpan w:val="3"/>
            <w:shd w:val="clear" w:color="auto" w:fill="auto"/>
            <w:tcMar>
              <w:top w:w="40" w:type="dxa"/>
              <w:left w:w="20" w:type="dxa"/>
              <w:bottom w:w="40" w:type="dxa"/>
              <w:right w:w="20" w:type="dxa"/>
            </w:tcMar>
            <w:vAlign w:val="bottom"/>
          </w:tcPr>
          <w:p w14:paraId="5C7C4FC4" w14:textId="77777777" w:rsidR="0008009C" w:rsidRDefault="00936FDF">
            <w:pPr>
              <w:textAlignment w:val="bottom"/>
            </w:pPr>
            <w:r>
              <w:rPr>
                <w:rFonts w:ascii="Arial" w:eastAsia="宋体" w:hAnsi="Arial" w:cs="Arial"/>
                <w:color w:val="262626"/>
                <w:sz w:val="18"/>
                <w:szCs w:val="18"/>
              </w:rPr>
              <w:t>March 27, 2021</w:t>
            </w:r>
          </w:p>
        </w:tc>
      </w:tr>
    </w:tbl>
    <w:p w14:paraId="5C7C4FC6" w14:textId="77777777" w:rsidR="0008009C" w:rsidRDefault="00936FDF">
      <w:pPr>
        <w:jc w:val="center"/>
      </w:pPr>
      <w:r>
        <w:rPr>
          <w:rFonts w:ascii="Arial" w:eastAsia="宋体" w:hAnsi="Arial" w:cs="Arial"/>
          <w:color w:val="262626"/>
          <w:sz w:val="16"/>
          <w:szCs w:val="16"/>
        </w:rPr>
        <w:t>Or</w:t>
      </w:r>
    </w:p>
    <w:tbl>
      <w:tblPr>
        <w:tblW w:w="5000" w:type="pct"/>
        <w:tblCellMar>
          <w:top w:w="15" w:type="dxa"/>
          <w:left w:w="15" w:type="dxa"/>
          <w:bottom w:w="15" w:type="dxa"/>
          <w:right w:w="15" w:type="dxa"/>
        </w:tblCellMar>
        <w:tblLook w:val="04A0" w:firstRow="1" w:lastRow="0" w:firstColumn="1" w:lastColumn="0" w:noHBand="0" w:noVBand="1"/>
      </w:tblPr>
      <w:tblGrid>
        <w:gridCol w:w="36"/>
        <w:gridCol w:w="142"/>
        <w:gridCol w:w="36"/>
        <w:gridCol w:w="79"/>
        <w:gridCol w:w="161"/>
        <w:gridCol w:w="36"/>
        <w:gridCol w:w="38"/>
        <w:gridCol w:w="7771"/>
        <w:gridCol w:w="37"/>
      </w:tblGrid>
      <w:tr w:rsidR="0008009C" w14:paraId="5C7C4FD0" w14:textId="77777777">
        <w:tc>
          <w:tcPr>
            <w:tcW w:w="5" w:type="pct"/>
            <w:shd w:val="clear" w:color="auto" w:fill="auto"/>
          </w:tcPr>
          <w:p w14:paraId="5C7C4FC7" w14:textId="77777777" w:rsidR="0008009C" w:rsidRDefault="0008009C">
            <w:pPr>
              <w:rPr>
                <w:rFonts w:ascii="宋体"/>
              </w:rPr>
            </w:pPr>
          </w:p>
        </w:tc>
        <w:tc>
          <w:tcPr>
            <w:tcW w:w="99" w:type="pct"/>
            <w:shd w:val="clear" w:color="auto" w:fill="auto"/>
          </w:tcPr>
          <w:p w14:paraId="5C7C4FC8" w14:textId="77777777" w:rsidR="0008009C" w:rsidRDefault="0008009C">
            <w:pPr>
              <w:rPr>
                <w:rFonts w:ascii="宋体"/>
              </w:rPr>
            </w:pPr>
          </w:p>
        </w:tc>
        <w:tc>
          <w:tcPr>
            <w:tcW w:w="5" w:type="pct"/>
            <w:shd w:val="clear" w:color="auto" w:fill="auto"/>
          </w:tcPr>
          <w:p w14:paraId="5C7C4FC9" w14:textId="77777777" w:rsidR="0008009C" w:rsidRDefault="0008009C">
            <w:pPr>
              <w:rPr>
                <w:rFonts w:ascii="宋体"/>
              </w:rPr>
            </w:pPr>
          </w:p>
        </w:tc>
        <w:tc>
          <w:tcPr>
            <w:tcW w:w="50" w:type="pct"/>
            <w:shd w:val="clear" w:color="auto" w:fill="auto"/>
          </w:tcPr>
          <w:p w14:paraId="5C7C4FCA" w14:textId="77777777" w:rsidR="0008009C" w:rsidRDefault="0008009C">
            <w:pPr>
              <w:rPr>
                <w:rFonts w:ascii="宋体"/>
              </w:rPr>
            </w:pPr>
          </w:p>
        </w:tc>
        <w:tc>
          <w:tcPr>
            <w:tcW w:w="102" w:type="pct"/>
            <w:shd w:val="clear" w:color="auto" w:fill="auto"/>
          </w:tcPr>
          <w:p w14:paraId="5C7C4FCB" w14:textId="77777777" w:rsidR="0008009C" w:rsidRDefault="0008009C">
            <w:pPr>
              <w:rPr>
                <w:rFonts w:ascii="宋体"/>
              </w:rPr>
            </w:pPr>
          </w:p>
        </w:tc>
        <w:tc>
          <w:tcPr>
            <w:tcW w:w="5" w:type="pct"/>
            <w:shd w:val="clear" w:color="auto" w:fill="auto"/>
          </w:tcPr>
          <w:p w14:paraId="5C7C4FCC" w14:textId="77777777" w:rsidR="0008009C" w:rsidRDefault="0008009C">
            <w:pPr>
              <w:rPr>
                <w:rFonts w:ascii="宋体"/>
              </w:rPr>
            </w:pPr>
          </w:p>
        </w:tc>
        <w:tc>
          <w:tcPr>
            <w:tcW w:w="50" w:type="pct"/>
            <w:shd w:val="clear" w:color="auto" w:fill="auto"/>
          </w:tcPr>
          <w:p w14:paraId="5C7C4FCD" w14:textId="77777777" w:rsidR="0008009C" w:rsidRDefault="0008009C">
            <w:pPr>
              <w:rPr>
                <w:rFonts w:ascii="宋体"/>
              </w:rPr>
            </w:pPr>
          </w:p>
        </w:tc>
        <w:tc>
          <w:tcPr>
            <w:tcW w:w="4678" w:type="pct"/>
            <w:shd w:val="clear" w:color="auto" w:fill="auto"/>
          </w:tcPr>
          <w:p w14:paraId="5C7C4FCE" w14:textId="77777777" w:rsidR="0008009C" w:rsidRDefault="0008009C">
            <w:pPr>
              <w:rPr>
                <w:rFonts w:ascii="宋体"/>
              </w:rPr>
            </w:pPr>
          </w:p>
        </w:tc>
        <w:tc>
          <w:tcPr>
            <w:tcW w:w="5" w:type="pct"/>
            <w:shd w:val="clear" w:color="auto" w:fill="auto"/>
          </w:tcPr>
          <w:p w14:paraId="5C7C4FCF" w14:textId="77777777" w:rsidR="0008009C" w:rsidRDefault="0008009C">
            <w:pPr>
              <w:rPr>
                <w:rFonts w:ascii="宋体"/>
              </w:rPr>
            </w:pPr>
          </w:p>
        </w:tc>
      </w:tr>
      <w:tr w:rsidR="0008009C" w14:paraId="5C7C4FD4" w14:textId="77777777">
        <w:tc>
          <w:tcPr>
            <w:tcW w:w="0" w:type="auto"/>
            <w:gridSpan w:val="3"/>
            <w:shd w:val="clear" w:color="auto" w:fill="auto"/>
            <w:tcMar>
              <w:top w:w="40" w:type="dxa"/>
              <w:left w:w="20" w:type="dxa"/>
              <w:bottom w:w="40" w:type="dxa"/>
              <w:right w:w="20" w:type="dxa"/>
            </w:tcMar>
            <w:vAlign w:val="bottom"/>
          </w:tcPr>
          <w:p w14:paraId="5C7C4FD1" w14:textId="77777777" w:rsidR="0008009C" w:rsidRDefault="00936FDF">
            <w:pPr>
              <w:textAlignment w:val="bottom"/>
            </w:pPr>
            <w:r>
              <w:rPr>
                <w:rFonts w:ascii="Arial" w:eastAsia="宋体" w:hAnsi="Arial" w:cs="Arial"/>
                <w:color w:val="262626"/>
                <w:sz w:val="16"/>
                <w:szCs w:val="16"/>
              </w:rPr>
              <w:t> </w:t>
            </w:r>
          </w:p>
        </w:tc>
        <w:tc>
          <w:tcPr>
            <w:tcW w:w="0" w:type="auto"/>
            <w:gridSpan w:val="3"/>
            <w:shd w:val="clear" w:color="auto" w:fill="auto"/>
            <w:tcMar>
              <w:top w:w="40" w:type="dxa"/>
              <w:left w:w="20" w:type="dxa"/>
              <w:bottom w:w="40" w:type="dxa"/>
              <w:right w:w="20" w:type="dxa"/>
            </w:tcMar>
          </w:tcPr>
          <w:p w14:paraId="5C7C4FD2" w14:textId="77777777" w:rsidR="0008009C" w:rsidRDefault="00936FDF">
            <w:pPr>
              <w:textAlignment w:val="top"/>
            </w:pPr>
            <w:r>
              <w:rPr>
                <w:rFonts w:ascii="Arial Unicode MS" w:eastAsia="Arial Unicode MS" w:hAnsi="Arial Unicode MS" w:cs="Arial Unicode MS" w:hint="eastAsia"/>
                <w:color w:val="262626"/>
              </w:rPr>
              <w:t>☐</w:t>
            </w:r>
          </w:p>
        </w:tc>
        <w:tc>
          <w:tcPr>
            <w:tcW w:w="0" w:type="auto"/>
            <w:gridSpan w:val="3"/>
            <w:shd w:val="clear" w:color="auto" w:fill="auto"/>
            <w:tcMar>
              <w:top w:w="40" w:type="dxa"/>
              <w:left w:w="20" w:type="dxa"/>
              <w:bottom w:w="40" w:type="dxa"/>
              <w:right w:w="20" w:type="dxa"/>
            </w:tcMar>
          </w:tcPr>
          <w:p w14:paraId="5C7C4FD3" w14:textId="77777777" w:rsidR="0008009C" w:rsidRDefault="00936FDF">
            <w:pPr>
              <w:textAlignment w:val="top"/>
            </w:pPr>
            <w:r>
              <w:rPr>
                <w:rFonts w:ascii="Arial" w:eastAsia="宋体" w:hAnsi="Arial" w:cs="Arial"/>
                <w:color w:val="262626"/>
                <w:sz w:val="18"/>
                <w:szCs w:val="18"/>
              </w:rPr>
              <w:t xml:space="preserve">TRANSITION REPORT PURSUANT TO SECTION 13 OR 15(d) OF </w:t>
            </w:r>
            <w:r>
              <w:rPr>
                <w:rFonts w:ascii="Arial" w:eastAsia="宋体" w:hAnsi="Arial" w:cs="Arial"/>
                <w:color w:val="262626"/>
                <w:sz w:val="18"/>
                <w:szCs w:val="18"/>
              </w:rPr>
              <w:t>THE SECURITIES EXCHANGE ACT OF 1934</w:t>
            </w:r>
          </w:p>
        </w:tc>
      </w:tr>
      <w:tr w:rsidR="0008009C" w14:paraId="5C7C4FD8" w14:textId="77777777">
        <w:tc>
          <w:tcPr>
            <w:tcW w:w="0" w:type="auto"/>
            <w:gridSpan w:val="3"/>
            <w:shd w:val="clear" w:color="auto" w:fill="auto"/>
            <w:tcMar>
              <w:top w:w="0" w:type="dxa"/>
              <w:left w:w="20" w:type="dxa"/>
              <w:bottom w:w="0" w:type="dxa"/>
              <w:right w:w="20" w:type="dxa"/>
            </w:tcMar>
          </w:tcPr>
          <w:p w14:paraId="5C7C4FD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4FD6"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4FD7" w14:textId="77777777" w:rsidR="0008009C" w:rsidRDefault="00936FDF">
            <w:pPr>
              <w:spacing w:before="100"/>
              <w:textAlignment w:val="bottom"/>
            </w:pPr>
            <w:r>
              <w:rPr>
                <w:rFonts w:ascii="Arial" w:eastAsia="宋体" w:hAnsi="Arial" w:cs="Arial"/>
                <w:color w:val="262626"/>
                <w:sz w:val="18"/>
                <w:szCs w:val="18"/>
              </w:rPr>
              <w:t xml:space="preserve">For the transition period from </w:t>
            </w:r>
            <w:r>
              <w:rPr>
                <w:rFonts w:ascii="Arial" w:eastAsia="宋体" w:hAnsi="Arial" w:cs="Arial"/>
                <w:color w:val="262626"/>
                <w:sz w:val="18"/>
                <w:szCs w:val="18"/>
                <w:u w:val="single"/>
              </w:rPr>
              <w:t>                </w:t>
            </w:r>
            <w:r>
              <w:rPr>
                <w:rFonts w:ascii="Arial" w:eastAsia="宋体" w:hAnsi="Arial" w:cs="Arial"/>
                <w:color w:val="262626"/>
                <w:sz w:val="18"/>
                <w:szCs w:val="18"/>
              </w:rPr>
              <w:t xml:space="preserve"> to </w:t>
            </w:r>
            <w:r>
              <w:rPr>
                <w:rFonts w:ascii="Arial" w:eastAsia="宋体" w:hAnsi="Arial" w:cs="Arial"/>
                <w:color w:val="262626"/>
                <w:sz w:val="18"/>
                <w:szCs w:val="18"/>
                <w:u w:val="single"/>
              </w:rPr>
              <w:t>                </w:t>
            </w:r>
          </w:p>
        </w:tc>
      </w:tr>
    </w:tbl>
    <w:p w14:paraId="5C7C4FD9" w14:textId="77777777" w:rsidR="0008009C" w:rsidRDefault="00936FDF">
      <w:pPr>
        <w:spacing w:before="120" w:after="120"/>
        <w:jc w:val="center"/>
      </w:pPr>
      <w:r>
        <w:rPr>
          <w:rFonts w:ascii="Arial" w:eastAsia="宋体" w:hAnsi="Arial" w:cs="Arial"/>
          <w:color w:val="262626"/>
          <w:sz w:val="18"/>
          <w:szCs w:val="18"/>
        </w:rPr>
        <w:t xml:space="preserve">Commission File Number </w:t>
      </w:r>
      <w:r>
        <w:rPr>
          <w:rFonts w:ascii="Arial" w:eastAsia="宋体" w:hAnsi="Arial" w:cs="Arial"/>
          <w:color w:val="262626"/>
          <w:sz w:val="18"/>
          <w:szCs w:val="18"/>
          <w:u w:val="single"/>
        </w:rPr>
        <w:t xml:space="preserve">000-06217 </w:t>
      </w:r>
    </w:p>
    <w:p w14:paraId="5C7C4FDA" w14:textId="77777777" w:rsidR="0008009C" w:rsidRDefault="00936FDF">
      <w:pPr>
        <w:spacing w:before="120" w:after="12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CE1" wp14:editId="5C7C7CE2">
            <wp:extent cx="304800" cy="304800"/>
            <wp:effectExtent l="0" t="0" r="0" b="0"/>
            <wp:docPr id="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C7C4FDB" w14:textId="77777777" w:rsidR="0008009C" w:rsidRDefault="00936FDF">
      <w:pPr>
        <w:jc w:val="center"/>
      </w:pPr>
      <w:r>
        <w:rPr>
          <w:rFonts w:ascii="Arial" w:eastAsia="宋体" w:hAnsi="Arial" w:cs="Arial"/>
          <w:b/>
          <w:bCs/>
          <w:color w:val="262626"/>
          <w:sz w:val="36"/>
          <w:szCs w:val="36"/>
        </w:rPr>
        <w:t xml:space="preserve">INTEL CORPORATION </w:t>
      </w:r>
    </w:p>
    <w:p w14:paraId="5C7C4FDC" w14:textId="77777777" w:rsidR="0008009C" w:rsidRDefault="00936FDF">
      <w:pPr>
        <w:jc w:val="center"/>
      </w:pPr>
      <w:r>
        <w:rPr>
          <w:rFonts w:ascii="Arial" w:eastAsia="宋体" w:hAnsi="Arial" w:cs="Arial"/>
          <w:color w:val="262626"/>
          <w:sz w:val="18"/>
          <w:szCs w:val="18"/>
        </w:rPr>
        <w:t>(Exact name of registrant as specified in its charter)</w:t>
      </w:r>
    </w:p>
    <w:tbl>
      <w:tblPr>
        <w:tblW w:w="4706" w:type="pct"/>
        <w:jc w:val="center"/>
        <w:tblCellMar>
          <w:top w:w="15" w:type="dxa"/>
          <w:left w:w="15" w:type="dxa"/>
          <w:bottom w:w="15" w:type="dxa"/>
          <w:right w:w="15" w:type="dxa"/>
        </w:tblCellMar>
        <w:tblLook w:val="04A0" w:firstRow="1" w:lastRow="0" w:firstColumn="1" w:lastColumn="0" w:noHBand="0" w:noVBand="1"/>
      </w:tblPr>
      <w:tblGrid>
        <w:gridCol w:w="59"/>
        <w:gridCol w:w="2230"/>
        <w:gridCol w:w="38"/>
        <w:gridCol w:w="59"/>
        <w:gridCol w:w="1751"/>
        <w:gridCol w:w="37"/>
        <w:gridCol w:w="59"/>
        <w:gridCol w:w="1021"/>
        <w:gridCol w:w="37"/>
        <w:gridCol w:w="36"/>
        <w:gridCol w:w="36"/>
        <w:gridCol w:w="36"/>
        <w:gridCol w:w="45"/>
        <w:gridCol w:w="2366"/>
        <w:gridCol w:w="36"/>
      </w:tblGrid>
      <w:tr w:rsidR="0008009C" w14:paraId="5C7C4FEC" w14:textId="77777777">
        <w:trPr>
          <w:jc w:val="center"/>
        </w:trPr>
        <w:tc>
          <w:tcPr>
            <w:tcW w:w="50" w:type="pct"/>
            <w:shd w:val="clear" w:color="auto" w:fill="auto"/>
          </w:tcPr>
          <w:p w14:paraId="5C7C4FDD" w14:textId="77777777" w:rsidR="0008009C" w:rsidRDefault="0008009C">
            <w:pPr>
              <w:rPr>
                <w:rFonts w:ascii="宋体"/>
              </w:rPr>
            </w:pPr>
          </w:p>
        </w:tc>
        <w:tc>
          <w:tcPr>
            <w:tcW w:w="1432" w:type="pct"/>
            <w:shd w:val="clear" w:color="auto" w:fill="auto"/>
          </w:tcPr>
          <w:p w14:paraId="5C7C4FDE" w14:textId="77777777" w:rsidR="0008009C" w:rsidRDefault="0008009C">
            <w:pPr>
              <w:rPr>
                <w:rFonts w:ascii="宋体"/>
              </w:rPr>
            </w:pPr>
          </w:p>
        </w:tc>
        <w:tc>
          <w:tcPr>
            <w:tcW w:w="5" w:type="pct"/>
            <w:shd w:val="clear" w:color="auto" w:fill="auto"/>
          </w:tcPr>
          <w:p w14:paraId="5C7C4FDF" w14:textId="77777777" w:rsidR="0008009C" w:rsidRDefault="0008009C">
            <w:pPr>
              <w:rPr>
                <w:rFonts w:ascii="宋体"/>
              </w:rPr>
            </w:pPr>
          </w:p>
        </w:tc>
        <w:tc>
          <w:tcPr>
            <w:tcW w:w="50" w:type="pct"/>
            <w:shd w:val="clear" w:color="auto" w:fill="auto"/>
          </w:tcPr>
          <w:p w14:paraId="5C7C4FE0" w14:textId="77777777" w:rsidR="0008009C" w:rsidRDefault="0008009C">
            <w:pPr>
              <w:rPr>
                <w:rFonts w:ascii="宋体"/>
              </w:rPr>
            </w:pPr>
          </w:p>
        </w:tc>
        <w:tc>
          <w:tcPr>
            <w:tcW w:w="1127" w:type="pct"/>
            <w:shd w:val="clear" w:color="auto" w:fill="auto"/>
          </w:tcPr>
          <w:p w14:paraId="5C7C4FE1" w14:textId="77777777" w:rsidR="0008009C" w:rsidRDefault="0008009C">
            <w:pPr>
              <w:rPr>
                <w:rFonts w:ascii="宋体"/>
              </w:rPr>
            </w:pPr>
          </w:p>
        </w:tc>
        <w:tc>
          <w:tcPr>
            <w:tcW w:w="5" w:type="pct"/>
            <w:shd w:val="clear" w:color="auto" w:fill="auto"/>
          </w:tcPr>
          <w:p w14:paraId="5C7C4FE2" w14:textId="77777777" w:rsidR="0008009C" w:rsidRDefault="0008009C">
            <w:pPr>
              <w:rPr>
                <w:rFonts w:ascii="宋体"/>
              </w:rPr>
            </w:pPr>
          </w:p>
        </w:tc>
        <w:tc>
          <w:tcPr>
            <w:tcW w:w="50" w:type="pct"/>
            <w:shd w:val="clear" w:color="auto" w:fill="auto"/>
          </w:tcPr>
          <w:p w14:paraId="5C7C4FE3" w14:textId="77777777" w:rsidR="0008009C" w:rsidRDefault="0008009C">
            <w:pPr>
              <w:rPr>
                <w:rFonts w:ascii="宋体"/>
              </w:rPr>
            </w:pPr>
          </w:p>
        </w:tc>
        <w:tc>
          <w:tcPr>
            <w:tcW w:w="663" w:type="pct"/>
            <w:shd w:val="clear" w:color="auto" w:fill="auto"/>
          </w:tcPr>
          <w:p w14:paraId="5C7C4FE4" w14:textId="77777777" w:rsidR="0008009C" w:rsidRDefault="0008009C">
            <w:pPr>
              <w:rPr>
                <w:rFonts w:ascii="宋体"/>
              </w:rPr>
            </w:pPr>
          </w:p>
        </w:tc>
        <w:tc>
          <w:tcPr>
            <w:tcW w:w="5" w:type="pct"/>
            <w:shd w:val="clear" w:color="auto" w:fill="auto"/>
          </w:tcPr>
          <w:p w14:paraId="5C7C4FE5" w14:textId="77777777" w:rsidR="0008009C" w:rsidRDefault="0008009C">
            <w:pPr>
              <w:rPr>
                <w:rFonts w:ascii="宋体"/>
              </w:rPr>
            </w:pPr>
          </w:p>
        </w:tc>
        <w:tc>
          <w:tcPr>
            <w:tcW w:w="5" w:type="pct"/>
            <w:shd w:val="clear" w:color="auto" w:fill="auto"/>
          </w:tcPr>
          <w:p w14:paraId="5C7C4FE6" w14:textId="77777777" w:rsidR="0008009C" w:rsidRDefault="0008009C">
            <w:pPr>
              <w:rPr>
                <w:rFonts w:ascii="宋体"/>
              </w:rPr>
            </w:pPr>
          </w:p>
        </w:tc>
        <w:tc>
          <w:tcPr>
            <w:tcW w:w="26" w:type="pct"/>
            <w:shd w:val="clear" w:color="auto" w:fill="auto"/>
          </w:tcPr>
          <w:p w14:paraId="5C7C4FE7" w14:textId="77777777" w:rsidR="0008009C" w:rsidRDefault="0008009C">
            <w:pPr>
              <w:rPr>
                <w:rFonts w:ascii="宋体"/>
              </w:rPr>
            </w:pPr>
          </w:p>
        </w:tc>
        <w:tc>
          <w:tcPr>
            <w:tcW w:w="5" w:type="pct"/>
            <w:shd w:val="clear" w:color="auto" w:fill="auto"/>
          </w:tcPr>
          <w:p w14:paraId="5C7C4FE8" w14:textId="77777777" w:rsidR="0008009C" w:rsidRDefault="0008009C">
            <w:pPr>
              <w:rPr>
                <w:rFonts w:ascii="宋体"/>
              </w:rPr>
            </w:pPr>
          </w:p>
        </w:tc>
        <w:tc>
          <w:tcPr>
            <w:tcW w:w="50" w:type="pct"/>
            <w:shd w:val="clear" w:color="auto" w:fill="auto"/>
          </w:tcPr>
          <w:p w14:paraId="5C7C4FE9" w14:textId="77777777" w:rsidR="0008009C" w:rsidRDefault="0008009C">
            <w:pPr>
              <w:rPr>
                <w:rFonts w:ascii="宋体"/>
              </w:rPr>
            </w:pPr>
          </w:p>
        </w:tc>
        <w:tc>
          <w:tcPr>
            <w:tcW w:w="1519" w:type="pct"/>
            <w:shd w:val="clear" w:color="auto" w:fill="auto"/>
          </w:tcPr>
          <w:p w14:paraId="5C7C4FEA" w14:textId="77777777" w:rsidR="0008009C" w:rsidRDefault="0008009C">
            <w:pPr>
              <w:rPr>
                <w:rFonts w:ascii="宋体"/>
              </w:rPr>
            </w:pPr>
          </w:p>
        </w:tc>
        <w:tc>
          <w:tcPr>
            <w:tcW w:w="5" w:type="pct"/>
            <w:shd w:val="clear" w:color="auto" w:fill="auto"/>
          </w:tcPr>
          <w:p w14:paraId="5C7C4FEB" w14:textId="77777777" w:rsidR="0008009C" w:rsidRDefault="0008009C">
            <w:pPr>
              <w:rPr>
                <w:rFonts w:ascii="宋体"/>
              </w:rPr>
            </w:pPr>
          </w:p>
        </w:tc>
      </w:tr>
      <w:tr w:rsidR="0008009C" w14:paraId="5C7C4FF2" w14:textId="77777777">
        <w:trPr>
          <w:jc w:val="center"/>
        </w:trPr>
        <w:tc>
          <w:tcPr>
            <w:tcW w:w="0" w:type="auto"/>
            <w:gridSpan w:val="3"/>
            <w:shd w:val="clear" w:color="auto" w:fill="auto"/>
            <w:tcMar>
              <w:top w:w="0" w:type="dxa"/>
              <w:left w:w="20" w:type="dxa"/>
              <w:bottom w:w="0" w:type="dxa"/>
              <w:right w:w="20" w:type="dxa"/>
            </w:tcMar>
          </w:tcPr>
          <w:p w14:paraId="5C7C4FED"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4FEE" w14:textId="77777777" w:rsidR="0008009C" w:rsidRDefault="00936FDF">
            <w:pPr>
              <w:textAlignment w:val="bottom"/>
            </w:pPr>
            <w:r>
              <w:rPr>
                <w:rFonts w:ascii="Arial" w:eastAsia="宋体" w:hAnsi="Arial" w:cs="Arial"/>
                <w:color w:val="262626"/>
                <w:sz w:val="18"/>
                <w:szCs w:val="18"/>
                <w:u w:val="single"/>
              </w:rPr>
              <w:t>Delaware</w:t>
            </w:r>
          </w:p>
        </w:tc>
        <w:tc>
          <w:tcPr>
            <w:tcW w:w="0" w:type="auto"/>
            <w:gridSpan w:val="3"/>
            <w:shd w:val="clear" w:color="auto" w:fill="auto"/>
            <w:tcMar>
              <w:top w:w="0" w:type="dxa"/>
              <w:left w:w="20" w:type="dxa"/>
              <w:bottom w:w="0" w:type="dxa"/>
              <w:right w:w="20" w:type="dxa"/>
            </w:tcMar>
          </w:tcPr>
          <w:p w14:paraId="5C7C4FE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4FF0"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4FF1" w14:textId="77777777" w:rsidR="0008009C" w:rsidRDefault="00936FDF">
            <w:pPr>
              <w:jc w:val="center"/>
              <w:textAlignment w:val="bottom"/>
            </w:pPr>
            <w:r>
              <w:rPr>
                <w:rFonts w:ascii="Arial" w:eastAsia="宋体" w:hAnsi="Arial" w:cs="Arial"/>
                <w:color w:val="262626"/>
                <w:sz w:val="18"/>
                <w:szCs w:val="18"/>
                <w:u w:val="single"/>
              </w:rPr>
              <w:t>94-1672743</w:t>
            </w:r>
          </w:p>
        </w:tc>
      </w:tr>
      <w:tr w:rsidR="0008009C" w14:paraId="5C7C4FF6" w14:textId="77777777">
        <w:trPr>
          <w:jc w:val="center"/>
        </w:trPr>
        <w:tc>
          <w:tcPr>
            <w:tcW w:w="0" w:type="auto"/>
            <w:gridSpan w:val="9"/>
            <w:shd w:val="clear" w:color="auto" w:fill="auto"/>
            <w:tcMar>
              <w:top w:w="40" w:type="dxa"/>
              <w:left w:w="20" w:type="dxa"/>
              <w:bottom w:w="40" w:type="dxa"/>
              <w:right w:w="20" w:type="dxa"/>
            </w:tcMar>
            <w:vAlign w:val="bottom"/>
          </w:tcPr>
          <w:p w14:paraId="5C7C4FF3" w14:textId="77777777" w:rsidR="0008009C" w:rsidRDefault="00936FDF">
            <w:pPr>
              <w:jc w:val="center"/>
              <w:textAlignment w:val="bottom"/>
            </w:pPr>
            <w:r>
              <w:rPr>
                <w:rFonts w:ascii="Arial" w:eastAsia="宋体" w:hAnsi="Arial" w:cs="Arial"/>
                <w:color w:val="262626"/>
                <w:sz w:val="18"/>
                <w:szCs w:val="18"/>
              </w:rPr>
              <w:t>(State or other jurisdiction of incorporation or organization)</w:t>
            </w:r>
          </w:p>
        </w:tc>
        <w:tc>
          <w:tcPr>
            <w:tcW w:w="0" w:type="auto"/>
            <w:gridSpan w:val="3"/>
            <w:shd w:val="clear" w:color="auto" w:fill="auto"/>
            <w:tcMar>
              <w:top w:w="0" w:type="dxa"/>
              <w:left w:w="20" w:type="dxa"/>
              <w:bottom w:w="0" w:type="dxa"/>
              <w:right w:w="20" w:type="dxa"/>
            </w:tcMar>
          </w:tcPr>
          <w:p w14:paraId="5C7C4FF4"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4FF5" w14:textId="77777777" w:rsidR="0008009C" w:rsidRDefault="00936FDF">
            <w:pPr>
              <w:jc w:val="center"/>
              <w:textAlignment w:val="bottom"/>
            </w:pPr>
            <w:r>
              <w:rPr>
                <w:rFonts w:ascii="Arial" w:eastAsia="宋体" w:hAnsi="Arial" w:cs="Arial"/>
                <w:color w:val="262626"/>
                <w:sz w:val="18"/>
                <w:szCs w:val="18"/>
              </w:rPr>
              <w:t>(I.R.S. Employer Identification No.)</w:t>
            </w:r>
          </w:p>
        </w:tc>
      </w:tr>
      <w:tr w:rsidR="0008009C" w14:paraId="5C7C4FFC" w14:textId="77777777">
        <w:trPr>
          <w:jc w:val="center"/>
          <w:hidden/>
        </w:trPr>
        <w:tc>
          <w:tcPr>
            <w:tcW w:w="0" w:type="auto"/>
            <w:gridSpan w:val="3"/>
            <w:shd w:val="clear" w:color="auto" w:fill="auto"/>
          </w:tcPr>
          <w:p w14:paraId="5C7C4FF7" w14:textId="77777777" w:rsidR="0008009C" w:rsidRDefault="0008009C">
            <w:pPr>
              <w:rPr>
                <w:rFonts w:ascii="宋体"/>
                <w:vanish/>
              </w:rPr>
            </w:pPr>
          </w:p>
        </w:tc>
        <w:tc>
          <w:tcPr>
            <w:tcW w:w="0" w:type="auto"/>
            <w:gridSpan w:val="3"/>
            <w:shd w:val="clear" w:color="auto" w:fill="auto"/>
          </w:tcPr>
          <w:p w14:paraId="5C7C4FF8" w14:textId="77777777" w:rsidR="0008009C" w:rsidRDefault="0008009C">
            <w:pPr>
              <w:rPr>
                <w:rFonts w:ascii="宋体"/>
                <w:vanish/>
              </w:rPr>
            </w:pPr>
          </w:p>
        </w:tc>
        <w:tc>
          <w:tcPr>
            <w:tcW w:w="0" w:type="auto"/>
            <w:gridSpan w:val="3"/>
            <w:shd w:val="clear" w:color="auto" w:fill="auto"/>
          </w:tcPr>
          <w:p w14:paraId="5C7C4FF9" w14:textId="77777777" w:rsidR="0008009C" w:rsidRDefault="0008009C">
            <w:pPr>
              <w:rPr>
                <w:rFonts w:ascii="宋体"/>
                <w:vanish/>
              </w:rPr>
            </w:pPr>
          </w:p>
        </w:tc>
        <w:tc>
          <w:tcPr>
            <w:tcW w:w="0" w:type="auto"/>
            <w:gridSpan w:val="3"/>
            <w:shd w:val="clear" w:color="auto" w:fill="auto"/>
          </w:tcPr>
          <w:p w14:paraId="5C7C4FFA" w14:textId="77777777" w:rsidR="0008009C" w:rsidRDefault="0008009C">
            <w:pPr>
              <w:rPr>
                <w:rFonts w:ascii="宋体"/>
                <w:vanish/>
              </w:rPr>
            </w:pPr>
          </w:p>
        </w:tc>
        <w:tc>
          <w:tcPr>
            <w:tcW w:w="0" w:type="auto"/>
            <w:gridSpan w:val="3"/>
            <w:shd w:val="clear" w:color="auto" w:fill="auto"/>
          </w:tcPr>
          <w:p w14:paraId="5C7C4FFB" w14:textId="77777777" w:rsidR="0008009C" w:rsidRDefault="0008009C">
            <w:pPr>
              <w:rPr>
                <w:rFonts w:ascii="宋体"/>
                <w:vanish/>
              </w:rPr>
            </w:pPr>
          </w:p>
        </w:tc>
      </w:tr>
      <w:tr w:rsidR="0008009C" w14:paraId="5C7C5002" w14:textId="77777777">
        <w:trPr>
          <w:jc w:val="center"/>
        </w:trPr>
        <w:tc>
          <w:tcPr>
            <w:tcW w:w="0" w:type="auto"/>
            <w:gridSpan w:val="3"/>
            <w:shd w:val="clear" w:color="auto" w:fill="auto"/>
            <w:tcMar>
              <w:top w:w="40" w:type="dxa"/>
              <w:left w:w="20" w:type="dxa"/>
              <w:bottom w:w="40" w:type="dxa"/>
              <w:right w:w="20" w:type="dxa"/>
            </w:tcMar>
          </w:tcPr>
          <w:p w14:paraId="5C7C4FFD" w14:textId="77777777" w:rsidR="0008009C" w:rsidRDefault="00936FDF">
            <w:pPr>
              <w:jc w:val="center"/>
              <w:textAlignment w:val="top"/>
            </w:pPr>
            <w:r>
              <w:rPr>
                <w:rFonts w:ascii="Arial" w:eastAsia="宋体" w:hAnsi="Arial" w:cs="Arial"/>
                <w:color w:val="262626"/>
                <w:sz w:val="18"/>
                <w:szCs w:val="18"/>
                <w:u w:val="single"/>
              </w:rPr>
              <w:t xml:space="preserve">2200 Mission College Boulevard, </w:t>
            </w:r>
          </w:p>
        </w:tc>
        <w:tc>
          <w:tcPr>
            <w:tcW w:w="0" w:type="auto"/>
            <w:gridSpan w:val="3"/>
            <w:shd w:val="clear" w:color="auto" w:fill="auto"/>
            <w:tcMar>
              <w:top w:w="40" w:type="dxa"/>
              <w:left w:w="20" w:type="dxa"/>
              <w:bottom w:w="40" w:type="dxa"/>
              <w:right w:w="20" w:type="dxa"/>
            </w:tcMar>
          </w:tcPr>
          <w:p w14:paraId="5C7C4FFE" w14:textId="77777777" w:rsidR="0008009C" w:rsidRDefault="00936FDF">
            <w:pPr>
              <w:jc w:val="center"/>
              <w:textAlignment w:val="top"/>
            </w:pPr>
            <w:r>
              <w:rPr>
                <w:rFonts w:ascii="Arial" w:eastAsia="宋体" w:hAnsi="Arial" w:cs="Arial"/>
                <w:color w:val="262626"/>
                <w:sz w:val="18"/>
                <w:szCs w:val="18"/>
                <w:u w:val="single"/>
              </w:rPr>
              <w:t xml:space="preserve">Santa Clara, </w:t>
            </w:r>
          </w:p>
        </w:tc>
        <w:tc>
          <w:tcPr>
            <w:tcW w:w="0" w:type="auto"/>
            <w:gridSpan w:val="3"/>
            <w:shd w:val="clear" w:color="auto" w:fill="auto"/>
            <w:tcMar>
              <w:top w:w="40" w:type="dxa"/>
              <w:left w:w="20" w:type="dxa"/>
              <w:bottom w:w="40" w:type="dxa"/>
              <w:right w:w="20" w:type="dxa"/>
            </w:tcMar>
          </w:tcPr>
          <w:p w14:paraId="5C7C4FFF" w14:textId="77777777" w:rsidR="0008009C" w:rsidRDefault="00936FDF">
            <w:pPr>
              <w:jc w:val="center"/>
              <w:textAlignment w:val="top"/>
            </w:pPr>
            <w:r>
              <w:rPr>
                <w:rFonts w:ascii="Arial" w:eastAsia="宋体" w:hAnsi="Arial" w:cs="Arial"/>
                <w:color w:val="262626"/>
                <w:sz w:val="18"/>
                <w:szCs w:val="18"/>
                <w:u w:val="single"/>
              </w:rPr>
              <w:t>California</w:t>
            </w:r>
          </w:p>
        </w:tc>
        <w:tc>
          <w:tcPr>
            <w:tcW w:w="0" w:type="auto"/>
            <w:gridSpan w:val="3"/>
            <w:shd w:val="clear" w:color="auto" w:fill="auto"/>
            <w:tcMar>
              <w:top w:w="0" w:type="dxa"/>
              <w:left w:w="20" w:type="dxa"/>
              <w:bottom w:w="0" w:type="dxa"/>
              <w:right w:w="20" w:type="dxa"/>
            </w:tcMar>
          </w:tcPr>
          <w:p w14:paraId="5C7C5000"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5001" w14:textId="77777777" w:rsidR="0008009C" w:rsidRDefault="00936FDF">
            <w:pPr>
              <w:jc w:val="center"/>
              <w:textAlignment w:val="top"/>
            </w:pPr>
            <w:r>
              <w:rPr>
                <w:rFonts w:ascii="Arial" w:eastAsia="宋体" w:hAnsi="Arial" w:cs="Arial"/>
                <w:color w:val="262626"/>
                <w:sz w:val="18"/>
                <w:szCs w:val="18"/>
                <w:u w:val="single"/>
              </w:rPr>
              <w:t>95054-1549</w:t>
            </w:r>
          </w:p>
        </w:tc>
      </w:tr>
      <w:tr w:rsidR="0008009C" w14:paraId="5C7C5006" w14:textId="77777777">
        <w:trPr>
          <w:jc w:val="center"/>
        </w:trPr>
        <w:tc>
          <w:tcPr>
            <w:tcW w:w="0" w:type="auto"/>
            <w:gridSpan w:val="9"/>
            <w:shd w:val="clear" w:color="auto" w:fill="auto"/>
            <w:tcMar>
              <w:top w:w="40" w:type="dxa"/>
              <w:left w:w="20" w:type="dxa"/>
              <w:bottom w:w="40" w:type="dxa"/>
              <w:right w:w="20" w:type="dxa"/>
            </w:tcMar>
          </w:tcPr>
          <w:p w14:paraId="5C7C5003" w14:textId="77777777" w:rsidR="0008009C" w:rsidRDefault="00936FDF">
            <w:pPr>
              <w:jc w:val="center"/>
              <w:textAlignment w:val="top"/>
            </w:pPr>
            <w:r>
              <w:rPr>
                <w:rFonts w:ascii="Arial" w:eastAsia="宋体" w:hAnsi="Arial" w:cs="Arial"/>
                <w:color w:val="262626"/>
                <w:sz w:val="18"/>
                <w:szCs w:val="18"/>
              </w:rPr>
              <w:t>(Address of principal executive offices)</w:t>
            </w:r>
          </w:p>
        </w:tc>
        <w:tc>
          <w:tcPr>
            <w:tcW w:w="0" w:type="auto"/>
            <w:gridSpan w:val="3"/>
            <w:shd w:val="clear" w:color="auto" w:fill="auto"/>
            <w:tcMar>
              <w:top w:w="0" w:type="dxa"/>
              <w:left w:w="20" w:type="dxa"/>
              <w:bottom w:w="0" w:type="dxa"/>
              <w:right w:w="20" w:type="dxa"/>
            </w:tcMar>
          </w:tcPr>
          <w:p w14:paraId="5C7C5004"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5005" w14:textId="77777777" w:rsidR="0008009C" w:rsidRDefault="00936FDF">
            <w:pPr>
              <w:jc w:val="center"/>
              <w:textAlignment w:val="top"/>
            </w:pPr>
            <w:r>
              <w:rPr>
                <w:rFonts w:ascii="Arial" w:eastAsia="宋体" w:hAnsi="Arial" w:cs="Arial"/>
                <w:color w:val="262626"/>
                <w:sz w:val="18"/>
                <w:szCs w:val="18"/>
              </w:rPr>
              <w:t>(Zip Code)</w:t>
            </w:r>
          </w:p>
        </w:tc>
      </w:tr>
    </w:tbl>
    <w:p w14:paraId="5C7C5007" w14:textId="77777777" w:rsidR="0008009C" w:rsidRDefault="00936FDF">
      <w:pPr>
        <w:spacing w:before="180"/>
        <w:jc w:val="center"/>
      </w:pPr>
      <w:r>
        <w:rPr>
          <w:rFonts w:ascii="Arial" w:eastAsia="宋体" w:hAnsi="Arial" w:cs="Arial"/>
          <w:color w:val="262626"/>
          <w:sz w:val="18"/>
          <w:szCs w:val="18"/>
          <w:u w:val="single"/>
        </w:rPr>
        <w:t xml:space="preserve">(408) 765-8080 </w:t>
      </w:r>
    </w:p>
    <w:p w14:paraId="5C7C5008" w14:textId="77777777" w:rsidR="0008009C" w:rsidRDefault="00936FDF">
      <w:pPr>
        <w:spacing w:after="120"/>
        <w:jc w:val="center"/>
      </w:pPr>
      <w:r>
        <w:rPr>
          <w:rFonts w:ascii="Arial" w:eastAsia="宋体" w:hAnsi="Arial" w:cs="Arial"/>
          <w:color w:val="262626"/>
          <w:sz w:val="18"/>
          <w:szCs w:val="18"/>
        </w:rPr>
        <w:t>(Registrant’s telephone number, including area code)</w:t>
      </w:r>
    </w:p>
    <w:p w14:paraId="5C7C5009" w14:textId="77777777" w:rsidR="0008009C" w:rsidRDefault="00936FDF">
      <w:pPr>
        <w:spacing w:before="120"/>
        <w:jc w:val="center"/>
      </w:pPr>
      <w:r>
        <w:rPr>
          <w:rFonts w:ascii="Arial" w:eastAsia="宋体" w:hAnsi="Arial" w:cs="Arial"/>
          <w:color w:val="262626"/>
          <w:sz w:val="18"/>
          <w:szCs w:val="18"/>
          <w:u w:val="single"/>
        </w:rPr>
        <w:t>N/A</w:t>
      </w:r>
    </w:p>
    <w:p w14:paraId="5C7C500A" w14:textId="77777777" w:rsidR="0008009C" w:rsidRDefault="00936FDF">
      <w:pPr>
        <w:spacing w:after="180"/>
        <w:jc w:val="center"/>
      </w:pPr>
      <w:r>
        <w:rPr>
          <w:rFonts w:ascii="Arial" w:eastAsia="宋体" w:hAnsi="Arial" w:cs="Arial"/>
          <w:color w:val="262626"/>
          <w:sz w:val="18"/>
          <w:szCs w:val="18"/>
        </w:rPr>
        <w:t>(Former name, former address and former fiscal year, if changed since last report)</w:t>
      </w:r>
    </w:p>
    <w:p w14:paraId="5C7C500B" w14:textId="77777777" w:rsidR="0008009C" w:rsidRDefault="00936FDF">
      <w:r>
        <w:rPr>
          <w:rFonts w:ascii="Arial" w:eastAsia="宋体" w:hAnsi="Arial" w:cs="Arial"/>
          <w:color w:val="262626"/>
          <w:sz w:val="18"/>
          <w:szCs w:val="18"/>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2492"/>
        <w:gridCol w:w="37"/>
        <w:gridCol w:w="69"/>
        <w:gridCol w:w="1852"/>
        <w:gridCol w:w="36"/>
        <w:gridCol w:w="69"/>
        <w:gridCol w:w="3676"/>
        <w:gridCol w:w="36"/>
      </w:tblGrid>
      <w:tr w:rsidR="0008009C" w14:paraId="5C7C5015" w14:textId="77777777">
        <w:tc>
          <w:tcPr>
            <w:tcW w:w="50" w:type="pct"/>
            <w:shd w:val="clear" w:color="auto" w:fill="auto"/>
          </w:tcPr>
          <w:p w14:paraId="5C7C500C" w14:textId="77777777" w:rsidR="0008009C" w:rsidRDefault="0008009C">
            <w:pPr>
              <w:rPr>
                <w:rFonts w:ascii="宋体"/>
              </w:rPr>
            </w:pPr>
          </w:p>
        </w:tc>
        <w:tc>
          <w:tcPr>
            <w:tcW w:w="1502" w:type="pct"/>
            <w:shd w:val="clear" w:color="auto" w:fill="auto"/>
          </w:tcPr>
          <w:p w14:paraId="5C7C500D" w14:textId="77777777" w:rsidR="0008009C" w:rsidRDefault="0008009C">
            <w:pPr>
              <w:rPr>
                <w:rFonts w:ascii="宋体"/>
              </w:rPr>
            </w:pPr>
          </w:p>
        </w:tc>
        <w:tc>
          <w:tcPr>
            <w:tcW w:w="5" w:type="pct"/>
            <w:shd w:val="clear" w:color="auto" w:fill="auto"/>
          </w:tcPr>
          <w:p w14:paraId="5C7C500E" w14:textId="77777777" w:rsidR="0008009C" w:rsidRDefault="0008009C">
            <w:pPr>
              <w:rPr>
                <w:rFonts w:ascii="宋体"/>
              </w:rPr>
            </w:pPr>
          </w:p>
        </w:tc>
        <w:tc>
          <w:tcPr>
            <w:tcW w:w="50" w:type="pct"/>
            <w:shd w:val="clear" w:color="auto" w:fill="auto"/>
          </w:tcPr>
          <w:p w14:paraId="5C7C500F" w14:textId="77777777" w:rsidR="0008009C" w:rsidRDefault="0008009C">
            <w:pPr>
              <w:rPr>
                <w:rFonts w:ascii="宋体"/>
              </w:rPr>
            </w:pPr>
          </w:p>
        </w:tc>
        <w:tc>
          <w:tcPr>
            <w:tcW w:w="1119" w:type="pct"/>
            <w:shd w:val="clear" w:color="auto" w:fill="auto"/>
          </w:tcPr>
          <w:p w14:paraId="5C7C5010" w14:textId="77777777" w:rsidR="0008009C" w:rsidRDefault="0008009C">
            <w:pPr>
              <w:rPr>
                <w:rFonts w:ascii="宋体"/>
              </w:rPr>
            </w:pPr>
          </w:p>
        </w:tc>
        <w:tc>
          <w:tcPr>
            <w:tcW w:w="5" w:type="pct"/>
            <w:shd w:val="clear" w:color="auto" w:fill="auto"/>
          </w:tcPr>
          <w:p w14:paraId="5C7C5011" w14:textId="77777777" w:rsidR="0008009C" w:rsidRDefault="0008009C">
            <w:pPr>
              <w:rPr>
                <w:rFonts w:ascii="宋体"/>
              </w:rPr>
            </w:pPr>
          </w:p>
        </w:tc>
        <w:tc>
          <w:tcPr>
            <w:tcW w:w="50" w:type="pct"/>
            <w:shd w:val="clear" w:color="auto" w:fill="auto"/>
          </w:tcPr>
          <w:p w14:paraId="5C7C5012" w14:textId="77777777" w:rsidR="0008009C" w:rsidRDefault="0008009C">
            <w:pPr>
              <w:rPr>
                <w:rFonts w:ascii="宋体"/>
              </w:rPr>
            </w:pPr>
          </w:p>
        </w:tc>
        <w:tc>
          <w:tcPr>
            <w:tcW w:w="2212" w:type="pct"/>
            <w:shd w:val="clear" w:color="auto" w:fill="auto"/>
          </w:tcPr>
          <w:p w14:paraId="5C7C5013" w14:textId="77777777" w:rsidR="0008009C" w:rsidRDefault="0008009C">
            <w:pPr>
              <w:rPr>
                <w:rFonts w:ascii="宋体"/>
              </w:rPr>
            </w:pPr>
          </w:p>
        </w:tc>
        <w:tc>
          <w:tcPr>
            <w:tcW w:w="5" w:type="pct"/>
            <w:shd w:val="clear" w:color="auto" w:fill="auto"/>
          </w:tcPr>
          <w:p w14:paraId="5C7C5014" w14:textId="77777777" w:rsidR="0008009C" w:rsidRDefault="0008009C">
            <w:pPr>
              <w:rPr>
                <w:rFonts w:ascii="宋体"/>
              </w:rPr>
            </w:pPr>
          </w:p>
        </w:tc>
      </w:tr>
      <w:tr w:rsidR="0008009C" w14:paraId="5C7C5019" w14:textId="77777777">
        <w:tc>
          <w:tcPr>
            <w:tcW w:w="0" w:type="auto"/>
            <w:gridSpan w:val="3"/>
            <w:shd w:val="clear" w:color="auto" w:fill="auto"/>
            <w:tcMar>
              <w:top w:w="40" w:type="dxa"/>
              <w:left w:w="20" w:type="dxa"/>
              <w:bottom w:w="40" w:type="dxa"/>
              <w:right w:w="20" w:type="dxa"/>
            </w:tcMar>
          </w:tcPr>
          <w:p w14:paraId="5C7C5016" w14:textId="77777777" w:rsidR="0008009C" w:rsidRDefault="00936FDF">
            <w:pPr>
              <w:jc w:val="center"/>
              <w:textAlignment w:val="top"/>
            </w:pPr>
            <w:r>
              <w:rPr>
                <w:rFonts w:ascii="Arial" w:eastAsia="宋体" w:hAnsi="Arial" w:cs="Arial"/>
                <w:color w:val="262626"/>
                <w:sz w:val="18"/>
                <w:szCs w:val="18"/>
              </w:rPr>
              <w:t>Title of each class</w:t>
            </w:r>
          </w:p>
        </w:tc>
        <w:tc>
          <w:tcPr>
            <w:tcW w:w="0" w:type="auto"/>
            <w:gridSpan w:val="3"/>
            <w:shd w:val="clear" w:color="auto" w:fill="auto"/>
            <w:tcMar>
              <w:top w:w="40" w:type="dxa"/>
              <w:left w:w="20" w:type="dxa"/>
              <w:bottom w:w="40" w:type="dxa"/>
              <w:right w:w="20" w:type="dxa"/>
            </w:tcMar>
          </w:tcPr>
          <w:p w14:paraId="5C7C5017" w14:textId="77777777" w:rsidR="0008009C" w:rsidRDefault="00936FDF">
            <w:pPr>
              <w:jc w:val="center"/>
              <w:textAlignment w:val="top"/>
            </w:pPr>
            <w:r>
              <w:rPr>
                <w:rFonts w:ascii="Arial" w:eastAsia="宋体" w:hAnsi="Arial" w:cs="Arial"/>
                <w:color w:val="262626"/>
                <w:sz w:val="18"/>
                <w:szCs w:val="18"/>
              </w:rPr>
              <w:t>Trading Symbol(s)</w:t>
            </w:r>
          </w:p>
        </w:tc>
        <w:tc>
          <w:tcPr>
            <w:tcW w:w="0" w:type="auto"/>
            <w:gridSpan w:val="3"/>
            <w:shd w:val="clear" w:color="auto" w:fill="auto"/>
            <w:tcMar>
              <w:top w:w="40" w:type="dxa"/>
              <w:left w:w="20" w:type="dxa"/>
              <w:bottom w:w="40" w:type="dxa"/>
              <w:right w:w="20" w:type="dxa"/>
            </w:tcMar>
          </w:tcPr>
          <w:p w14:paraId="5C7C5018" w14:textId="77777777" w:rsidR="0008009C" w:rsidRDefault="00936FDF">
            <w:pPr>
              <w:jc w:val="center"/>
              <w:textAlignment w:val="top"/>
            </w:pPr>
            <w:r>
              <w:rPr>
                <w:rFonts w:ascii="Arial" w:eastAsia="宋体" w:hAnsi="Arial" w:cs="Arial"/>
                <w:color w:val="262626"/>
                <w:sz w:val="18"/>
                <w:szCs w:val="18"/>
              </w:rPr>
              <w:t>Name of each exchange on which registered</w:t>
            </w:r>
          </w:p>
        </w:tc>
      </w:tr>
      <w:tr w:rsidR="0008009C" w14:paraId="5C7C501D" w14:textId="77777777">
        <w:tc>
          <w:tcPr>
            <w:tcW w:w="0" w:type="auto"/>
            <w:gridSpan w:val="3"/>
            <w:shd w:val="clear" w:color="auto" w:fill="auto"/>
            <w:tcMar>
              <w:top w:w="40" w:type="dxa"/>
              <w:left w:w="20" w:type="dxa"/>
              <w:bottom w:w="40" w:type="dxa"/>
              <w:right w:w="20" w:type="dxa"/>
            </w:tcMar>
            <w:vAlign w:val="bottom"/>
          </w:tcPr>
          <w:p w14:paraId="5C7C501A" w14:textId="77777777" w:rsidR="0008009C" w:rsidRDefault="00936FDF">
            <w:pPr>
              <w:jc w:val="center"/>
              <w:textAlignment w:val="bottom"/>
            </w:pPr>
            <w:r>
              <w:rPr>
                <w:rFonts w:ascii="Arial" w:eastAsia="宋体" w:hAnsi="Arial" w:cs="Arial"/>
                <w:color w:val="262626"/>
                <w:sz w:val="18"/>
                <w:szCs w:val="18"/>
              </w:rPr>
              <w:t>Common stock, $0.001 par value</w:t>
            </w:r>
          </w:p>
        </w:tc>
        <w:tc>
          <w:tcPr>
            <w:tcW w:w="0" w:type="auto"/>
            <w:gridSpan w:val="3"/>
            <w:shd w:val="clear" w:color="auto" w:fill="auto"/>
            <w:tcMar>
              <w:top w:w="40" w:type="dxa"/>
              <w:left w:w="20" w:type="dxa"/>
              <w:bottom w:w="40" w:type="dxa"/>
              <w:right w:w="20" w:type="dxa"/>
            </w:tcMar>
            <w:vAlign w:val="bottom"/>
          </w:tcPr>
          <w:p w14:paraId="5C7C501B" w14:textId="77777777" w:rsidR="0008009C" w:rsidRDefault="00936FDF">
            <w:pPr>
              <w:jc w:val="center"/>
              <w:textAlignment w:val="bottom"/>
            </w:pPr>
            <w:r>
              <w:rPr>
                <w:rFonts w:ascii="Arial" w:eastAsia="宋体" w:hAnsi="Arial" w:cs="Arial"/>
                <w:color w:val="262626"/>
                <w:sz w:val="18"/>
                <w:szCs w:val="18"/>
              </w:rPr>
              <w:t>INTC</w:t>
            </w:r>
          </w:p>
        </w:tc>
        <w:tc>
          <w:tcPr>
            <w:tcW w:w="0" w:type="auto"/>
            <w:gridSpan w:val="3"/>
            <w:shd w:val="clear" w:color="auto" w:fill="auto"/>
            <w:tcMar>
              <w:top w:w="40" w:type="dxa"/>
              <w:left w:w="20" w:type="dxa"/>
              <w:bottom w:w="40" w:type="dxa"/>
              <w:right w:w="20" w:type="dxa"/>
            </w:tcMar>
            <w:vAlign w:val="bottom"/>
          </w:tcPr>
          <w:p w14:paraId="5C7C501C" w14:textId="77777777" w:rsidR="0008009C" w:rsidRDefault="00936FDF">
            <w:pPr>
              <w:jc w:val="center"/>
              <w:textAlignment w:val="bottom"/>
            </w:pPr>
            <w:r>
              <w:rPr>
                <w:rFonts w:ascii="Arial" w:eastAsia="宋体" w:hAnsi="Arial" w:cs="Arial"/>
                <w:color w:val="262626"/>
                <w:sz w:val="18"/>
                <w:szCs w:val="18"/>
              </w:rPr>
              <w:t>Nasdaq Global Select Market</w:t>
            </w:r>
          </w:p>
        </w:tc>
      </w:tr>
    </w:tbl>
    <w:p w14:paraId="5C7C501E" w14:textId="77777777" w:rsidR="0008009C" w:rsidRDefault="00936FDF">
      <w:pPr>
        <w:spacing w:before="60" w:after="180"/>
      </w:pPr>
      <w:r>
        <w:rPr>
          <w:rFonts w:ascii="Arial" w:eastAsia="宋体" w:hAnsi="Arial" w:cs="Arial"/>
          <w:color w:val="262626"/>
          <w:sz w:val="18"/>
          <w:szCs w:val="18"/>
        </w:rPr>
        <w:t xml:space="preserve">Indicate by check mark whether the registrant (1) has filed all reports required to be filed by Section 13 or 15(d) of the </w:t>
      </w:r>
      <w:r>
        <w:rPr>
          <w:rFonts w:ascii="Arial" w:eastAsia="宋体" w:hAnsi="Arial" w:cs="Arial"/>
          <w:color w:val="262626"/>
          <w:sz w:val="18"/>
          <w:szCs w:val="18"/>
        </w:rPr>
        <w:t>Securities Exchange Act of 1934 during the 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color w:val="262626"/>
        </w:rPr>
        <w:t>☑</w:t>
      </w:r>
      <w:r>
        <w:rPr>
          <w:rFonts w:ascii="Arial" w:eastAsia="宋体" w:hAnsi="Arial" w:cs="Arial"/>
          <w:color w:val="262626"/>
          <w:sz w:val="18"/>
          <w:szCs w:val="18"/>
        </w:rPr>
        <w:t xml:space="preserve">    No  </w:t>
      </w:r>
      <w:r>
        <w:rPr>
          <w:rFonts w:ascii="Wingdings" w:eastAsia="宋体" w:hAnsi="Wingdings" w:cs="Wingdings"/>
          <w:color w:val="262626"/>
          <w:sz w:val="18"/>
          <w:szCs w:val="18"/>
        </w:rPr>
        <w:t>¨</w:t>
      </w:r>
    </w:p>
    <w:p w14:paraId="5C7C501F" w14:textId="77777777" w:rsidR="0008009C" w:rsidRDefault="00936FDF">
      <w:pPr>
        <w:spacing w:before="60" w:after="180"/>
      </w:pPr>
      <w:r>
        <w:rPr>
          <w:rFonts w:ascii="Arial" w:eastAsia="宋体" w:hAnsi="Arial" w:cs="Arial"/>
          <w:color w:val="262626"/>
          <w:sz w:val="18"/>
          <w:szCs w:val="18"/>
        </w:rPr>
        <w:t xml:space="preserve">Indicate by check </w:t>
      </w:r>
      <w:r>
        <w:rPr>
          <w:rFonts w:ascii="Arial" w:eastAsia="宋体" w:hAnsi="Arial" w:cs="Arial"/>
          <w:color w:val="262626"/>
          <w:sz w:val="18"/>
          <w:szCs w:val="18"/>
        </w:rPr>
        <w:t>mark whether the registrant has submitted electronically every Interactive Data File required to be submitted pursuant to Rule 405 of Regulation S-T (§232.405 of this chapter) during the preceding 12 months (or for such shorter period that the registrant w</w:t>
      </w:r>
      <w:r>
        <w:rPr>
          <w:rFonts w:ascii="Arial" w:eastAsia="宋体" w:hAnsi="Arial" w:cs="Arial"/>
          <w:color w:val="262626"/>
          <w:sz w:val="18"/>
          <w:szCs w:val="18"/>
        </w:rPr>
        <w:t>as required to submit such files).  Yes  </w:t>
      </w:r>
      <w:r>
        <w:rPr>
          <w:rFonts w:ascii="Arial Unicode MS" w:eastAsia="Arial Unicode MS" w:hAnsi="Arial Unicode MS" w:cs="Arial Unicode MS" w:hint="eastAsia"/>
          <w:color w:val="262626"/>
        </w:rPr>
        <w:t>☑</w:t>
      </w:r>
      <w:r>
        <w:rPr>
          <w:rFonts w:ascii="Arial" w:eastAsia="宋体" w:hAnsi="Arial" w:cs="Arial"/>
          <w:color w:val="262626"/>
          <w:sz w:val="18"/>
          <w:szCs w:val="18"/>
        </w:rPr>
        <w:t xml:space="preserve">    No  </w:t>
      </w:r>
      <w:r>
        <w:rPr>
          <w:rFonts w:ascii="Wingdings" w:eastAsia="宋体" w:hAnsi="Wingdings" w:cs="Wingdings"/>
          <w:color w:val="262626"/>
          <w:sz w:val="18"/>
          <w:szCs w:val="18"/>
        </w:rPr>
        <w:t>¨</w:t>
      </w:r>
    </w:p>
    <w:p w14:paraId="5C7C5020" w14:textId="77777777" w:rsidR="0008009C" w:rsidRDefault="00936FDF">
      <w:pPr>
        <w:spacing w:before="60" w:after="120"/>
      </w:pPr>
      <w:r>
        <w:rPr>
          <w:rFonts w:ascii="Arial" w:eastAsia="宋体" w:hAnsi="Arial" w:cs="Arial"/>
          <w:color w:val="262626"/>
          <w:sz w:val="18"/>
          <w:szCs w:val="18"/>
        </w:rPr>
        <w:lastRenderedPageBreak/>
        <w:t>Indicate by check mark whether the registrant is a large accelerated filer, an accelerated filer, a non-accelerated filer, a smaller reporting company, or an emerging growth company. See the definitions o</w:t>
      </w:r>
      <w:r>
        <w:rPr>
          <w:rFonts w:ascii="Arial" w:eastAsia="宋体" w:hAnsi="Arial" w:cs="Arial"/>
          <w:color w:val="262626"/>
          <w:sz w:val="18"/>
          <w:szCs w:val="18"/>
        </w:rPr>
        <w:t>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5"/>
        <w:gridCol w:w="1111"/>
        <w:gridCol w:w="36"/>
        <w:gridCol w:w="36"/>
        <w:gridCol w:w="104"/>
        <w:gridCol w:w="1317"/>
        <w:gridCol w:w="36"/>
        <w:gridCol w:w="36"/>
        <w:gridCol w:w="53"/>
        <w:gridCol w:w="1743"/>
        <w:gridCol w:w="36"/>
        <w:gridCol w:w="36"/>
        <w:gridCol w:w="106"/>
        <w:gridCol w:w="2125"/>
        <w:gridCol w:w="36"/>
        <w:gridCol w:w="43"/>
        <w:gridCol w:w="1391"/>
        <w:gridCol w:w="36"/>
      </w:tblGrid>
      <w:tr w:rsidR="0008009C" w14:paraId="5C7C5033" w14:textId="77777777">
        <w:tc>
          <w:tcPr>
            <w:tcW w:w="50" w:type="pct"/>
            <w:shd w:val="clear" w:color="auto" w:fill="auto"/>
          </w:tcPr>
          <w:p w14:paraId="5C7C5021" w14:textId="77777777" w:rsidR="0008009C" w:rsidRDefault="0008009C">
            <w:pPr>
              <w:rPr>
                <w:rFonts w:ascii="宋体"/>
              </w:rPr>
            </w:pPr>
          </w:p>
        </w:tc>
        <w:tc>
          <w:tcPr>
            <w:tcW w:w="846" w:type="pct"/>
            <w:shd w:val="clear" w:color="auto" w:fill="auto"/>
          </w:tcPr>
          <w:p w14:paraId="5C7C5022" w14:textId="77777777" w:rsidR="0008009C" w:rsidRDefault="0008009C">
            <w:pPr>
              <w:rPr>
                <w:rFonts w:ascii="宋体"/>
              </w:rPr>
            </w:pPr>
          </w:p>
        </w:tc>
        <w:tc>
          <w:tcPr>
            <w:tcW w:w="5" w:type="pct"/>
            <w:shd w:val="clear" w:color="auto" w:fill="auto"/>
          </w:tcPr>
          <w:p w14:paraId="5C7C5023" w14:textId="77777777" w:rsidR="0008009C" w:rsidRDefault="0008009C">
            <w:pPr>
              <w:rPr>
                <w:rFonts w:ascii="宋体"/>
              </w:rPr>
            </w:pPr>
          </w:p>
        </w:tc>
        <w:tc>
          <w:tcPr>
            <w:tcW w:w="0" w:type="auto"/>
            <w:shd w:val="clear" w:color="auto" w:fill="auto"/>
          </w:tcPr>
          <w:p w14:paraId="5C7C5024" w14:textId="77777777" w:rsidR="0008009C" w:rsidRDefault="0008009C">
            <w:pPr>
              <w:rPr>
                <w:rFonts w:ascii="宋体"/>
                <w:vanish/>
              </w:rPr>
            </w:pPr>
          </w:p>
        </w:tc>
        <w:tc>
          <w:tcPr>
            <w:tcW w:w="50" w:type="pct"/>
            <w:shd w:val="clear" w:color="auto" w:fill="auto"/>
          </w:tcPr>
          <w:p w14:paraId="5C7C5025" w14:textId="77777777" w:rsidR="0008009C" w:rsidRDefault="0008009C">
            <w:pPr>
              <w:rPr>
                <w:rFonts w:ascii="宋体"/>
              </w:rPr>
            </w:pPr>
          </w:p>
        </w:tc>
        <w:tc>
          <w:tcPr>
            <w:tcW w:w="634" w:type="pct"/>
            <w:shd w:val="clear" w:color="auto" w:fill="auto"/>
          </w:tcPr>
          <w:p w14:paraId="5C7C5026" w14:textId="77777777" w:rsidR="0008009C" w:rsidRDefault="0008009C">
            <w:pPr>
              <w:rPr>
                <w:rFonts w:ascii="宋体"/>
              </w:rPr>
            </w:pPr>
          </w:p>
        </w:tc>
        <w:tc>
          <w:tcPr>
            <w:tcW w:w="5" w:type="pct"/>
            <w:shd w:val="clear" w:color="auto" w:fill="auto"/>
          </w:tcPr>
          <w:p w14:paraId="5C7C5027" w14:textId="77777777" w:rsidR="0008009C" w:rsidRDefault="0008009C">
            <w:pPr>
              <w:rPr>
                <w:rFonts w:ascii="宋体"/>
              </w:rPr>
            </w:pPr>
          </w:p>
        </w:tc>
        <w:tc>
          <w:tcPr>
            <w:tcW w:w="0" w:type="auto"/>
            <w:shd w:val="clear" w:color="auto" w:fill="auto"/>
          </w:tcPr>
          <w:p w14:paraId="5C7C5028" w14:textId="77777777" w:rsidR="0008009C" w:rsidRDefault="0008009C">
            <w:pPr>
              <w:rPr>
                <w:rFonts w:ascii="宋体"/>
                <w:vanish/>
              </w:rPr>
            </w:pPr>
          </w:p>
        </w:tc>
        <w:tc>
          <w:tcPr>
            <w:tcW w:w="50" w:type="pct"/>
            <w:shd w:val="clear" w:color="auto" w:fill="auto"/>
          </w:tcPr>
          <w:p w14:paraId="5C7C5029" w14:textId="77777777" w:rsidR="0008009C" w:rsidRDefault="0008009C">
            <w:pPr>
              <w:rPr>
                <w:rFonts w:ascii="宋体"/>
              </w:rPr>
            </w:pPr>
          </w:p>
        </w:tc>
        <w:tc>
          <w:tcPr>
            <w:tcW w:w="1229" w:type="pct"/>
            <w:shd w:val="clear" w:color="auto" w:fill="auto"/>
          </w:tcPr>
          <w:p w14:paraId="5C7C502A" w14:textId="77777777" w:rsidR="0008009C" w:rsidRDefault="0008009C">
            <w:pPr>
              <w:rPr>
                <w:rFonts w:ascii="宋体"/>
              </w:rPr>
            </w:pPr>
          </w:p>
        </w:tc>
        <w:tc>
          <w:tcPr>
            <w:tcW w:w="5" w:type="pct"/>
            <w:shd w:val="clear" w:color="auto" w:fill="auto"/>
          </w:tcPr>
          <w:p w14:paraId="5C7C502B" w14:textId="77777777" w:rsidR="0008009C" w:rsidRDefault="0008009C">
            <w:pPr>
              <w:rPr>
                <w:rFonts w:ascii="宋体"/>
              </w:rPr>
            </w:pPr>
          </w:p>
        </w:tc>
        <w:tc>
          <w:tcPr>
            <w:tcW w:w="0" w:type="auto"/>
            <w:shd w:val="clear" w:color="auto" w:fill="auto"/>
          </w:tcPr>
          <w:p w14:paraId="5C7C502C" w14:textId="77777777" w:rsidR="0008009C" w:rsidRDefault="0008009C">
            <w:pPr>
              <w:rPr>
                <w:rFonts w:ascii="宋体"/>
                <w:vanish/>
              </w:rPr>
            </w:pPr>
          </w:p>
        </w:tc>
        <w:tc>
          <w:tcPr>
            <w:tcW w:w="50" w:type="pct"/>
            <w:shd w:val="clear" w:color="auto" w:fill="auto"/>
          </w:tcPr>
          <w:p w14:paraId="5C7C502D" w14:textId="77777777" w:rsidR="0008009C" w:rsidRDefault="0008009C">
            <w:pPr>
              <w:rPr>
                <w:rFonts w:ascii="宋体"/>
              </w:rPr>
            </w:pPr>
          </w:p>
        </w:tc>
        <w:tc>
          <w:tcPr>
            <w:tcW w:w="1003" w:type="pct"/>
            <w:shd w:val="clear" w:color="auto" w:fill="auto"/>
          </w:tcPr>
          <w:p w14:paraId="5C7C502E" w14:textId="77777777" w:rsidR="0008009C" w:rsidRDefault="0008009C">
            <w:pPr>
              <w:rPr>
                <w:rFonts w:ascii="宋体"/>
              </w:rPr>
            </w:pPr>
          </w:p>
        </w:tc>
        <w:tc>
          <w:tcPr>
            <w:tcW w:w="5" w:type="pct"/>
            <w:shd w:val="clear" w:color="auto" w:fill="auto"/>
          </w:tcPr>
          <w:p w14:paraId="5C7C502F" w14:textId="77777777" w:rsidR="0008009C" w:rsidRDefault="0008009C">
            <w:pPr>
              <w:rPr>
                <w:rFonts w:ascii="宋体"/>
              </w:rPr>
            </w:pPr>
          </w:p>
        </w:tc>
        <w:tc>
          <w:tcPr>
            <w:tcW w:w="50" w:type="pct"/>
            <w:shd w:val="clear" w:color="auto" w:fill="auto"/>
          </w:tcPr>
          <w:p w14:paraId="5C7C5030" w14:textId="77777777" w:rsidR="0008009C" w:rsidRDefault="0008009C">
            <w:pPr>
              <w:rPr>
                <w:rFonts w:ascii="宋体"/>
              </w:rPr>
            </w:pPr>
          </w:p>
        </w:tc>
        <w:tc>
          <w:tcPr>
            <w:tcW w:w="1010" w:type="pct"/>
            <w:shd w:val="clear" w:color="auto" w:fill="auto"/>
          </w:tcPr>
          <w:p w14:paraId="5C7C5031" w14:textId="77777777" w:rsidR="0008009C" w:rsidRDefault="0008009C">
            <w:pPr>
              <w:rPr>
                <w:rFonts w:ascii="宋体"/>
              </w:rPr>
            </w:pPr>
          </w:p>
        </w:tc>
        <w:tc>
          <w:tcPr>
            <w:tcW w:w="5" w:type="pct"/>
            <w:shd w:val="clear" w:color="auto" w:fill="auto"/>
          </w:tcPr>
          <w:p w14:paraId="5C7C5032" w14:textId="77777777" w:rsidR="0008009C" w:rsidRDefault="0008009C">
            <w:pPr>
              <w:rPr>
                <w:rFonts w:ascii="宋体"/>
              </w:rPr>
            </w:pPr>
          </w:p>
        </w:tc>
      </w:tr>
      <w:tr w:rsidR="0008009C" w14:paraId="5C7C503C" w14:textId="77777777">
        <w:tc>
          <w:tcPr>
            <w:tcW w:w="0" w:type="auto"/>
            <w:gridSpan w:val="3"/>
            <w:shd w:val="clear" w:color="auto" w:fill="auto"/>
            <w:tcMar>
              <w:top w:w="40" w:type="dxa"/>
              <w:left w:w="20" w:type="dxa"/>
              <w:bottom w:w="40" w:type="dxa"/>
              <w:right w:w="20" w:type="dxa"/>
            </w:tcMar>
          </w:tcPr>
          <w:p w14:paraId="5C7C5034" w14:textId="77777777" w:rsidR="0008009C" w:rsidRDefault="00936FDF">
            <w:pPr>
              <w:jc w:val="center"/>
              <w:textAlignment w:val="top"/>
            </w:pPr>
            <w:r>
              <w:rPr>
                <w:rFonts w:ascii="Arial" w:eastAsia="宋体" w:hAnsi="Arial" w:cs="Arial"/>
                <w:color w:val="262626"/>
                <w:sz w:val="18"/>
                <w:szCs w:val="18"/>
              </w:rPr>
              <w:t>Large Accelerated Filer</w:t>
            </w:r>
          </w:p>
        </w:tc>
        <w:tc>
          <w:tcPr>
            <w:tcW w:w="0" w:type="auto"/>
            <w:shd w:val="clear" w:color="auto" w:fill="auto"/>
          </w:tcPr>
          <w:p w14:paraId="5C7C5035" w14:textId="77777777" w:rsidR="0008009C" w:rsidRDefault="0008009C">
            <w:pPr>
              <w:rPr>
                <w:rFonts w:ascii="宋体"/>
                <w:vanish/>
              </w:rPr>
            </w:pPr>
          </w:p>
        </w:tc>
        <w:tc>
          <w:tcPr>
            <w:tcW w:w="0" w:type="auto"/>
            <w:gridSpan w:val="3"/>
            <w:shd w:val="clear" w:color="auto" w:fill="auto"/>
            <w:tcMar>
              <w:top w:w="40" w:type="dxa"/>
              <w:left w:w="20" w:type="dxa"/>
              <w:bottom w:w="40" w:type="dxa"/>
              <w:right w:w="20" w:type="dxa"/>
            </w:tcMar>
          </w:tcPr>
          <w:p w14:paraId="5C7C5036" w14:textId="77777777" w:rsidR="0008009C" w:rsidRDefault="00936FDF">
            <w:pPr>
              <w:jc w:val="center"/>
              <w:textAlignment w:val="top"/>
            </w:pPr>
            <w:r>
              <w:rPr>
                <w:rFonts w:ascii="Arial" w:eastAsia="宋体" w:hAnsi="Arial" w:cs="Arial"/>
                <w:color w:val="262626"/>
                <w:sz w:val="18"/>
                <w:szCs w:val="18"/>
              </w:rPr>
              <w:t>Accelerated filer  </w:t>
            </w:r>
          </w:p>
        </w:tc>
        <w:tc>
          <w:tcPr>
            <w:tcW w:w="0" w:type="auto"/>
            <w:shd w:val="clear" w:color="auto" w:fill="auto"/>
          </w:tcPr>
          <w:p w14:paraId="5C7C5037" w14:textId="77777777" w:rsidR="0008009C" w:rsidRDefault="0008009C">
            <w:pPr>
              <w:rPr>
                <w:rFonts w:ascii="宋体"/>
                <w:vanish/>
              </w:rPr>
            </w:pPr>
          </w:p>
        </w:tc>
        <w:tc>
          <w:tcPr>
            <w:tcW w:w="0" w:type="auto"/>
            <w:gridSpan w:val="3"/>
            <w:shd w:val="clear" w:color="auto" w:fill="auto"/>
            <w:tcMar>
              <w:top w:w="40" w:type="dxa"/>
              <w:left w:w="20" w:type="dxa"/>
              <w:bottom w:w="40" w:type="dxa"/>
              <w:right w:w="20" w:type="dxa"/>
            </w:tcMar>
          </w:tcPr>
          <w:p w14:paraId="5C7C5038" w14:textId="77777777" w:rsidR="0008009C" w:rsidRDefault="00936FDF">
            <w:pPr>
              <w:jc w:val="center"/>
              <w:textAlignment w:val="top"/>
            </w:pPr>
            <w:r>
              <w:rPr>
                <w:rFonts w:ascii="Arial" w:eastAsia="宋体" w:hAnsi="Arial" w:cs="Arial"/>
                <w:color w:val="262626"/>
                <w:sz w:val="18"/>
                <w:szCs w:val="18"/>
              </w:rPr>
              <w:t xml:space="preserve">Non-accelerated filer  </w:t>
            </w:r>
          </w:p>
        </w:tc>
        <w:tc>
          <w:tcPr>
            <w:tcW w:w="0" w:type="auto"/>
            <w:shd w:val="clear" w:color="auto" w:fill="auto"/>
          </w:tcPr>
          <w:p w14:paraId="5C7C5039" w14:textId="77777777" w:rsidR="0008009C" w:rsidRDefault="0008009C">
            <w:pPr>
              <w:rPr>
                <w:rFonts w:ascii="宋体"/>
                <w:vanish/>
              </w:rPr>
            </w:pPr>
          </w:p>
        </w:tc>
        <w:tc>
          <w:tcPr>
            <w:tcW w:w="0" w:type="auto"/>
            <w:gridSpan w:val="3"/>
            <w:shd w:val="clear" w:color="auto" w:fill="auto"/>
            <w:tcMar>
              <w:top w:w="40" w:type="dxa"/>
              <w:left w:w="20" w:type="dxa"/>
              <w:bottom w:w="40" w:type="dxa"/>
              <w:right w:w="20" w:type="dxa"/>
            </w:tcMar>
          </w:tcPr>
          <w:p w14:paraId="5C7C503A" w14:textId="77777777" w:rsidR="0008009C" w:rsidRDefault="00936FDF">
            <w:pPr>
              <w:jc w:val="center"/>
              <w:textAlignment w:val="top"/>
            </w:pPr>
            <w:r>
              <w:rPr>
                <w:rFonts w:ascii="Arial" w:eastAsia="宋体" w:hAnsi="Arial" w:cs="Arial"/>
                <w:color w:val="262626"/>
                <w:sz w:val="18"/>
                <w:szCs w:val="18"/>
              </w:rPr>
              <w:t>Smaller reporting company </w:t>
            </w:r>
          </w:p>
        </w:tc>
        <w:tc>
          <w:tcPr>
            <w:tcW w:w="0" w:type="auto"/>
            <w:gridSpan w:val="3"/>
            <w:shd w:val="clear" w:color="auto" w:fill="auto"/>
            <w:tcMar>
              <w:top w:w="40" w:type="dxa"/>
              <w:left w:w="20" w:type="dxa"/>
              <w:bottom w:w="40" w:type="dxa"/>
              <w:right w:w="20" w:type="dxa"/>
            </w:tcMar>
          </w:tcPr>
          <w:p w14:paraId="5C7C503B" w14:textId="77777777" w:rsidR="0008009C" w:rsidRDefault="00936FDF">
            <w:pPr>
              <w:jc w:val="center"/>
              <w:textAlignment w:val="top"/>
            </w:pPr>
            <w:r>
              <w:rPr>
                <w:rFonts w:ascii="Arial" w:eastAsia="宋体" w:hAnsi="Arial" w:cs="Arial"/>
                <w:color w:val="262626"/>
                <w:sz w:val="18"/>
                <w:szCs w:val="18"/>
              </w:rPr>
              <w:t>Emerging growth company  </w:t>
            </w:r>
          </w:p>
        </w:tc>
      </w:tr>
      <w:tr w:rsidR="0008009C" w14:paraId="5C7C5045" w14:textId="77777777">
        <w:tc>
          <w:tcPr>
            <w:tcW w:w="0" w:type="auto"/>
            <w:gridSpan w:val="3"/>
            <w:shd w:val="clear" w:color="auto" w:fill="auto"/>
            <w:tcMar>
              <w:top w:w="40" w:type="dxa"/>
              <w:left w:w="20" w:type="dxa"/>
              <w:bottom w:w="40" w:type="dxa"/>
              <w:right w:w="20" w:type="dxa"/>
            </w:tcMar>
          </w:tcPr>
          <w:p w14:paraId="5C7C503D" w14:textId="77777777" w:rsidR="0008009C" w:rsidRDefault="00936FDF">
            <w:pPr>
              <w:jc w:val="center"/>
              <w:textAlignment w:val="top"/>
            </w:pPr>
            <w:r>
              <w:rPr>
                <w:rFonts w:ascii="Arial Unicode MS" w:eastAsia="Arial Unicode MS" w:hAnsi="Arial Unicode MS" w:cs="Arial Unicode MS" w:hint="eastAsia"/>
                <w:color w:val="262626"/>
              </w:rPr>
              <w:t>☑</w:t>
            </w:r>
          </w:p>
        </w:tc>
        <w:tc>
          <w:tcPr>
            <w:tcW w:w="0" w:type="auto"/>
            <w:shd w:val="clear" w:color="auto" w:fill="auto"/>
          </w:tcPr>
          <w:p w14:paraId="5C7C503E" w14:textId="77777777" w:rsidR="0008009C" w:rsidRDefault="0008009C">
            <w:pPr>
              <w:rPr>
                <w:rFonts w:ascii="宋体"/>
                <w:vanish/>
              </w:rPr>
            </w:pPr>
          </w:p>
        </w:tc>
        <w:tc>
          <w:tcPr>
            <w:tcW w:w="0" w:type="auto"/>
            <w:gridSpan w:val="3"/>
            <w:shd w:val="clear" w:color="auto" w:fill="auto"/>
            <w:tcMar>
              <w:top w:w="40" w:type="dxa"/>
              <w:left w:w="20" w:type="dxa"/>
              <w:bottom w:w="40" w:type="dxa"/>
              <w:right w:w="20" w:type="dxa"/>
            </w:tcMar>
          </w:tcPr>
          <w:p w14:paraId="5C7C503F" w14:textId="77777777" w:rsidR="0008009C" w:rsidRDefault="00936FDF">
            <w:pPr>
              <w:jc w:val="center"/>
              <w:textAlignment w:val="top"/>
            </w:pPr>
            <w:r>
              <w:rPr>
                <w:rFonts w:ascii="Wingdings" w:eastAsia="宋体" w:hAnsi="Wingdings" w:cs="Wingdings"/>
                <w:color w:val="262626"/>
                <w:sz w:val="18"/>
                <w:szCs w:val="18"/>
              </w:rPr>
              <w:t>¨</w:t>
            </w:r>
          </w:p>
        </w:tc>
        <w:tc>
          <w:tcPr>
            <w:tcW w:w="0" w:type="auto"/>
            <w:shd w:val="clear" w:color="auto" w:fill="auto"/>
          </w:tcPr>
          <w:p w14:paraId="5C7C5040" w14:textId="77777777" w:rsidR="0008009C" w:rsidRDefault="0008009C">
            <w:pPr>
              <w:rPr>
                <w:rFonts w:ascii="宋体"/>
                <w:vanish/>
              </w:rPr>
            </w:pPr>
          </w:p>
        </w:tc>
        <w:tc>
          <w:tcPr>
            <w:tcW w:w="0" w:type="auto"/>
            <w:gridSpan w:val="3"/>
            <w:shd w:val="clear" w:color="auto" w:fill="auto"/>
            <w:tcMar>
              <w:top w:w="40" w:type="dxa"/>
              <w:left w:w="20" w:type="dxa"/>
              <w:bottom w:w="40" w:type="dxa"/>
              <w:right w:w="20" w:type="dxa"/>
            </w:tcMar>
          </w:tcPr>
          <w:p w14:paraId="5C7C5041" w14:textId="77777777" w:rsidR="0008009C" w:rsidRDefault="00936FDF">
            <w:pPr>
              <w:jc w:val="center"/>
              <w:textAlignment w:val="top"/>
            </w:pPr>
            <w:r>
              <w:rPr>
                <w:rFonts w:ascii="Wingdings" w:eastAsia="宋体" w:hAnsi="Wingdings" w:cs="Wingdings"/>
                <w:color w:val="262626"/>
                <w:sz w:val="18"/>
                <w:szCs w:val="18"/>
              </w:rPr>
              <w:t>¨</w:t>
            </w:r>
          </w:p>
        </w:tc>
        <w:tc>
          <w:tcPr>
            <w:tcW w:w="0" w:type="auto"/>
            <w:shd w:val="clear" w:color="auto" w:fill="auto"/>
          </w:tcPr>
          <w:p w14:paraId="5C7C5042" w14:textId="77777777" w:rsidR="0008009C" w:rsidRDefault="0008009C">
            <w:pPr>
              <w:rPr>
                <w:rFonts w:ascii="宋体"/>
                <w:vanish/>
              </w:rPr>
            </w:pPr>
          </w:p>
        </w:tc>
        <w:tc>
          <w:tcPr>
            <w:tcW w:w="0" w:type="auto"/>
            <w:gridSpan w:val="3"/>
            <w:shd w:val="clear" w:color="auto" w:fill="auto"/>
            <w:tcMar>
              <w:top w:w="40" w:type="dxa"/>
              <w:left w:w="20" w:type="dxa"/>
              <w:bottom w:w="40" w:type="dxa"/>
              <w:right w:w="20" w:type="dxa"/>
            </w:tcMar>
          </w:tcPr>
          <w:p w14:paraId="5C7C5043" w14:textId="77777777" w:rsidR="0008009C" w:rsidRDefault="00936FDF">
            <w:pPr>
              <w:jc w:val="center"/>
              <w:textAlignment w:val="top"/>
            </w:pPr>
            <w:r>
              <w:rPr>
                <w:rFonts w:ascii="Arial Unicode MS" w:eastAsia="Arial Unicode MS" w:hAnsi="Arial Unicode MS" w:cs="Arial Unicode MS" w:hint="eastAsia"/>
                <w:color w:val="262626"/>
                <w:sz w:val="18"/>
                <w:szCs w:val="18"/>
              </w:rPr>
              <w:t>☐</w:t>
            </w:r>
          </w:p>
        </w:tc>
        <w:tc>
          <w:tcPr>
            <w:tcW w:w="0" w:type="auto"/>
            <w:gridSpan w:val="3"/>
            <w:shd w:val="clear" w:color="auto" w:fill="auto"/>
            <w:tcMar>
              <w:top w:w="40" w:type="dxa"/>
              <w:left w:w="20" w:type="dxa"/>
              <w:bottom w:w="40" w:type="dxa"/>
              <w:right w:w="20" w:type="dxa"/>
            </w:tcMar>
          </w:tcPr>
          <w:p w14:paraId="5C7C5044" w14:textId="77777777" w:rsidR="0008009C" w:rsidRDefault="00936FDF">
            <w:pPr>
              <w:jc w:val="center"/>
              <w:textAlignment w:val="top"/>
            </w:pPr>
            <w:r>
              <w:rPr>
                <w:rFonts w:ascii="Arial Unicode MS" w:eastAsia="Arial Unicode MS" w:hAnsi="Arial Unicode MS" w:cs="Arial Unicode MS" w:hint="eastAsia"/>
                <w:color w:val="262626"/>
                <w:sz w:val="18"/>
                <w:szCs w:val="18"/>
              </w:rPr>
              <w:t>☐</w:t>
            </w:r>
          </w:p>
        </w:tc>
      </w:tr>
      <w:tr w:rsidR="0008009C" w14:paraId="5C7C504E" w14:textId="77777777">
        <w:trPr>
          <w:hidden/>
        </w:trPr>
        <w:tc>
          <w:tcPr>
            <w:tcW w:w="0" w:type="auto"/>
            <w:gridSpan w:val="3"/>
            <w:shd w:val="clear" w:color="auto" w:fill="auto"/>
          </w:tcPr>
          <w:p w14:paraId="5C7C5046" w14:textId="77777777" w:rsidR="0008009C" w:rsidRDefault="0008009C">
            <w:pPr>
              <w:rPr>
                <w:rFonts w:ascii="宋体"/>
                <w:vanish/>
              </w:rPr>
            </w:pPr>
          </w:p>
        </w:tc>
        <w:tc>
          <w:tcPr>
            <w:tcW w:w="0" w:type="auto"/>
            <w:shd w:val="clear" w:color="auto" w:fill="auto"/>
          </w:tcPr>
          <w:p w14:paraId="5C7C5047" w14:textId="77777777" w:rsidR="0008009C" w:rsidRDefault="0008009C">
            <w:pPr>
              <w:rPr>
                <w:rFonts w:ascii="宋体"/>
                <w:vanish/>
              </w:rPr>
            </w:pPr>
          </w:p>
        </w:tc>
        <w:tc>
          <w:tcPr>
            <w:tcW w:w="0" w:type="auto"/>
            <w:gridSpan w:val="3"/>
            <w:shd w:val="clear" w:color="auto" w:fill="auto"/>
          </w:tcPr>
          <w:p w14:paraId="5C7C5048" w14:textId="77777777" w:rsidR="0008009C" w:rsidRDefault="0008009C">
            <w:pPr>
              <w:rPr>
                <w:rFonts w:ascii="宋体"/>
                <w:vanish/>
              </w:rPr>
            </w:pPr>
          </w:p>
        </w:tc>
        <w:tc>
          <w:tcPr>
            <w:tcW w:w="0" w:type="auto"/>
            <w:shd w:val="clear" w:color="auto" w:fill="auto"/>
          </w:tcPr>
          <w:p w14:paraId="5C7C5049" w14:textId="77777777" w:rsidR="0008009C" w:rsidRDefault="0008009C">
            <w:pPr>
              <w:rPr>
                <w:rFonts w:ascii="宋体"/>
                <w:vanish/>
              </w:rPr>
            </w:pPr>
          </w:p>
        </w:tc>
        <w:tc>
          <w:tcPr>
            <w:tcW w:w="0" w:type="auto"/>
            <w:gridSpan w:val="3"/>
            <w:shd w:val="clear" w:color="auto" w:fill="auto"/>
          </w:tcPr>
          <w:p w14:paraId="5C7C504A" w14:textId="77777777" w:rsidR="0008009C" w:rsidRDefault="0008009C">
            <w:pPr>
              <w:rPr>
                <w:rFonts w:ascii="宋体"/>
                <w:vanish/>
              </w:rPr>
            </w:pPr>
          </w:p>
        </w:tc>
        <w:tc>
          <w:tcPr>
            <w:tcW w:w="0" w:type="auto"/>
            <w:shd w:val="clear" w:color="auto" w:fill="auto"/>
          </w:tcPr>
          <w:p w14:paraId="5C7C504B" w14:textId="77777777" w:rsidR="0008009C" w:rsidRDefault="0008009C">
            <w:pPr>
              <w:rPr>
                <w:rFonts w:ascii="宋体"/>
                <w:vanish/>
              </w:rPr>
            </w:pPr>
          </w:p>
        </w:tc>
        <w:tc>
          <w:tcPr>
            <w:tcW w:w="0" w:type="auto"/>
            <w:gridSpan w:val="3"/>
            <w:shd w:val="clear" w:color="auto" w:fill="auto"/>
          </w:tcPr>
          <w:p w14:paraId="5C7C504C" w14:textId="77777777" w:rsidR="0008009C" w:rsidRDefault="0008009C">
            <w:pPr>
              <w:rPr>
                <w:rFonts w:ascii="宋体"/>
                <w:vanish/>
              </w:rPr>
            </w:pPr>
          </w:p>
        </w:tc>
        <w:tc>
          <w:tcPr>
            <w:tcW w:w="0" w:type="auto"/>
            <w:gridSpan w:val="3"/>
            <w:shd w:val="clear" w:color="auto" w:fill="auto"/>
          </w:tcPr>
          <w:p w14:paraId="5C7C504D" w14:textId="77777777" w:rsidR="0008009C" w:rsidRDefault="0008009C">
            <w:pPr>
              <w:rPr>
                <w:rFonts w:ascii="宋体"/>
                <w:vanish/>
              </w:rPr>
            </w:pPr>
          </w:p>
        </w:tc>
      </w:tr>
    </w:tbl>
    <w:p w14:paraId="5C7C504F" w14:textId="77777777" w:rsidR="0008009C" w:rsidRDefault="00936FDF">
      <w:pPr>
        <w:spacing w:after="180"/>
      </w:pPr>
      <w:r>
        <w:rPr>
          <w:rFonts w:ascii="Arial" w:eastAsia="宋体" w:hAnsi="Arial" w:cs="Arial"/>
          <w:color w:val="262626"/>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262626"/>
          <w:sz w:val="18"/>
          <w:szCs w:val="18"/>
        </w:rPr>
        <w:t>¨</w:t>
      </w:r>
    </w:p>
    <w:p w14:paraId="5C7C5050" w14:textId="77777777" w:rsidR="0008009C" w:rsidRDefault="00936FDF">
      <w:pPr>
        <w:spacing w:before="180" w:after="180"/>
      </w:pPr>
      <w:r>
        <w:rPr>
          <w:rFonts w:ascii="Arial" w:eastAsia="宋体" w:hAnsi="Arial" w:cs="Arial"/>
          <w:color w:val="262626"/>
          <w:sz w:val="18"/>
          <w:szCs w:val="18"/>
        </w:rPr>
        <w:t>Ind</w:t>
      </w:r>
      <w:r>
        <w:rPr>
          <w:rFonts w:ascii="Arial" w:eastAsia="宋体" w:hAnsi="Arial" w:cs="Arial"/>
          <w:color w:val="262626"/>
          <w:sz w:val="18"/>
          <w:szCs w:val="18"/>
        </w:rPr>
        <w:t>icate by check mark whether the registrant is a shell company (as defined in Rule 12b-2 of the Exchange Act).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8"/>
          <w:szCs w:val="18"/>
        </w:rPr>
        <w:t xml:space="preserve">    No  </w:t>
      </w:r>
      <w:r>
        <w:rPr>
          <w:rFonts w:ascii="Arial Unicode MS" w:eastAsia="Arial Unicode MS" w:hAnsi="Arial Unicode MS" w:cs="Arial Unicode MS" w:hint="eastAsia"/>
          <w:color w:val="262626"/>
        </w:rPr>
        <w:t>☑</w:t>
      </w:r>
    </w:p>
    <w:p w14:paraId="5C7C5051" w14:textId="77777777" w:rsidR="0008009C" w:rsidRDefault="00936FDF">
      <w:pPr>
        <w:spacing w:after="180"/>
      </w:pPr>
      <w:r>
        <w:rPr>
          <w:rFonts w:ascii="Arial" w:eastAsia="宋体" w:hAnsi="Arial" w:cs="Arial"/>
          <w:color w:val="262626"/>
          <w:sz w:val="18"/>
          <w:szCs w:val="18"/>
        </w:rPr>
        <w:t xml:space="preserve">As of March 27, 2021, the registrant had outstanding 4,038 million shares of common stock. </w:t>
      </w:r>
    </w:p>
    <w:p w14:paraId="5C7C5052" w14:textId="77777777" w:rsidR="0008009C" w:rsidRDefault="0008009C">
      <w:pPr>
        <w:spacing w:after="180"/>
      </w:pPr>
    </w:p>
    <w:p w14:paraId="5C7C5053" w14:textId="77777777" w:rsidR="0008009C" w:rsidRDefault="00936FDF">
      <w:r>
        <w:pict w14:anchorId="5C7C7CE3">
          <v:rect id="_x0000_i1025" style="width:415.3pt;height:1.5pt" o:hralign="center" o:hrstd="t" o:hr="t" fillcolor="#a0a0a0" stroked="f"/>
        </w:pict>
      </w:r>
    </w:p>
    <w:p w14:paraId="5C7C5054" w14:textId="77777777" w:rsidR="0008009C" w:rsidRDefault="0008009C">
      <w:pPr>
        <w:spacing w:after="180"/>
      </w:pPr>
    </w:p>
    <w:p w14:paraId="5C7C5055" w14:textId="77777777" w:rsidR="0008009C" w:rsidRDefault="00936FDF">
      <w:pPr>
        <w:spacing w:before="180" w:after="180"/>
      </w:pPr>
      <w:r>
        <w:rPr>
          <w:rFonts w:ascii="Arial" w:eastAsia="宋体" w:hAnsi="Arial" w:cs="Arial"/>
          <w:color w:val="0068B5"/>
          <w:sz w:val="36"/>
          <w:szCs w:val="36"/>
        </w:rPr>
        <w:t>Table of Contents</w:t>
      </w:r>
    </w:p>
    <w:p w14:paraId="5C7C5056" w14:textId="77777777" w:rsidR="0008009C" w:rsidRDefault="00936FDF">
      <w:pPr>
        <w:spacing w:after="180"/>
      </w:pPr>
      <w:r>
        <w:rPr>
          <w:rFonts w:ascii="Arial" w:eastAsia="宋体" w:hAnsi="Arial" w:cs="Arial"/>
          <w:color w:val="0068B5"/>
        </w:rPr>
        <w:t>The Organizat</w:t>
      </w:r>
      <w:r>
        <w:rPr>
          <w:rFonts w:ascii="Arial" w:eastAsia="宋体" w:hAnsi="Arial" w:cs="Arial"/>
          <w:color w:val="0068B5"/>
        </w:rPr>
        <w:t>ion of Our Quarterly Report on Form 10-Q</w:t>
      </w:r>
    </w:p>
    <w:p w14:paraId="5C7C5057" w14:textId="77777777" w:rsidR="0008009C" w:rsidRDefault="00936FDF">
      <w:pPr>
        <w:spacing w:after="180"/>
      </w:pPr>
      <w:r>
        <w:rPr>
          <w:rFonts w:ascii="Arial" w:eastAsia="宋体" w:hAnsi="Arial" w:cs="Arial"/>
          <w:color w:val="262626"/>
          <w:sz w:val="18"/>
          <w:szCs w:val="18"/>
        </w:rPr>
        <w:t xml:space="preserve">The order and presentation of content in our Form 10-Q differs from the traditional SEC Form 10-Q format. Our format is designed to improve readability and better present how we organize and manage our </w:t>
      </w:r>
      <w:r>
        <w:rPr>
          <w:rFonts w:ascii="Arial" w:eastAsia="宋体" w:hAnsi="Arial" w:cs="Arial"/>
          <w:color w:val="262626"/>
          <w:sz w:val="18"/>
          <w:szCs w:val="18"/>
        </w:rPr>
        <w:t>business. See "Form 10-Q Cross-Reference Index" within Other Key Information for a cross-reference index to the traditional SEC Form 10-Q format.</w:t>
      </w:r>
    </w:p>
    <w:p w14:paraId="5C7C5058" w14:textId="77777777" w:rsidR="0008009C" w:rsidRDefault="00936FDF">
      <w:pPr>
        <w:spacing w:after="180"/>
      </w:pPr>
      <w:r>
        <w:rPr>
          <w:rFonts w:ascii="Arial" w:eastAsia="宋体" w:hAnsi="Arial" w:cs="Arial"/>
          <w:color w:val="262626"/>
          <w:sz w:val="18"/>
          <w:szCs w:val="18"/>
        </w:rPr>
        <w:t>We have defined certain terms and abbreviations used throughout our Form 10-Q in "Key Terms" within the Consol</w:t>
      </w:r>
      <w:r>
        <w:rPr>
          <w:rFonts w:ascii="Arial" w:eastAsia="宋体" w:hAnsi="Arial" w:cs="Arial"/>
          <w:color w:val="262626"/>
          <w:sz w:val="18"/>
          <w:szCs w:val="18"/>
        </w:rPr>
        <w:t xml:space="preserve">idated Condensed Financial Statements and Supplemental Details. </w:t>
      </w:r>
    </w:p>
    <w:p w14:paraId="5C7C5059" w14:textId="77777777" w:rsidR="0008009C" w:rsidRDefault="00936FDF">
      <w:pPr>
        <w:spacing w:after="180"/>
      </w:pPr>
      <w:r>
        <w:rPr>
          <w:rFonts w:ascii="Arial" w:eastAsia="宋体" w:hAnsi="Arial" w:cs="Arial"/>
          <w:color w:val="262626"/>
          <w:sz w:val="18"/>
          <w:szCs w:val="18"/>
        </w:rPr>
        <w:t>The preparation of our Consolidated Condensed Financial Statements is in conformity with U.S. GAAP. Our Form 10-Q includes key metrics that we use to measure our business, some of which are n</w:t>
      </w:r>
      <w:r>
        <w:rPr>
          <w:rFonts w:ascii="Arial" w:eastAsia="宋体" w:hAnsi="Arial" w:cs="Arial"/>
          <w:color w:val="262626"/>
          <w:sz w:val="18"/>
          <w:szCs w:val="18"/>
        </w:rPr>
        <w:t xml:space="preserve">on-GAAP measures. See "Non-GAAP Financial Measures" within MD&amp;A for an explanation of these measures and why management uses them and believes they provide investors with useful supplemental information. </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83"/>
        <w:gridCol w:w="37"/>
        <w:gridCol w:w="37"/>
        <w:gridCol w:w="99"/>
        <w:gridCol w:w="36"/>
        <w:gridCol w:w="52"/>
        <w:gridCol w:w="7316"/>
        <w:gridCol w:w="36"/>
        <w:gridCol w:w="87"/>
        <w:gridCol w:w="366"/>
        <w:gridCol w:w="36"/>
      </w:tblGrid>
      <w:tr w:rsidR="0008009C" w14:paraId="5C7C5066" w14:textId="77777777">
        <w:trPr>
          <w:jc w:val="center"/>
        </w:trPr>
        <w:tc>
          <w:tcPr>
            <w:tcW w:w="50" w:type="pct"/>
            <w:shd w:val="clear" w:color="auto" w:fill="auto"/>
          </w:tcPr>
          <w:p w14:paraId="5C7C505A" w14:textId="77777777" w:rsidR="0008009C" w:rsidRDefault="0008009C">
            <w:pPr>
              <w:rPr>
                <w:rFonts w:ascii="宋体"/>
              </w:rPr>
            </w:pPr>
          </w:p>
        </w:tc>
        <w:tc>
          <w:tcPr>
            <w:tcW w:w="129" w:type="pct"/>
            <w:shd w:val="clear" w:color="auto" w:fill="auto"/>
          </w:tcPr>
          <w:p w14:paraId="5C7C505B" w14:textId="77777777" w:rsidR="0008009C" w:rsidRDefault="0008009C">
            <w:pPr>
              <w:rPr>
                <w:rFonts w:ascii="宋体"/>
              </w:rPr>
            </w:pPr>
          </w:p>
        </w:tc>
        <w:tc>
          <w:tcPr>
            <w:tcW w:w="5" w:type="pct"/>
            <w:shd w:val="clear" w:color="auto" w:fill="auto"/>
          </w:tcPr>
          <w:p w14:paraId="5C7C505C" w14:textId="77777777" w:rsidR="0008009C" w:rsidRDefault="0008009C">
            <w:pPr>
              <w:rPr>
                <w:rFonts w:ascii="宋体"/>
              </w:rPr>
            </w:pPr>
          </w:p>
        </w:tc>
        <w:tc>
          <w:tcPr>
            <w:tcW w:w="5" w:type="pct"/>
            <w:shd w:val="clear" w:color="auto" w:fill="auto"/>
          </w:tcPr>
          <w:p w14:paraId="5C7C505D" w14:textId="77777777" w:rsidR="0008009C" w:rsidRDefault="0008009C">
            <w:pPr>
              <w:rPr>
                <w:rFonts w:ascii="宋体"/>
              </w:rPr>
            </w:pPr>
          </w:p>
        </w:tc>
        <w:tc>
          <w:tcPr>
            <w:tcW w:w="78" w:type="pct"/>
            <w:shd w:val="clear" w:color="auto" w:fill="auto"/>
          </w:tcPr>
          <w:p w14:paraId="5C7C505E" w14:textId="77777777" w:rsidR="0008009C" w:rsidRDefault="0008009C">
            <w:pPr>
              <w:rPr>
                <w:rFonts w:ascii="宋体"/>
              </w:rPr>
            </w:pPr>
          </w:p>
        </w:tc>
        <w:tc>
          <w:tcPr>
            <w:tcW w:w="5" w:type="pct"/>
            <w:shd w:val="clear" w:color="auto" w:fill="auto"/>
          </w:tcPr>
          <w:p w14:paraId="5C7C505F" w14:textId="77777777" w:rsidR="0008009C" w:rsidRDefault="0008009C">
            <w:pPr>
              <w:rPr>
                <w:rFonts w:ascii="宋体"/>
              </w:rPr>
            </w:pPr>
          </w:p>
        </w:tc>
        <w:tc>
          <w:tcPr>
            <w:tcW w:w="50" w:type="pct"/>
            <w:shd w:val="clear" w:color="auto" w:fill="auto"/>
          </w:tcPr>
          <w:p w14:paraId="5C7C5060" w14:textId="77777777" w:rsidR="0008009C" w:rsidRDefault="0008009C">
            <w:pPr>
              <w:rPr>
                <w:rFonts w:ascii="宋体"/>
              </w:rPr>
            </w:pPr>
          </w:p>
        </w:tc>
        <w:tc>
          <w:tcPr>
            <w:tcW w:w="4405" w:type="pct"/>
            <w:shd w:val="clear" w:color="auto" w:fill="auto"/>
          </w:tcPr>
          <w:p w14:paraId="5C7C5061" w14:textId="77777777" w:rsidR="0008009C" w:rsidRDefault="0008009C">
            <w:pPr>
              <w:rPr>
                <w:rFonts w:ascii="宋体"/>
              </w:rPr>
            </w:pPr>
          </w:p>
        </w:tc>
        <w:tc>
          <w:tcPr>
            <w:tcW w:w="5" w:type="pct"/>
            <w:shd w:val="clear" w:color="auto" w:fill="auto"/>
          </w:tcPr>
          <w:p w14:paraId="5C7C5062" w14:textId="77777777" w:rsidR="0008009C" w:rsidRDefault="0008009C">
            <w:pPr>
              <w:rPr>
                <w:rFonts w:ascii="宋体"/>
              </w:rPr>
            </w:pPr>
          </w:p>
        </w:tc>
        <w:tc>
          <w:tcPr>
            <w:tcW w:w="50" w:type="pct"/>
            <w:shd w:val="clear" w:color="auto" w:fill="auto"/>
          </w:tcPr>
          <w:p w14:paraId="5C7C5063" w14:textId="77777777" w:rsidR="0008009C" w:rsidRDefault="0008009C">
            <w:pPr>
              <w:rPr>
                <w:rFonts w:ascii="宋体"/>
              </w:rPr>
            </w:pPr>
          </w:p>
        </w:tc>
        <w:tc>
          <w:tcPr>
            <w:tcW w:w="211" w:type="pct"/>
            <w:shd w:val="clear" w:color="auto" w:fill="auto"/>
          </w:tcPr>
          <w:p w14:paraId="5C7C5064" w14:textId="77777777" w:rsidR="0008009C" w:rsidRDefault="0008009C">
            <w:pPr>
              <w:rPr>
                <w:rFonts w:ascii="宋体"/>
              </w:rPr>
            </w:pPr>
          </w:p>
        </w:tc>
        <w:tc>
          <w:tcPr>
            <w:tcW w:w="5" w:type="pct"/>
            <w:shd w:val="clear" w:color="auto" w:fill="auto"/>
          </w:tcPr>
          <w:p w14:paraId="5C7C5065" w14:textId="77777777" w:rsidR="0008009C" w:rsidRDefault="0008009C">
            <w:pPr>
              <w:rPr>
                <w:rFonts w:ascii="宋体"/>
              </w:rPr>
            </w:pPr>
          </w:p>
        </w:tc>
      </w:tr>
      <w:tr w:rsidR="0008009C" w14:paraId="5C7C506B" w14:textId="77777777">
        <w:trPr>
          <w:jc w:val="center"/>
        </w:trPr>
        <w:tc>
          <w:tcPr>
            <w:tcW w:w="0" w:type="auto"/>
            <w:gridSpan w:val="3"/>
            <w:shd w:val="clear" w:color="auto" w:fill="auto"/>
            <w:tcMar>
              <w:top w:w="0" w:type="dxa"/>
              <w:left w:w="20" w:type="dxa"/>
              <w:bottom w:w="0" w:type="dxa"/>
              <w:right w:w="20" w:type="dxa"/>
            </w:tcMar>
          </w:tcPr>
          <w:p w14:paraId="5C7C5067" w14:textId="77777777" w:rsidR="0008009C" w:rsidRDefault="0008009C">
            <w:pPr>
              <w:rPr>
                <w:rFonts w:ascii="宋体"/>
              </w:rPr>
            </w:pPr>
          </w:p>
        </w:tc>
        <w:tc>
          <w:tcPr>
            <w:tcW w:w="0" w:type="auto"/>
            <w:gridSpan w:val="3"/>
            <w:tcBorders>
              <w:bottom w:val="single" w:sz="8" w:space="0" w:color="262626"/>
            </w:tcBorders>
            <w:shd w:val="clear" w:color="auto" w:fill="auto"/>
            <w:tcMar>
              <w:top w:w="0" w:type="dxa"/>
              <w:left w:w="20" w:type="dxa"/>
              <w:bottom w:w="0" w:type="dxa"/>
              <w:right w:w="20" w:type="dxa"/>
            </w:tcMar>
          </w:tcPr>
          <w:p w14:paraId="5C7C5068" w14:textId="77777777" w:rsidR="0008009C" w:rsidRDefault="0008009C">
            <w:pPr>
              <w:rPr>
                <w:rFonts w:ascii="宋体"/>
              </w:rPr>
            </w:pPr>
          </w:p>
        </w:tc>
        <w:tc>
          <w:tcPr>
            <w:tcW w:w="0" w:type="auto"/>
            <w:gridSpan w:val="3"/>
            <w:tcBorders>
              <w:bottom w:val="single" w:sz="8" w:space="0" w:color="262626"/>
            </w:tcBorders>
            <w:shd w:val="clear" w:color="auto" w:fill="auto"/>
            <w:tcMar>
              <w:top w:w="0" w:type="dxa"/>
              <w:left w:w="20" w:type="dxa"/>
              <w:bottom w:w="0" w:type="dxa"/>
              <w:right w:w="20" w:type="dxa"/>
            </w:tcMar>
          </w:tcPr>
          <w:p w14:paraId="5C7C5069"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506A" w14:textId="77777777" w:rsidR="0008009C" w:rsidRDefault="00936FDF">
            <w:pPr>
              <w:jc w:val="center"/>
              <w:textAlignment w:val="bottom"/>
            </w:pPr>
            <w:r>
              <w:rPr>
                <w:rFonts w:ascii="Arial" w:eastAsia="宋体" w:hAnsi="Arial" w:cs="Arial"/>
                <w:color w:val="0068B5"/>
                <w:sz w:val="18"/>
                <w:szCs w:val="18"/>
              </w:rPr>
              <w:t>Page</w:t>
            </w:r>
          </w:p>
        </w:tc>
      </w:tr>
      <w:tr w:rsidR="0008009C" w14:paraId="5C7C506E" w14:textId="77777777">
        <w:trPr>
          <w:jc w:val="center"/>
        </w:trPr>
        <w:tc>
          <w:tcPr>
            <w:tcW w:w="0" w:type="auto"/>
            <w:gridSpan w:val="9"/>
            <w:tcBorders>
              <w:top w:val="single" w:sz="8" w:space="0" w:color="262626"/>
            </w:tcBorders>
            <w:shd w:val="clear" w:color="auto" w:fill="auto"/>
            <w:tcMar>
              <w:top w:w="40" w:type="dxa"/>
              <w:left w:w="20" w:type="dxa"/>
              <w:bottom w:w="40" w:type="dxa"/>
              <w:right w:w="20" w:type="dxa"/>
            </w:tcMar>
            <w:vAlign w:val="bottom"/>
          </w:tcPr>
          <w:p w14:paraId="5C7C506C" w14:textId="77777777" w:rsidR="0008009C" w:rsidRDefault="00936FDF">
            <w:pPr>
              <w:textAlignment w:val="bottom"/>
            </w:pPr>
            <w:r>
              <w:rPr>
                <w:rFonts w:ascii="Arial" w:eastAsia="宋体" w:hAnsi="Arial" w:cs="Arial"/>
                <w:color w:val="0068B5"/>
                <w:sz w:val="20"/>
                <w:szCs w:val="20"/>
              </w:rPr>
              <w:t>Forward-Looking Statements</w:t>
            </w: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5C7C506D" w14:textId="77777777" w:rsidR="0008009C" w:rsidRDefault="00936FDF">
            <w:pPr>
              <w:jc w:val="center"/>
              <w:textAlignment w:val="bottom"/>
            </w:pPr>
            <w:hyperlink r:id="rId7" w:anchor="i3a00378f6cc84b1c9cfc83239548ad53_10" w:history="1">
              <w:r>
                <w:rPr>
                  <w:rStyle w:val="a5"/>
                  <w:rFonts w:ascii="Arial" w:eastAsia="宋体" w:hAnsi="Arial" w:cs="Arial"/>
                  <w:color w:val="262626"/>
                  <w:sz w:val="18"/>
                  <w:szCs w:val="18"/>
                  <w:u w:val="none"/>
                </w:rPr>
                <w:t>1</w:t>
              </w:r>
            </w:hyperlink>
          </w:p>
        </w:tc>
      </w:tr>
      <w:tr w:rsidR="0008009C" w14:paraId="5C7C5077" w14:textId="77777777">
        <w:trPr>
          <w:jc w:val="center"/>
          <w:hidden/>
        </w:trPr>
        <w:tc>
          <w:tcPr>
            <w:tcW w:w="0" w:type="auto"/>
            <w:gridSpan w:val="3"/>
            <w:shd w:val="clear" w:color="auto" w:fill="auto"/>
          </w:tcPr>
          <w:p w14:paraId="5C7C506F" w14:textId="77777777" w:rsidR="0008009C" w:rsidRDefault="0008009C">
            <w:pPr>
              <w:rPr>
                <w:rFonts w:ascii="宋体"/>
                <w:vanish/>
              </w:rPr>
            </w:pPr>
          </w:p>
        </w:tc>
        <w:tc>
          <w:tcPr>
            <w:tcW w:w="0" w:type="auto"/>
            <w:gridSpan w:val="3"/>
            <w:shd w:val="clear" w:color="auto" w:fill="auto"/>
          </w:tcPr>
          <w:p w14:paraId="5C7C5070" w14:textId="77777777" w:rsidR="0008009C" w:rsidRDefault="0008009C">
            <w:pPr>
              <w:rPr>
                <w:rFonts w:ascii="宋体"/>
                <w:vanish/>
              </w:rPr>
            </w:pPr>
          </w:p>
        </w:tc>
        <w:tc>
          <w:tcPr>
            <w:tcW w:w="0" w:type="auto"/>
            <w:shd w:val="clear" w:color="auto" w:fill="auto"/>
          </w:tcPr>
          <w:p w14:paraId="5C7C5071" w14:textId="77777777" w:rsidR="0008009C" w:rsidRDefault="0008009C">
            <w:pPr>
              <w:rPr>
                <w:rFonts w:ascii="宋体"/>
              </w:rPr>
            </w:pPr>
          </w:p>
        </w:tc>
        <w:tc>
          <w:tcPr>
            <w:tcW w:w="0" w:type="auto"/>
            <w:shd w:val="clear" w:color="auto" w:fill="auto"/>
          </w:tcPr>
          <w:p w14:paraId="5C7C5072" w14:textId="77777777" w:rsidR="0008009C" w:rsidRDefault="0008009C">
            <w:pPr>
              <w:rPr>
                <w:rFonts w:ascii="宋体"/>
              </w:rPr>
            </w:pPr>
          </w:p>
        </w:tc>
        <w:tc>
          <w:tcPr>
            <w:tcW w:w="0" w:type="auto"/>
            <w:shd w:val="clear" w:color="auto" w:fill="auto"/>
          </w:tcPr>
          <w:p w14:paraId="5C7C5073" w14:textId="77777777" w:rsidR="0008009C" w:rsidRDefault="0008009C">
            <w:pPr>
              <w:rPr>
                <w:rFonts w:ascii="宋体"/>
              </w:rPr>
            </w:pPr>
          </w:p>
        </w:tc>
        <w:tc>
          <w:tcPr>
            <w:tcW w:w="0" w:type="auto"/>
            <w:shd w:val="clear" w:color="auto" w:fill="auto"/>
          </w:tcPr>
          <w:p w14:paraId="5C7C5074" w14:textId="77777777" w:rsidR="0008009C" w:rsidRDefault="0008009C">
            <w:pPr>
              <w:rPr>
                <w:rFonts w:ascii="宋体"/>
              </w:rPr>
            </w:pPr>
          </w:p>
        </w:tc>
        <w:tc>
          <w:tcPr>
            <w:tcW w:w="0" w:type="auto"/>
            <w:shd w:val="clear" w:color="auto" w:fill="auto"/>
          </w:tcPr>
          <w:p w14:paraId="5C7C5075" w14:textId="77777777" w:rsidR="0008009C" w:rsidRDefault="0008009C">
            <w:pPr>
              <w:rPr>
                <w:rFonts w:ascii="宋体"/>
              </w:rPr>
            </w:pPr>
          </w:p>
        </w:tc>
        <w:tc>
          <w:tcPr>
            <w:tcW w:w="0" w:type="auto"/>
            <w:shd w:val="clear" w:color="auto" w:fill="auto"/>
          </w:tcPr>
          <w:p w14:paraId="5C7C5076" w14:textId="77777777" w:rsidR="0008009C" w:rsidRDefault="0008009C">
            <w:pPr>
              <w:rPr>
                <w:rFonts w:ascii="宋体"/>
              </w:rPr>
            </w:pPr>
          </w:p>
        </w:tc>
      </w:tr>
      <w:tr w:rsidR="0008009C" w14:paraId="5C7C507A" w14:textId="77777777">
        <w:trPr>
          <w:jc w:val="center"/>
        </w:trPr>
        <w:tc>
          <w:tcPr>
            <w:tcW w:w="0" w:type="auto"/>
            <w:gridSpan w:val="9"/>
            <w:shd w:val="clear" w:color="auto" w:fill="auto"/>
            <w:tcMar>
              <w:top w:w="40" w:type="dxa"/>
              <w:left w:w="20" w:type="dxa"/>
              <w:bottom w:w="40" w:type="dxa"/>
              <w:right w:w="20" w:type="dxa"/>
            </w:tcMar>
            <w:vAlign w:val="bottom"/>
          </w:tcPr>
          <w:p w14:paraId="5C7C5078" w14:textId="77777777" w:rsidR="0008009C" w:rsidRDefault="00936FDF">
            <w:pPr>
              <w:textAlignment w:val="bottom"/>
            </w:pPr>
            <w:r>
              <w:rPr>
                <w:rFonts w:ascii="Arial" w:eastAsia="宋体" w:hAnsi="Arial" w:cs="Arial"/>
                <w:color w:val="0068B5"/>
                <w:sz w:val="20"/>
                <w:szCs w:val="20"/>
              </w:rPr>
              <w:t>A Quarter in Review</w:t>
            </w:r>
          </w:p>
        </w:tc>
        <w:tc>
          <w:tcPr>
            <w:tcW w:w="0" w:type="auto"/>
            <w:gridSpan w:val="3"/>
            <w:shd w:val="clear" w:color="auto" w:fill="auto"/>
            <w:tcMar>
              <w:top w:w="40" w:type="dxa"/>
              <w:left w:w="20" w:type="dxa"/>
              <w:bottom w:w="40" w:type="dxa"/>
              <w:right w:w="20" w:type="dxa"/>
            </w:tcMar>
            <w:vAlign w:val="bottom"/>
          </w:tcPr>
          <w:p w14:paraId="5C7C5079" w14:textId="77777777" w:rsidR="0008009C" w:rsidRDefault="00936FDF">
            <w:pPr>
              <w:jc w:val="center"/>
              <w:textAlignment w:val="bottom"/>
            </w:pPr>
            <w:hyperlink r:id="rId8" w:anchor="i3a00378f6cc84b1c9cfc83239548ad53_16" w:history="1">
              <w:r>
                <w:rPr>
                  <w:rStyle w:val="a5"/>
                  <w:rFonts w:ascii="Arial" w:eastAsia="宋体" w:hAnsi="Arial" w:cs="Arial"/>
                  <w:color w:val="262626"/>
                  <w:sz w:val="18"/>
                  <w:szCs w:val="18"/>
                  <w:u w:val="none"/>
                </w:rPr>
                <w:t>2</w:t>
              </w:r>
            </w:hyperlink>
          </w:p>
        </w:tc>
      </w:tr>
      <w:tr w:rsidR="0008009C" w14:paraId="5C7C507D" w14:textId="77777777">
        <w:trPr>
          <w:jc w:val="center"/>
        </w:trPr>
        <w:tc>
          <w:tcPr>
            <w:tcW w:w="0" w:type="auto"/>
            <w:gridSpan w:val="9"/>
            <w:tcBorders>
              <w:bottom w:val="single" w:sz="8" w:space="0" w:color="262626"/>
            </w:tcBorders>
            <w:shd w:val="clear" w:color="auto" w:fill="auto"/>
            <w:tcMar>
              <w:top w:w="40" w:type="dxa"/>
              <w:left w:w="20" w:type="dxa"/>
              <w:bottom w:w="40" w:type="dxa"/>
              <w:right w:w="20" w:type="dxa"/>
            </w:tcMar>
            <w:vAlign w:val="bottom"/>
          </w:tcPr>
          <w:p w14:paraId="5C7C507B" w14:textId="77777777" w:rsidR="0008009C" w:rsidRDefault="00936FDF">
            <w:pPr>
              <w:textAlignment w:val="bottom"/>
            </w:pPr>
            <w:r>
              <w:rPr>
                <w:rFonts w:ascii="Arial" w:eastAsia="宋体" w:hAnsi="Arial" w:cs="Arial"/>
                <w:color w:val="0068B5"/>
                <w:sz w:val="20"/>
                <w:szCs w:val="20"/>
              </w:rPr>
              <w:t>Consolidated Condensed Financial Statements and Supplemental Details</w:t>
            </w:r>
          </w:p>
        </w:tc>
        <w:tc>
          <w:tcPr>
            <w:tcW w:w="0" w:type="auto"/>
            <w:gridSpan w:val="3"/>
            <w:shd w:val="clear" w:color="auto" w:fill="auto"/>
            <w:tcMar>
              <w:top w:w="0" w:type="dxa"/>
              <w:left w:w="20" w:type="dxa"/>
              <w:bottom w:w="0" w:type="dxa"/>
              <w:right w:w="20" w:type="dxa"/>
            </w:tcMar>
          </w:tcPr>
          <w:p w14:paraId="5C7C507C" w14:textId="77777777" w:rsidR="0008009C" w:rsidRDefault="0008009C">
            <w:pPr>
              <w:rPr>
                <w:rFonts w:ascii="宋体"/>
              </w:rPr>
            </w:pPr>
          </w:p>
        </w:tc>
      </w:tr>
      <w:tr w:rsidR="0008009C" w14:paraId="5C7C5081" w14:textId="77777777">
        <w:trPr>
          <w:jc w:val="center"/>
        </w:trPr>
        <w:tc>
          <w:tcPr>
            <w:tcW w:w="0" w:type="auto"/>
            <w:gridSpan w:val="3"/>
            <w:tcBorders>
              <w:top w:val="single" w:sz="8" w:space="0" w:color="262626"/>
            </w:tcBorders>
            <w:shd w:val="clear" w:color="auto" w:fill="auto"/>
            <w:tcMar>
              <w:top w:w="0" w:type="dxa"/>
              <w:left w:w="20" w:type="dxa"/>
              <w:bottom w:w="0" w:type="dxa"/>
              <w:right w:w="20" w:type="dxa"/>
            </w:tcMar>
          </w:tcPr>
          <w:p w14:paraId="5C7C507E" w14:textId="77777777" w:rsidR="0008009C" w:rsidRDefault="0008009C">
            <w:pPr>
              <w:rPr>
                <w:rFonts w:ascii="宋体"/>
              </w:rPr>
            </w:pPr>
          </w:p>
        </w:tc>
        <w:tc>
          <w:tcPr>
            <w:tcW w:w="0" w:type="auto"/>
            <w:gridSpan w:val="6"/>
            <w:tcBorders>
              <w:top w:val="single" w:sz="8" w:space="0" w:color="262626"/>
            </w:tcBorders>
            <w:shd w:val="clear" w:color="auto" w:fill="auto"/>
            <w:tcMar>
              <w:top w:w="40" w:type="dxa"/>
              <w:left w:w="20" w:type="dxa"/>
              <w:bottom w:w="40" w:type="dxa"/>
              <w:right w:w="20" w:type="dxa"/>
            </w:tcMar>
            <w:vAlign w:val="bottom"/>
          </w:tcPr>
          <w:p w14:paraId="5C7C507F" w14:textId="77777777" w:rsidR="0008009C" w:rsidRDefault="00936FDF">
            <w:pPr>
              <w:textAlignment w:val="bottom"/>
            </w:pPr>
            <w:r>
              <w:rPr>
                <w:rFonts w:ascii="Arial" w:eastAsia="宋体" w:hAnsi="Arial" w:cs="Arial"/>
                <w:color w:val="262626"/>
                <w:sz w:val="18"/>
                <w:szCs w:val="18"/>
              </w:rPr>
              <w:t xml:space="preserve">Consolidated </w:t>
            </w:r>
            <w:r>
              <w:rPr>
                <w:rFonts w:ascii="Arial" w:eastAsia="宋体" w:hAnsi="Arial" w:cs="Arial"/>
                <w:color w:val="262626"/>
                <w:sz w:val="18"/>
                <w:szCs w:val="18"/>
              </w:rPr>
              <w:t>Condensed Statements of Income</w:t>
            </w: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5C7C5080" w14:textId="77777777" w:rsidR="0008009C" w:rsidRDefault="00936FDF">
            <w:pPr>
              <w:jc w:val="center"/>
              <w:textAlignment w:val="bottom"/>
            </w:pPr>
            <w:hyperlink r:id="rId9" w:anchor="i3a00378f6cc84b1c9cfc83239548ad53_25" w:history="1">
              <w:r>
                <w:rPr>
                  <w:rStyle w:val="a5"/>
                  <w:rFonts w:ascii="Arial" w:eastAsia="宋体" w:hAnsi="Arial" w:cs="Arial"/>
                  <w:color w:val="262626"/>
                  <w:sz w:val="18"/>
                  <w:szCs w:val="18"/>
                  <w:u w:val="none"/>
                </w:rPr>
                <w:t>3</w:t>
              </w:r>
            </w:hyperlink>
          </w:p>
        </w:tc>
      </w:tr>
      <w:tr w:rsidR="0008009C" w14:paraId="5C7C5085" w14:textId="77777777">
        <w:trPr>
          <w:jc w:val="center"/>
        </w:trPr>
        <w:tc>
          <w:tcPr>
            <w:tcW w:w="0" w:type="auto"/>
            <w:gridSpan w:val="3"/>
            <w:shd w:val="clear" w:color="auto" w:fill="auto"/>
            <w:tcMar>
              <w:top w:w="0" w:type="dxa"/>
              <w:left w:w="20" w:type="dxa"/>
              <w:bottom w:w="0" w:type="dxa"/>
              <w:right w:w="20" w:type="dxa"/>
            </w:tcMar>
          </w:tcPr>
          <w:p w14:paraId="5C7C5082" w14:textId="77777777" w:rsidR="0008009C" w:rsidRDefault="0008009C">
            <w:pPr>
              <w:rPr>
                <w:rFonts w:ascii="宋体"/>
              </w:rPr>
            </w:pPr>
          </w:p>
        </w:tc>
        <w:tc>
          <w:tcPr>
            <w:tcW w:w="0" w:type="auto"/>
            <w:gridSpan w:val="6"/>
            <w:shd w:val="clear" w:color="auto" w:fill="auto"/>
            <w:tcMar>
              <w:top w:w="40" w:type="dxa"/>
              <w:left w:w="20" w:type="dxa"/>
              <w:bottom w:w="40" w:type="dxa"/>
              <w:right w:w="20" w:type="dxa"/>
            </w:tcMar>
            <w:vAlign w:val="bottom"/>
          </w:tcPr>
          <w:p w14:paraId="5C7C5083" w14:textId="77777777" w:rsidR="0008009C" w:rsidRDefault="00936FDF">
            <w:pPr>
              <w:textAlignment w:val="bottom"/>
            </w:pPr>
            <w:r>
              <w:rPr>
                <w:rFonts w:ascii="Arial" w:eastAsia="宋体" w:hAnsi="Arial" w:cs="Arial"/>
                <w:color w:val="262626"/>
                <w:sz w:val="18"/>
                <w:szCs w:val="18"/>
              </w:rPr>
              <w:t>Consolidated Condensed Statements of Comprehensive Income</w:t>
            </w:r>
          </w:p>
        </w:tc>
        <w:tc>
          <w:tcPr>
            <w:tcW w:w="0" w:type="auto"/>
            <w:gridSpan w:val="3"/>
            <w:shd w:val="clear" w:color="auto" w:fill="auto"/>
            <w:tcMar>
              <w:top w:w="40" w:type="dxa"/>
              <w:left w:w="20" w:type="dxa"/>
              <w:bottom w:w="40" w:type="dxa"/>
              <w:right w:w="20" w:type="dxa"/>
            </w:tcMar>
            <w:vAlign w:val="bottom"/>
          </w:tcPr>
          <w:p w14:paraId="5C7C5084" w14:textId="77777777" w:rsidR="0008009C" w:rsidRDefault="00936FDF">
            <w:pPr>
              <w:jc w:val="center"/>
              <w:textAlignment w:val="bottom"/>
            </w:pPr>
            <w:hyperlink r:id="rId10" w:anchor="i3a00378f6cc84b1c9cfc83239548ad53_28" w:history="1">
              <w:r>
                <w:rPr>
                  <w:rStyle w:val="a5"/>
                  <w:rFonts w:ascii="Arial" w:eastAsia="宋体" w:hAnsi="Arial" w:cs="Arial"/>
                  <w:color w:val="262626"/>
                  <w:sz w:val="18"/>
                  <w:szCs w:val="18"/>
                  <w:u w:val="none"/>
                </w:rPr>
                <w:t>4</w:t>
              </w:r>
            </w:hyperlink>
          </w:p>
        </w:tc>
      </w:tr>
      <w:tr w:rsidR="0008009C" w14:paraId="5C7C5089" w14:textId="77777777">
        <w:trPr>
          <w:jc w:val="center"/>
        </w:trPr>
        <w:tc>
          <w:tcPr>
            <w:tcW w:w="0" w:type="auto"/>
            <w:gridSpan w:val="3"/>
            <w:shd w:val="clear" w:color="auto" w:fill="auto"/>
            <w:tcMar>
              <w:top w:w="0" w:type="dxa"/>
              <w:left w:w="20" w:type="dxa"/>
              <w:bottom w:w="0" w:type="dxa"/>
              <w:right w:w="20" w:type="dxa"/>
            </w:tcMar>
          </w:tcPr>
          <w:p w14:paraId="5C7C5086" w14:textId="77777777" w:rsidR="0008009C" w:rsidRDefault="0008009C">
            <w:pPr>
              <w:rPr>
                <w:rFonts w:ascii="宋体"/>
              </w:rPr>
            </w:pPr>
          </w:p>
        </w:tc>
        <w:tc>
          <w:tcPr>
            <w:tcW w:w="0" w:type="auto"/>
            <w:gridSpan w:val="6"/>
            <w:shd w:val="clear" w:color="auto" w:fill="auto"/>
            <w:tcMar>
              <w:top w:w="40" w:type="dxa"/>
              <w:left w:w="20" w:type="dxa"/>
              <w:bottom w:w="40" w:type="dxa"/>
              <w:right w:w="20" w:type="dxa"/>
            </w:tcMar>
            <w:vAlign w:val="bottom"/>
          </w:tcPr>
          <w:p w14:paraId="5C7C5087" w14:textId="77777777" w:rsidR="0008009C" w:rsidRDefault="00936FDF">
            <w:pPr>
              <w:textAlignment w:val="bottom"/>
            </w:pPr>
            <w:r>
              <w:rPr>
                <w:rFonts w:ascii="Arial" w:eastAsia="宋体" w:hAnsi="Arial" w:cs="Arial"/>
                <w:color w:val="262626"/>
                <w:sz w:val="18"/>
                <w:szCs w:val="18"/>
              </w:rPr>
              <w:t>Consolidated Condensed Balance Sheets</w:t>
            </w:r>
          </w:p>
        </w:tc>
        <w:tc>
          <w:tcPr>
            <w:tcW w:w="0" w:type="auto"/>
            <w:gridSpan w:val="3"/>
            <w:shd w:val="clear" w:color="auto" w:fill="auto"/>
            <w:tcMar>
              <w:top w:w="40" w:type="dxa"/>
              <w:left w:w="20" w:type="dxa"/>
              <w:bottom w:w="40" w:type="dxa"/>
              <w:right w:w="20" w:type="dxa"/>
            </w:tcMar>
            <w:vAlign w:val="bottom"/>
          </w:tcPr>
          <w:p w14:paraId="5C7C5088" w14:textId="77777777" w:rsidR="0008009C" w:rsidRDefault="00936FDF">
            <w:pPr>
              <w:jc w:val="center"/>
              <w:textAlignment w:val="bottom"/>
            </w:pPr>
            <w:hyperlink r:id="rId11" w:anchor="i3a00378f6cc84b1c9cfc83239548ad53_31" w:history="1">
              <w:r>
                <w:rPr>
                  <w:rStyle w:val="a5"/>
                  <w:rFonts w:ascii="Arial" w:eastAsia="宋体" w:hAnsi="Arial" w:cs="Arial"/>
                  <w:color w:val="262626"/>
                  <w:sz w:val="18"/>
                  <w:szCs w:val="18"/>
                  <w:u w:val="none"/>
                </w:rPr>
                <w:t>5</w:t>
              </w:r>
            </w:hyperlink>
          </w:p>
        </w:tc>
      </w:tr>
      <w:tr w:rsidR="0008009C" w14:paraId="5C7C508D" w14:textId="77777777">
        <w:trPr>
          <w:jc w:val="center"/>
        </w:trPr>
        <w:tc>
          <w:tcPr>
            <w:tcW w:w="0" w:type="auto"/>
            <w:gridSpan w:val="3"/>
            <w:shd w:val="clear" w:color="auto" w:fill="auto"/>
            <w:tcMar>
              <w:top w:w="0" w:type="dxa"/>
              <w:left w:w="20" w:type="dxa"/>
              <w:bottom w:w="0" w:type="dxa"/>
              <w:right w:w="20" w:type="dxa"/>
            </w:tcMar>
          </w:tcPr>
          <w:p w14:paraId="5C7C508A" w14:textId="77777777" w:rsidR="0008009C" w:rsidRDefault="0008009C">
            <w:pPr>
              <w:rPr>
                <w:rFonts w:ascii="宋体"/>
              </w:rPr>
            </w:pPr>
          </w:p>
        </w:tc>
        <w:tc>
          <w:tcPr>
            <w:tcW w:w="0" w:type="auto"/>
            <w:gridSpan w:val="6"/>
            <w:shd w:val="clear" w:color="auto" w:fill="auto"/>
            <w:tcMar>
              <w:top w:w="40" w:type="dxa"/>
              <w:left w:w="20" w:type="dxa"/>
              <w:bottom w:w="40" w:type="dxa"/>
              <w:right w:w="20" w:type="dxa"/>
            </w:tcMar>
            <w:vAlign w:val="bottom"/>
          </w:tcPr>
          <w:p w14:paraId="5C7C508B" w14:textId="77777777" w:rsidR="0008009C" w:rsidRDefault="00936FDF">
            <w:pPr>
              <w:textAlignment w:val="bottom"/>
            </w:pPr>
            <w:r>
              <w:rPr>
                <w:rFonts w:ascii="Arial" w:eastAsia="宋体" w:hAnsi="Arial" w:cs="Arial"/>
                <w:color w:val="262626"/>
                <w:sz w:val="18"/>
                <w:szCs w:val="18"/>
              </w:rPr>
              <w:t>Consolidated Condensed Statements of Cash Flows</w:t>
            </w:r>
          </w:p>
        </w:tc>
        <w:tc>
          <w:tcPr>
            <w:tcW w:w="0" w:type="auto"/>
            <w:gridSpan w:val="3"/>
            <w:shd w:val="clear" w:color="auto" w:fill="auto"/>
            <w:tcMar>
              <w:top w:w="40" w:type="dxa"/>
              <w:left w:w="20" w:type="dxa"/>
              <w:bottom w:w="40" w:type="dxa"/>
              <w:right w:w="20" w:type="dxa"/>
            </w:tcMar>
            <w:vAlign w:val="bottom"/>
          </w:tcPr>
          <w:p w14:paraId="5C7C508C" w14:textId="77777777" w:rsidR="0008009C" w:rsidRDefault="00936FDF">
            <w:pPr>
              <w:jc w:val="center"/>
              <w:textAlignment w:val="bottom"/>
            </w:pPr>
            <w:hyperlink r:id="rId12" w:anchor="i3a00378f6cc84b1c9cfc83239548ad53_37" w:history="1">
              <w:r>
                <w:rPr>
                  <w:rStyle w:val="a5"/>
                  <w:rFonts w:ascii="Arial" w:eastAsia="宋体" w:hAnsi="Arial" w:cs="Arial"/>
                  <w:color w:val="262626"/>
                  <w:sz w:val="18"/>
                  <w:szCs w:val="18"/>
                  <w:u w:val="none"/>
                </w:rPr>
                <w:t>6</w:t>
              </w:r>
            </w:hyperlink>
          </w:p>
        </w:tc>
      </w:tr>
      <w:tr w:rsidR="0008009C" w14:paraId="5C7C5091" w14:textId="77777777">
        <w:trPr>
          <w:jc w:val="center"/>
        </w:trPr>
        <w:tc>
          <w:tcPr>
            <w:tcW w:w="0" w:type="auto"/>
            <w:gridSpan w:val="3"/>
            <w:shd w:val="clear" w:color="auto" w:fill="auto"/>
            <w:tcMar>
              <w:top w:w="0" w:type="dxa"/>
              <w:left w:w="20" w:type="dxa"/>
              <w:bottom w:w="0" w:type="dxa"/>
              <w:right w:w="20" w:type="dxa"/>
            </w:tcMar>
          </w:tcPr>
          <w:p w14:paraId="5C7C508E" w14:textId="77777777" w:rsidR="0008009C" w:rsidRDefault="0008009C">
            <w:pPr>
              <w:rPr>
                <w:rFonts w:ascii="宋体"/>
              </w:rPr>
            </w:pPr>
          </w:p>
        </w:tc>
        <w:tc>
          <w:tcPr>
            <w:tcW w:w="0" w:type="auto"/>
            <w:gridSpan w:val="6"/>
            <w:shd w:val="clear" w:color="auto" w:fill="auto"/>
            <w:tcMar>
              <w:top w:w="40" w:type="dxa"/>
              <w:left w:w="20" w:type="dxa"/>
              <w:bottom w:w="40" w:type="dxa"/>
              <w:right w:w="20" w:type="dxa"/>
            </w:tcMar>
            <w:vAlign w:val="bottom"/>
          </w:tcPr>
          <w:p w14:paraId="5C7C508F" w14:textId="77777777" w:rsidR="0008009C" w:rsidRDefault="00936FDF">
            <w:pPr>
              <w:textAlignment w:val="bottom"/>
            </w:pPr>
            <w:r>
              <w:rPr>
                <w:rFonts w:ascii="Arial" w:eastAsia="宋体" w:hAnsi="Arial" w:cs="Arial"/>
                <w:color w:val="262626"/>
                <w:sz w:val="18"/>
                <w:szCs w:val="18"/>
              </w:rPr>
              <w:t>Consolidated Condensed Statements of Stockholders' Equity</w:t>
            </w:r>
          </w:p>
        </w:tc>
        <w:tc>
          <w:tcPr>
            <w:tcW w:w="0" w:type="auto"/>
            <w:gridSpan w:val="3"/>
            <w:shd w:val="clear" w:color="auto" w:fill="auto"/>
            <w:tcMar>
              <w:top w:w="40" w:type="dxa"/>
              <w:left w:w="20" w:type="dxa"/>
              <w:bottom w:w="40" w:type="dxa"/>
              <w:right w:w="20" w:type="dxa"/>
            </w:tcMar>
            <w:vAlign w:val="bottom"/>
          </w:tcPr>
          <w:p w14:paraId="5C7C5090" w14:textId="77777777" w:rsidR="0008009C" w:rsidRDefault="00936FDF">
            <w:pPr>
              <w:jc w:val="center"/>
              <w:textAlignment w:val="bottom"/>
            </w:pPr>
            <w:hyperlink r:id="rId13" w:anchor="i3a00378f6cc84b1c9cfc83239548ad53_40" w:history="1">
              <w:r>
                <w:rPr>
                  <w:rStyle w:val="a5"/>
                  <w:rFonts w:ascii="Arial" w:eastAsia="宋体" w:hAnsi="Arial" w:cs="Arial"/>
                  <w:color w:val="262626"/>
                  <w:sz w:val="18"/>
                  <w:szCs w:val="18"/>
                  <w:u w:val="none"/>
                </w:rPr>
                <w:t>7</w:t>
              </w:r>
            </w:hyperlink>
          </w:p>
        </w:tc>
      </w:tr>
      <w:tr w:rsidR="0008009C" w14:paraId="5C7C5095" w14:textId="77777777">
        <w:trPr>
          <w:jc w:val="center"/>
        </w:trPr>
        <w:tc>
          <w:tcPr>
            <w:tcW w:w="0" w:type="auto"/>
            <w:gridSpan w:val="3"/>
            <w:shd w:val="clear" w:color="auto" w:fill="auto"/>
            <w:tcMar>
              <w:top w:w="0" w:type="dxa"/>
              <w:left w:w="20" w:type="dxa"/>
              <w:bottom w:w="0" w:type="dxa"/>
              <w:right w:w="20" w:type="dxa"/>
            </w:tcMar>
          </w:tcPr>
          <w:p w14:paraId="5C7C5092" w14:textId="77777777" w:rsidR="0008009C" w:rsidRDefault="0008009C">
            <w:pPr>
              <w:rPr>
                <w:rFonts w:ascii="宋体"/>
              </w:rPr>
            </w:pPr>
          </w:p>
        </w:tc>
        <w:tc>
          <w:tcPr>
            <w:tcW w:w="0" w:type="auto"/>
            <w:gridSpan w:val="6"/>
            <w:shd w:val="clear" w:color="auto" w:fill="auto"/>
            <w:tcMar>
              <w:top w:w="40" w:type="dxa"/>
              <w:left w:w="20" w:type="dxa"/>
              <w:bottom w:w="40" w:type="dxa"/>
              <w:right w:w="20" w:type="dxa"/>
            </w:tcMar>
            <w:vAlign w:val="bottom"/>
          </w:tcPr>
          <w:p w14:paraId="5C7C5093" w14:textId="77777777" w:rsidR="0008009C" w:rsidRDefault="00936FDF">
            <w:pPr>
              <w:textAlignment w:val="bottom"/>
            </w:pPr>
            <w:r>
              <w:rPr>
                <w:rFonts w:ascii="Arial" w:eastAsia="宋体" w:hAnsi="Arial" w:cs="Arial"/>
                <w:color w:val="262626"/>
                <w:sz w:val="18"/>
                <w:szCs w:val="18"/>
              </w:rPr>
              <w:t>Notes to Consolidated Condensed Financial Statements</w:t>
            </w:r>
          </w:p>
        </w:tc>
        <w:tc>
          <w:tcPr>
            <w:tcW w:w="0" w:type="auto"/>
            <w:gridSpan w:val="3"/>
            <w:shd w:val="clear" w:color="auto" w:fill="auto"/>
            <w:tcMar>
              <w:top w:w="40" w:type="dxa"/>
              <w:left w:w="20" w:type="dxa"/>
              <w:bottom w:w="40" w:type="dxa"/>
              <w:right w:w="20" w:type="dxa"/>
            </w:tcMar>
            <w:vAlign w:val="bottom"/>
          </w:tcPr>
          <w:p w14:paraId="5C7C5094" w14:textId="77777777" w:rsidR="0008009C" w:rsidRDefault="00936FDF">
            <w:pPr>
              <w:jc w:val="center"/>
              <w:textAlignment w:val="bottom"/>
            </w:pPr>
            <w:hyperlink r:id="rId14" w:anchor="i3a00378f6cc84b1c9cfc83239548ad53_46" w:history="1">
              <w:r>
                <w:rPr>
                  <w:rStyle w:val="a5"/>
                  <w:rFonts w:ascii="Arial" w:eastAsia="宋体" w:hAnsi="Arial" w:cs="Arial"/>
                  <w:color w:val="262626"/>
                  <w:sz w:val="18"/>
                  <w:szCs w:val="18"/>
                  <w:u w:val="none"/>
                </w:rPr>
                <w:t>8</w:t>
              </w:r>
            </w:hyperlink>
          </w:p>
        </w:tc>
      </w:tr>
      <w:tr w:rsidR="0008009C" w14:paraId="5C7C5099" w14:textId="77777777">
        <w:trPr>
          <w:jc w:val="center"/>
        </w:trPr>
        <w:tc>
          <w:tcPr>
            <w:tcW w:w="0" w:type="auto"/>
            <w:gridSpan w:val="3"/>
            <w:shd w:val="clear" w:color="auto" w:fill="auto"/>
            <w:tcMar>
              <w:top w:w="0" w:type="dxa"/>
              <w:left w:w="20" w:type="dxa"/>
              <w:bottom w:w="0" w:type="dxa"/>
              <w:right w:w="20" w:type="dxa"/>
            </w:tcMar>
          </w:tcPr>
          <w:p w14:paraId="5C7C5096" w14:textId="77777777" w:rsidR="0008009C" w:rsidRDefault="0008009C">
            <w:pPr>
              <w:rPr>
                <w:rFonts w:ascii="宋体"/>
              </w:rPr>
            </w:pPr>
          </w:p>
        </w:tc>
        <w:tc>
          <w:tcPr>
            <w:tcW w:w="0" w:type="auto"/>
            <w:gridSpan w:val="6"/>
            <w:shd w:val="clear" w:color="auto" w:fill="auto"/>
            <w:tcMar>
              <w:top w:w="40" w:type="dxa"/>
              <w:left w:w="20" w:type="dxa"/>
              <w:bottom w:w="40" w:type="dxa"/>
              <w:right w:w="20" w:type="dxa"/>
            </w:tcMar>
            <w:vAlign w:val="bottom"/>
          </w:tcPr>
          <w:p w14:paraId="5C7C5097" w14:textId="77777777" w:rsidR="0008009C" w:rsidRDefault="00936FDF">
            <w:pPr>
              <w:textAlignment w:val="bottom"/>
            </w:pPr>
            <w:r>
              <w:rPr>
                <w:rFonts w:ascii="Arial" w:eastAsia="宋体" w:hAnsi="Arial" w:cs="Arial"/>
                <w:color w:val="262626"/>
                <w:sz w:val="18"/>
                <w:szCs w:val="18"/>
              </w:rPr>
              <w:t>Key Terms</w:t>
            </w:r>
          </w:p>
        </w:tc>
        <w:tc>
          <w:tcPr>
            <w:tcW w:w="0" w:type="auto"/>
            <w:gridSpan w:val="3"/>
            <w:shd w:val="clear" w:color="auto" w:fill="auto"/>
            <w:tcMar>
              <w:top w:w="40" w:type="dxa"/>
              <w:left w:w="20" w:type="dxa"/>
              <w:bottom w:w="40" w:type="dxa"/>
              <w:right w:w="20" w:type="dxa"/>
            </w:tcMar>
            <w:vAlign w:val="bottom"/>
          </w:tcPr>
          <w:p w14:paraId="5C7C5098" w14:textId="77777777" w:rsidR="0008009C" w:rsidRDefault="00936FDF">
            <w:pPr>
              <w:jc w:val="center"/>
              <w:textAlignment w:val="bottom"/>
            </w:pPr>
            <w:hyperlink r:id="rId15" w:anchor="i3a00378f6cc84b1c9cfc83239548ad53_157" w:history="1">
              <w:r>
                <w:rPr>
                  <w:rStyle w:val="a5"/>
                  <w:rFonts w:ascii="Arial" w:eastAsia="宋体" w:hAnsi="Arial" w:cs="Arial"/>
                  <w:color w:val="262626"/>
                  <w:sz w:val="18"/>
                  <w:szCs w:val="18"/>
                  <w:u w:val="none"/>
                </w:rPr>
                <w:t>22</w:t>
              </w:r>
            </w:hyperlink>
          </w:p>
        </w:tc>
      </w:tr>
      <w:tr w:rsidR="0008009C" w14:paraId="5C7C509E" w14:textId="77777777">
        <w:trPr>
          <w:trHeight w:val="60"/>
          <w:jc w:val="center"/>
        </w:trPr>
        <w:tc>
          <w:tcPr>
            <w:tcW w:w="0" w:type="auto"/>
            <w:gridSpan w:val="3"/>
            <w:shd w:val="clear" w:color="auto" w:fill="auto"/>
            <w:tcMar>
              <w:top w:w="0" w:type="dxa"/>
              <w:left w:w="20" w:type="dxa"/>
              <w:bottom w:w="0" w:type="dxa"/>
              <w:right w:w="20" w:type="dxa"/>
            </w:tcMar>
          </w:tcPr>
          <w:p w14:paraId="5C7C509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09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09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09D" w14:textId="77777777" w:rsidR="0008009C" w:rsidRDefault="0008009C">
            <w:pPr>
              <w:rPr>
                <w:rFonts w:ascii="宋体"/>
              </w:rPr>
            </w:pPr>
          </w:p>
        </w:tc>
      </w:tr>
      <w:tr w:rsidR="0008009C" w14:paraId="5C7C50A1" w14:textId="77777777">
        <w:trPr>
          <w:jc w:val="center"/>
        </w:trPr>
        <w:tc>
          <w:tcPr>
            <w:tcW w:w="0" w:type="auto"/>
            <w:gridSpan w:val="9"/>
            <w:shd w:val="clear" w:color="auto" w:fill="auto"/>
            <w:tcMar>
              <w:top w:w="40" w:type="dxa"/>
              <w:left w:w="20" w:type="dxa"/>
              <w:bottom w:w="40" w:type="dxa"/>
              <w:right w:w="20" w:type="dxa"/>
            </w:tcMar>
            <w:vAlign w:val="bottom"/>
          </w:tcPr>
          <w:p w14:paraId="5C7C509F" w14:textId="77777777" w:rsidR="0008009C" w:rsidRDefault="00936FDF">
            <w:pPr>
              <w:textAlignment w:val="bottom"/>
            </w:pPr>
            <w:r>
              <w:rPr>
                <w:rFonts w:ascii="Arial" w:eastAsia="宋体" w:hAnsi="Arial" w:cs="Arial"/>
                <w:color w:val="0068B5"/>
                <w:sz w:val="20"/>
                <w:szCs w:val="20"/>
              </w:rPr>
              <w:t>Management's Discussion and Analysis</w:t>
            </w:r>
          </w:p>
        </w:tc>
        <w:tc>
          <w:tcPr>
            <w:tcW w:w="0" w:type="auto"/>
            <w:gridSpan w:val="3"/>
            <w:shd w:val="clear" w:color="auto" w:fill="auto"/>
            <w:tcMar>
              <w:top w:w="0" w:type="dxa"/>
              <w:left w:w="20" w:type="dxa"/>
              <w:bottom w:w="0" w:type="dxa"/>
              <w:right w:w="20" w:type="dxa"/>
            </w:tcMar>
          </w:tcPr>
          <w:p w14:paraId="5C7C50A0" w14:textId="77777777" w:rsidR="0008009C" w:rsidRDefault="0008009C">
            <w:pPr>
              <w:rPr>
                <w:rFonts w:ascii="宋体"/>
              </w:rPr>
            </w:pPr>
          </w:p>
        </w:tc>
      </w:tr>
      <w:tr w:rsidR="0008009C" w14:paraId="5C7C50A8" w14:textId="77777777">
        <w:trPr>
          <w:jc w:val="center"/>
          <w:hidden/>
        </w:trPr>
        <w:tc>
          <w:tcPr>
            <w:tcW w:w="0" w:type="auto"/>
            <w:gridSpan w:val="3"/>
            <w:shd w:val="clear" w:color="auto" w:fill="auto"/>
          </w:tcPr>
          <w:p w14:paraId="5C7C50A2" w14:textId="77777777" w:rsidR="0008009C" w:rsidRDefault="0008009C">
            <w:pPr>
              <w:rPr>
                <w:rFonts w:ascii="宋体"/>
                <w:vanish/>
              </w:rPr>
            </w:pPr>
          </w:p>
        </w:tc>
        <w:tc>
          <w:tcPr>
            <w:tcW w:w="0" w:type="auto"/>
            <w:gridSpan w:val="3"/>
            <w:shd w:val="clear" w:color="auto" w:fill="auto"/>
          </w:tcPr>
          <w:p w14:paraId="5C7C50A3" w14:textId="77777777" w:rsidR="0008009C" w:rsidRDefault="0008009C">
            <w:pPr>
              <w:rPr>
                <w:rFonts w:ascii="宋体"/>
                <w:vanish/>
              </w:rPr>
            </w:pPr>
          </w:p>
        </w:tc>
        <w:tc>
          <w:tcPr>
            <w:tcW w:w="0" w:type="auto"/>
            <w:gridSpan w:val="3"/>
            <w:shd w:val="clear" w:color="auto" w:fill="auto"/>
          </w:tcPr>
          <w:p w14:paraId="5C7C50A4" w14:textId="77777777" w:rsidR="0008009C" w:rsidRDefault="0008009C">
            <w:pPr>
              <w:rPr>
                <w:rFonts w:ascii="宋体"/>
                <w:vanish/>
              </w:rPr>
            </w:pPr>
          </w:p>
        </w:tc>
        <w:tc>
          <w:tcPr>
            <w:tcW w:w="0" w:type="auto"/>
            <w:shd w:val="clear" w:color="auto" w:fill="auto"/>
          </w:tcPr>
          <w:p w14:paraId="5C7C50A5" w14:textId="77777777" w:rsidR="0008009C" w:rsidRDefault="0008009C">
            <w:pPr>
              <w:rPr>
                <w:rFonts w:ascii="宋体"/>
              </w:rPr>
            </w:pPr>
          </w:p>
        </w:tc>
        <w:tc>
          <w:tcPr>
            <w:tcW w:w="0" w:type="auto"/>
            <w:shd w:val="clear" w:color="auto" w:fill="auto"/>
          </w:tcPr>
          <w:p w14:paraId="5C7C50A6" w14:textId="77777777" w:rsidR="0008009C" w:rsidRDefault="0008009C">
            <w:pPr>
              <w:rPr>
                <w:rFonts w:ascii="宋体"/>
              </w:rPr>
            </w:pPr>
          </w:p>
        </w:tc>
        <w:tc>
          <w:tcPr>
            <w:tcW w:w="0" w:type="auto"/>
            <w:shd w:val="clear" w:color="auto" w:fill="auto"/>
          </w:tcPr>
          <w:p w14:paraId="5C7C50A7" w14:textId="77777777" w:rsidR="0008009C" w:rsidRDefault="0008009C">
            <w:pPr>
              <w:rPr>
                <w:rFonts w:ascii="宋体"/>
              </w:rPr>
            </w:pPr>
          </w:p>
        </w:tc>
      </w:tr>
      <w:tr w:rsidR="0008009C" w14:paraId="5C7C50AF" w14:textId="77777777">
        <w:trPr>
          <w:jc w:val="center"/>
          <w:hidden/>
        </w:trPr>
        <w:tc>
          <w:tcPr>
            <w:tcW w:w="0" w:type="auto"/>
            <w:gridSpan w:val="3"/>
            <w:shd w:val="clear" w:color="auto" w:fill="auto"/>
          </w:tcPr>
          <w:p w14:paraId="5C7C50A9" w14:textId="77777777" w:rsidR="0008009C" w:rsidRDefault="0008009C">
            <w:pPr>
              <w:rPr>
                <w:rFonts w:ascii="宋体"/>
                <w:vanish/>
              </w:rPr>
            </w:pPr>
          </w:p>
        </w:tc>
        <w:tc>
          <w:tcPr>
            <w:tcW w:w="0" w:type="auto"/>
            <w:gridSpan w:val="3"/>
            <w:shd w:val="clear" w:color="auto" w:fill="auto"/>
          </w:tcPr>
          <w:p w14:paraId="5C7C50AA" w14:textId="77777777" w:rsidR="0008009C" w:rsidRDefault="0008009C">
            <w:pPr>
              <w:rPr>
                <w:rFonts w:ascii="宋体"/>
                <w:vanish/>
              </w:rPr>
            </w:pPr>
          </w:p>
        </w:tc>
        <w:tc>
          <w:tcPr>
            <w:tcW w:w="0" w:type="auto"/>
            <w:gridSpan w:val="3"/>
            <w:shd w:val="clear" w:color="auto" w:fill="auto"/>
          </w:tcPr>
          <w:p w14:paraId="5C7C50AB" w14:textId="77777777" w:rsidR="0008009C" w:rsidRDefault="0008009C">
            <w:pPr>
              <w:rPr>
                <w:rFonts w:ascii="宋体"/>
                <w:vanish/>
              </w:rPr>
            </w:pPr>
          </w:p>
        </w:tc>
        <w:tc>
          <w:tcPr>
            <w:tcW w:w="0" w:type="auto"/>
            <w:shd w:val="clear" w:color="auto" w:fill="auto"/>
          </w:tcPr>
          <w:p w14:paraId="5C7C50AC" w14:textId="77777777" w:rsidR="0008009C" w:rsidRDefault="0008009C">
            <w:pPr>
              <w:rPr>
                <w:rFonts w:ascii="宋体"/>
              </w:rPr>
            </w:pPr>
          </w:p>
        </w:tc>
        <w:tc>
          <w:tcPr>
            <w:tcW w:w="0" w:type="auto"/>
            <w:shd w:val="clear" w:color="auto" w:fill="auto"/>
          </w:tcPr>
          <w:p w14:paraId="5C7C50AD" w14:textId="77777777" w:rsidR="0008009C" w:rsidRDefault="0008009C">
            <w:pPr>
              <w:rPr>
                <w:rFonts w:ascii="宋体"/>
              </w:rPr>
            </w:pPr>
          </w:p>
        </w:tc>
        <w:tc>
          <w:tcPr>
            <w:tcW w:w="0" w:type="auto"/>
            <w:shd w:val="clear" w:color="auto" w:fill="auto"/>
          </w:tcPr>
          <w:p w14:paraId="5C7C50AE" w14:textId="77777777" w:rsidR="0008009C" w:rsidRDefault="0008009C">
            <w:pPr>
              <w:rPr>
                <w:rFonts w:ascii="宋体"/>
              </w:rPr>
            </w:pPr>
          </w:p>
        </w:tc>
      </w:tr>
      <w:tr w:rsidR="0008009C" w14:paraId="5C7C50B3" w14:textId="77777777">
        <w:trPr>
          <w:jc w:val="center"/>
        </w:trPr>
        <w:tc>
          <w:tcPr>
            <w:tcW w:w="0" w:type="auto"/>
            <w:gridSpan w:val="3"/>
            <w:tcBorders>
              <w:top w:val="single" w:sz="8" w:space="0" w:color="262626"/>
            </w:tcBorders>
            <w:shd w:val="clear" w:color="auto" w:fill="auto"/>
            <w:tcMar>
              <w:top w:w="0" w:type="dxa"/>
              <w:left w:w="20" w:type="dxa"/>
              <w:bottom w:w="0" w:type="dxa"/>
              <w:right w:w="20" w:type="dxa"/>
            </w:tcMar>
          </w:tcPr>
          <w:p w14:paraId="5C7C50B0" w14:textId="77777777" w:rsidR="0008009C" w:rsidRDefault="0008009C">
            <w:pPr>
              <w:rPr>
                <w:rFonts w:ascii="宋体"/>
              </w:rPr>
            </w:pPr>
          </w:p>
        </w:tc>
        <w:tc>
          <w:tcPr>
            <w:tcW w:w="0" w:type="auto"/>
            <w:gridSpan w:val="6"/>
            <w:tcBorders>
              <w:top w:val="single" w:sz="8" w:space="0" w:color="262626"/>
            </w:tcBorders>
            <w:shd w:val="clear" w:color="auto" w:fill="auto"/>
            <w:tcMar>
              <w:top w:w="40" w:type="dxa"/>
              <w:left w:w="20" w:type="dxa"/>
              <w:bottom w:w="40" w:type="dxa"/>
              <w:right w:w="20" w:type="dxa"/>
            </w:tcMar>
            <w:vAlign w:val="bottom"/>
          </w:tcPr>
          <w:p w14:paraId="5C7C50B1" w14:textId="77777777" w:rsidR="0008009C" w:rsidRDefault="00936FDF">
            <w:pPr>
              <w:textAlignment w:val="bottom"/>
            </w:pPr>
            <w:r>
              <w:rPr>
                <w:rFonts w:ascii="Arial" w:eastAsia="宋体" w:hAnsi="Arial" w:cs="Arial"/>
                <w:color w:val="262626"/>
                <w:sz w:val="18"/>
                <w:szCs w:val="18"/>
              </w:rPr>
              <w:t>Segment Trends and Results</w:t>
            </w: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5C7C50B2" w14:textId="77777777" w:rsidR="0008009C" w:rsidRDefault="00936FDF">
            <w:pPr>
              <w:jc w:val="center"/>
              <w:textAlignment w:val="bottom"/>
            </w:pPr>
            <w:hyperlink r:id="rId16" w:anchor="i3a00378f6cc84b1c9cfc83239548ad53_166" w:history="1">
              <w:r>
                <w:rPr>
                  <w:rStyle w:val="a5"/>
                  <w:rFonts w:ascii="Arial" w:eastAsia="宋体" w:hAnsi="Arial" w:cs="Arial"/>
                  <w:color w:val="262626"/>
                  <w:sz w:val="18"/>
                  <w:szCs w:val="18"/>
                  <w:u w:val="none"/>
                </w:rPr>
                <w:t>23</w:t>
              </w:r>
            </w:hyperlink>
          </w:p>
        </w:tc>
      </w:tr>
      <w:tr w:rsidR="0008009C" w14:paraId="5C7C50B8" w14:textId="77777777">
        <w:trPr>
          <w:jc w:val="center"/>
          <w:hidden/>
        </w:trPr>
        <w:tc>
          <w:tcPr>
            <w:tcW w:w="0" w:type="auto"/>
            <w:gridSpan w:val="3"/>
            <w:shd w:val="clear" w:color="auto" w:fill="auto"/>
          </w:tcPr>
          <w:p w14:paraId="5C7C50B4" w14:textId="77777777" w:rsidR="0008009C" w:rsidRDefault="0008009C">
            <w:pPr>
              <w:rPr>
                <w:rFonts w:ascii="宋体"/>
                <w:vanish/>
              </w:rPr>
            </w:pPr>
          </w:p>
        </w:tc>
        <w:tc>
          <w:tcPr>
            <w:tcW w:w="0" w:type="auto"/>
            <w:gridSpan w:val="3"/>
            <w:shd w:val="clear" w:color="auto" w:fill="auto"/>
          </w:tcPr>
          <w:p w14:paraId="5C7C50B5" w14:textId="77777777" w:rsidR="0008009C" w:rsidRDefault="0008009C">
            <w:pPr>
              <w:rPr>
                <w:rFonts w:ascii="宋体"/>
                <w:vanish/>
              </w:rPr>
            </w:pPr>
          </w:p>
        </w:tc>
        <w:tc>
          <w:tcPr>
            <w:tcW w:w="0" w:type="auto"/>
            <w:gridSpan w:val="3"/>
            <w:shd w:val="clear" w:color="auto" w:fill="auto"/>
          </w:tcPr>
          <w:p w14:paraId="5C7C50B6" w14:textId="77777777" w:rsidR="0008009C" w:rsidRDefault="0008009C">
            <w:pPr>
              <w:rPr>
                <w:rFonts w:ascii="宋体"/>
                <w:vanish/>
              </w:rPr>
            </w:pPr>
          </w:p>
        </w:tc>
        <w:tc>
          <w:tcPr>
            <w:tcW w:w="0" w:type="auto"/>
            <w:gridSpan w:val="3"/>
            <w:shd w:val="clear" w:color="auto" w:fill="auto"/>
          </w:tcPr>
          <w:p w14:paraId="5C7C50B7" w14:textId="77777777" w:rsidR="0008009C" w:rsidRDefault="0008009C">
            <w:pPr>
              <w:rPr>
                <w:rFonts w:ascii="宋体"/>
                <w:vanish/>
              </w:rPr>
            </w:pPr>
          </w:p>
        </w:tc>
      </w:tr>
      <w:tr w:rsidR="0008009C" w14:paraId="5C7C50BD" w14:textId="77777777">
        <w:trPr>
          <w:jc w:val="center"/>
          <w:hidden/>
        </w:trPr>
        <w:tc>
          <w:tcPr>
            <w:tcW w:w="0" w:type="auto"/>
            <w:gridSpan w:val="3"/>
            <w:shd w:val="clear" w:color="auto" w:fill="auto"/>
          </w:tcPr>
          <w:p w14:paraId="5C7C50B9" w14:textId="77777777" w:rsidR="0008009C" w:rsidRDefault="0008009C">
            <w:pPr>
              <w:rPr>
                <w:rFonts w:ascii="宋体"/>
                <w:vanish/>
              </w:rPr>
            </w:pPr>
          </w:p>
        </w:tc>
        <w:tc>
          <w:tcPr>
            <w:tcW w:w="0" w:type="auto"/>
            <w:gridSpan w:val="3"/>
            <w:shd w:val="clear" w:color="auto" w:fill="auto"/>
          </w:tcPr>
          <w:p w14:paraId="5C7C50BA" w14:textId="77777777" w:rsidR="0008009C" w:rsidRDefault="0008009C">
            <w:pPr>
              <w:rPr>
                <w:rFonts w:ascii="宋体"/>
                <w:vanish/>
              </w:rPr>
            </w:pPr>
          </w:p>
        </w:tc>
        <w:tc>
          <w:tcPr>
            <w:tcW w:w="0" w:type="auto"/>
            <w:gridSpan w:val="3"/>
            <w:shd w:val="clear" w:color="auto" w:fill="auto"/>
          </w:tcPr>
          <w:p w14:paraId="5C7C50BB" w14:textId="77777777" w:rsidR="0008009C" w:rsidRDefault="0008009C">
            <w:pPr>
              <w:rPr>
                <w:rFonts w:ascii="宋体"/>
                <w:vanish/>
              </w:rPr>
            </w:pPr>
          </w:p>
        </w:tc>
        <w:tc>
          <w:tcPr>
            <w:tcW w:w="0" w:type="auto"/>
            <w:gridSpan w:val="3"/>
            <w:shd w:val="clear" w:color="auto" w:fill="auto"/>
          </w:tcPr>
          <w:p w14:paraId="5C7C50BC" w14:textId="77777777" w:rsidR="0008009C" w:rsidRDefault="0008009C">
            <w:pPr>
              <w:rPr>
                <w:rFonts w:ascii="宋体"/>
                <w:vanish/>
              </w:rPr>
            </w:pPr>
          </w:p>
        </w:tc>
      </w:tr>
      <w:tr w:rsidR="0008009C" w14:paraId="5C7C50C2" w14:textId="77777777">
        <w:trPr>
          <w:jc w:val="center"/>
          <w:hidden/>
        </w:trPr>
        <w:tc>
          <w:tcPr>
            <w:tcW w:w="0" w:type="auto"/>
            <w:gridSpan w:val="3"/>
            <w:shd w:val="clear" w:color="auto" w:fill="auto"/>
          </w:tcPr>
          <w:p w14:paraId="5C7C50BE" w14:textId="77777777" w:rsidR="0008009C" w:rsidRDefault="0008009C">
            <w:pPr>
              <w:rPr>
                <w:rFonts w:ascii="宋体"/>
                <w:vanish/>
              </w:rPr>
            </w:pPr>
          </w:p>
        </w:tc>
        <w:tc>
          <w:tcPr>
            <w:tcW w:w="0" w:type="auto"/>
            <w:gridSpan w:val="3"/>
            <w:shd w:val="clear" w:color="auto" w:fill="auto"/>
          </w:tcPr>
          <w:p w14:paraId="5C7C50BF" w14:textId="77777777" w:rsidR="0008009C" w:rsidRDefault="0008009C">
            <w:pPr>
              <w:rPr>
                <w:rFonts w:ascii="宋体"/>
                <w:vanish/>
              </w:rPr>
            </w:pPr>
          </w:p>
        </w:tc>
        <w:tc>
          <w:tcPr>
            <w:tcW w:w="0" w:type="auto"/>
            <w:gridSpan w:val="3"/>
            <w:shd w:val="clear" w:color="auto" w:fill="auto"/>
          </w:tcPr>
          <w:p w14:paraId="5C7C50C0" w14:textId="77777777" w:rsidR="0008009C" w:rsidRDefault="0008009C">
            <w:pPr>
              <w:rPr>
                <w:rFonts w:ascii="宋体"/>
                <w:vanish/>
              </w:rPr>
            </w:pPr>
          </w:p>
        </w:tc>
        <w:tc>
          <w:tcPr>
            <w:tcW w:w="0" w:type="auto"/>
            <w:gridSpan w:val="3"/>
            <w:shd w:val="clear" w:color="auto" w:fill="auto"/>
          </w:tcPr>
          <w:p w14:paraId="5C7C50C1" w14:textId="77777777" w:rsidR="0008009C" w:rsidRDefault="0008009C">
            <w:pPr>
              <w:rPr>
                <w:rFonts w:ascii="宋体"/>
                <w:vanish/>
              </w:rPr>
            </w:pPr>
          </w:p>
        </w:tc>
      </w:tr>
      <w:tr w:rsidR="0008009C" w14:paraId="5C7C50C7" w14:textId="77777777">
        <w:trPr>
          <w:jc w:val="center"/>
          <w:hidden/>
        </w:trPr>
        <w:tc>
          <w:tcPr>
            <w:tcW w:w="0" w:type="auto"/>
            <w:gridSpan w:val="3"/>
            <w:shd w:val="clear" w:color="auto" w:fill="auto"/>
          </w:tcPr>
          <w:p w14:paraId="5C7C50C3" w14:textId="77777777" w:rsidR="0008009C" w:rsidRDefault="0008009C">
            <w:pPr>
              <w:rPr>
                <w:rFonts w:ascii="宋体"/>
                <w:vanish/>
              </w:rPr>
            </w:pPr>
          </w:p>
        </w:tc>
        <w:tc>
          <w:tcPr>
            <w:tcW w:w="0" w:type="auto"/>
            <w:gridSpan w:val="3"/>
            <w:shd w:val="clear" w:color="auto" w:fill="auto"/>
          </w:tcPr>
          <w:p w14:paraId="5C7C50C4" w14:textId="77777777" w:rsidR="0008009C" w:rsidRDefault="0008009C">
            <w:pPr>
              <w:rPr>
                <w:rFonts w:ascii="宋体"/>
                <w:vanish/>
              </w:rPr>
            </w:pPr>
          </w:p>
        </w:tc>
        <w:tc>
          <w:tcPr>
            <w:tcW w:w="0" w:type="auto"/>
            <w:gridSpan w:val="3"/>
            <w:shd w:val="clear" w:color="auto" w:fill="auto"/>
          </w:tcPr>
          <w:p w14:paraId="5C7C50C5" w14:textId="77777777" w:rsidR="0008009C" w:rsidRDefault="0008009C">
            <w:pPr>
              <w:rPr>
                <w:rFonts w:ascii="宋体"/>
                <w:vanish/>
              </w:rPr>
            </w:pPr>
          </w:p>
        </w:tc>
        <w:tc>
          <w:tcPr>
            <w:tcW w:w="0" w:type="auto"/>
            <w:gridSpan w:val="3"/>
            <w:shd w:val="clear" w:color="auto" w:fill="auto"/>
          </w:tcPr>
          <w:p w14:paraId="5C7C50C6" w14:textId="77777777" w:rsidR="0008009C" w:rsidRDefault="0008009C">
            <w:pPr>
              <w:rPr>
                <w:rFonts w:ascii="宋体"/>
                <w:vanish/>
              </w:rPr>
            </w:pPr>
          </w:p>
        </w:tc>
      </w:tr>
      <w:tr w:rsidR="0008009C" w14:paraId="5C7C50CC" w14:textId="77777777">
        <w:trPr>
          <w:jc w:val="center"/>
          <w:hidden/>
        </w:trPr>
        <w:tc>
          <w:tcPr>
            <w:tcW w:w="0" w:type="auto"/>
            <w:gridSpan w:val="3"/>
            <w:shd w:val="clear" w:color="auto" w:fill="auto"/>
          </w:tcPr>
          <w:p w14:paraId="5C7C50C8" w14:textId="77777777" w:rsidR="0008009C" w:rsidRDefault="0008009C">
            <w:pPr>
              <w:rPr>
                <w:rFonts w:ascii="宋体"/>
                <w:vanish/>
              </w:rPr>
            </w:pPr>
          </w:p>
        </w:tc>
        <w:tc>
          <w:tcPr>
            <w:tcW w:w="0" w:type="auto"/>
            <w:gridSpan w:val="3"/>
            <w:shd w:val="clear" w:color="auto" w:fill="auto"/>
          </w:tcPr>
          <w:p w14:paraId="5C7C50C9" w14:textId="77777777" w:rsidR="0008009C" w:rsidRDefault="0008009C">
            <w:pPr>
              <w:rPr>
                <w:rFonts w:ascii="宋体"/>
                <w:vanish/>
              </w:rPr>
            </w:pPr>
          </w:p>
        </w:tc>
        <w:tc>
          <w:tcPr>
            <w:tcW w:w="0" w:type="auto"/>
            <w:gridSpan w:val="3"/>
            <w:shd w:val="clear" w:color="auto" w:fill="auto"/>
          </w:tcPr>
          <w:p w14:paraId="5C7C50CA" w14:textId="77777777" w:rsidR="0008009C" w:rsidRDefault="0008009C">
            <w:pPr>
              <w:rPr>
                <w:rFonts w:ascii="宋体"/>
                <w:vanish/>
              </w:rPr>
            </w:pPr>
          </w:p>
        </w:tc>
        <w:tc>
          <w:tcPr>
            <w:tcW w:w="0" w:type="auto"/>
            <w:gridSpan w:val="3"/>
            <w:shd w:val="clear" w:color="auto" w:fill="auto"/>
          </w:tcPr>
          <w:p w14:paraId="5C7C50CB" w14:textId="77777777" w:rsidR="0008009C" w:rsidRDefault="0008009C">
            <w:pPr>
              <w:rPr>
                <w:rFonts w:ascii="宋体"/>
                <w:vanish/>
              </w:rPr>
            </w:pPr>
          </w:p>
        </w:tc>
      </w:tr>
      <w:tr w:rsidR="0008009C" w14:paraId="5C7C50D0" w14:textId="77777777">
        <w:trPr>
          <w:jc w:val="center"/>
        </w:trPr>
        <w:tc>
          <w:tcPr>
            <w:tcW w:w="0" w:type="auto"/>
            <w:gridSpan w:val="3"/>
            <w:shd w:val="clear" w:color="auto" w:fill="auto"/>
            <w:tcMar>
              <w:top w:w="0" w:type="dxa"/>
              <w:left w:w="20" w:type="dxa"/>
              <w:bottom w:w="0" w:type="dxa"/>
              <w:right w:w="20" w:type="dxa"/>
            </w:tcMar>
          </w:tcPr>
          <w:p w14:paraId="5C7C50CD" w14:textId="77777777" w:rsidR="0008009C" w:rsidRDefault="0008009C">
            <w:pPr>
              <w:rPr>
                <w:rFonts w:ascii="宋体"/>
              </w:rPr>
            </w:pPr>
          </w:p>
        </w:tc>
        <w:tc>
          <w:tcPr>
            <w:tcW w:w="0" w:type="auto"/>
            <w:gridSpan w:val="6"/>
            <w:shd w:val="clear" w:color="auto" w:fill="auto"/>
            <w:tcMar>
              <w:top w:w="40" w:type="dxa"/>
              <w:left w:w="20" w:type="dxa"/>
              <w:bottom w:w="40" w:type="dxa"/>
              <w:right w:w="20" w:type="dxa"/>
            </w:tcMar>
            <w:vAlign w:val="bottom"/>
          </w:tcPr>
          <w:p w14:paraId="5C7C50CE" w14:textId="77777777" w:rsidR="0008009C" w:rsidRDefault="00936FDF">
            <w:pPr>
              <w:textAlignment w:val="bottom"/>
            </w:pPr>
            <w:r>
              <w:rPr>
                <w:rFonts w:ascii="Arial" w:eastAsia="宋体" w:hAnsi="Arial" w:cs="Arial"/>
                <w:color w:val="262626"/>
                <w:sz w:val="18"/>
                <w:szCs w:val="18"/>
              </w:rPr>
              <w:t>Consolidated Results of Operations</w:t>
            </w:r>
          </w:p>
        </w:tc>
        <w:tc>
          <w:tcPr>
            <w:tcW w:w="0" w:type="auto"/>
            <w:gridSpan w:val="3"/>
            <w:shd w:val="clear" w:color="auto" w:fill="auto"/>
            <w:tcMar>
              <w:top w:w="40" w:type="dxa"/>
              <w:left w:w="20" w:type="dxa"/>
              <w:bottom w:w="40" w:type="dxa"/>
              <w:right w:w="20" w:type="dxa"/>
            </w:tcMar>
            <w:vAlign w:val="bottom"/>
          </w:tcPr>
          <w:p w14:paraId="5C7C50CF" w14:textId="77777777" w:rsidR="0008009C" w:rsidRDefault="00936FDF">
            <w:pPr>
              <w:jc w:val="center"/>
              <w:textAlignment w:val="bottom"/>
            </w:pPr>
            <w:hyperlink r:id="rId17" w:anchor="i3a00378f6cc84b1c9cfc83239548ad53_181" w:history="1">
              <w:r>
                <w:rPr>
                  <w:rStyle w:val="a5"/>
                  <w:rFonts w:ascii="Arial" w:eastAsia="宋体" w:hAnsi="Arial" w:cs="Arial"/>
                  <w:color w:val="262626"/>
                  <w:sz w:val="18"/>
                  <w:szCs w:val="18"/>
                  <w:u w:val="none"/>
                </w:rPr>
                <w:t>28</w:t>
              </w:r>
            </w:hyperlink>
          </w:p>
        </w:tc>
      </w:tr>
      <w:tr w:rsidR="0008009C" w14:paraId="5C7C50D4" w14:textId="77777777">
        <w:trPr>
          <w:jc w:val="center"/>
        </w:trPr>
        <w:tc>
          <w:tcPr>
            <w:tcW w:w="0" w:type="auto"/>
            <w:gridSpan w:val="3"/>
            <w:shd w:val="clear" w:color="auto" w:fill="auto"/>
            <w:tcMar>
              <w:top w:w="0" w:type="dxa"/>
              <w:left w:w="20" w:type="dxa"/>
              <w:bottom w:w="0" w:type="dxa"/>
              <w:right w:w="20" w:type="dxa"/>
            </w:tcMar>
          </w:tcPr>
          <w:p w14:paraId="5C7C50D1" w14:textId="77777777" w:rsidR="0008009C" w:rsidRDefault="0008009C">
            <w:pPr>
              <w:rPr>
                <w:rFonts w:ascii="宋体"/>
              </w:rPr>
            </w:pPr>
          </w:p>
        </w:tc>
        <w:tc>
          <w:tcPr>
            <w:tcW w:w="0" w:type="auto"/>
            <w:gridSpan w:val="6"/>
            <w:shd w:val="clear" w:color="auto" w:fill="auto"/>
            <w:tcMar>
              <w:top w:w="40" w:type="dxa"/>
              <w:left w:w="20" w:type="dxa"/>
              <w:bottom w:w="40" w:type="dxa"/>
              <w:right w:w="20" w:type="dxa"/>
            </w:tcMar>
            <w:vAlign w:val="bottom"/>
          </w:tcPr>
          <w:p w14:paraId="5C7C50D2" w14:textId="77777777" w:rsidR="0008009C" w:rsidRDefault="00936FDF">
            <w:pPr>
              <w:textAlignment w:val="bottom"/>
            </w:pPr>
            <w:r>
              <w:rPr>
                <w:rFonts w:ascii="Arial" w:eastAsia="宋体" w:hAnsi="Arial" w:cs="Arial"/>
                <w:color w:val="262626"/>
                <w:sz w:val="18"/>
                <w:szCs w:val="18"/>
              </w:rPr>
              <w:t>Liquidity and Capital Resources</w:t>
            </w:r>
          </w:p>
        </w:tc>
        <w:tc>
          <w:tcPr>
            <w:tcW w:w="0" w:type="auto"/>
            <w:gridSpan w:val="3"/>
            <w:shd w:val="clear" w:color="auto" w:fill="auto"/>
            <w:tcMar>
              <w:top w:w="40" w:type="dxa"/>
              <w:left w:w="20" w:type="dxa"/>
              <w:bottom w:w="40" w:type="dxa"/>
              <w:right w:w="20" w:type="dxa"/>
            </w:tcMar>
            <w:vAlign w:val="bottom"/>
          </w:tcPr>
          <w:p w14:paraId="5C7C50D3" w14:textId="77777777" w:rsidR="0008009C" w:rsidRDefault="00936FDF">
            <w:pPr>
              <w:jc w:val="center"/>
              <w:textAlignment w:val="bottom"/>
            </w:pPr>
            <w:hyperlink r:id="rId18" w:anchor="i3a00378f6cc84b1c9cfc83239548ad53_205" w:history="1">
              <w:r>
                <w:rPr>
                  <w:rStyle w:val="a5"/>
                  <w:rFonts w:ascii="Arial" w:eastAsia="宋体" w:hAnsi="Arial" w:cs="Arial"/>
                  <w:color w:val="262626"/>
                  <w:sz w:val="18"/>
                  <w:szCs w:val="18"/>
                  <w:u w:val="none"/>
                </w:rPr>
                <w:t>32</w:t>
              </w:r>
            </w:hyperlink>
          </w:p>
        </w:tc>
      </w:tr>
      <w:tr w:rsidR="0008009C" w14:paraId="5C7C50DB" w14:textId="77777777">
        <w:trPr>
          <w:jc w:val="center"/>
          <w:hidden/>
        </w:trPr>
        <w:tc>
          <w:tcPr>
            <w:tcW w:w="0" w:type="auto"/>
            <w:gridSpan w:val="3"/>
            <w:shd w:val="clear" w:color="auto" w:fill="auto"/>
          </w:tcPr>
          <w:p w14:paraId="5C7C50D5" w14:textId="77777777" w:rsidR="0008009C" w:rsidRDefault="0008009C">
            <w:pPr>
              <w:rPr>
                <w:rFonts w:ascii="宋体"/>
                <w:vanish/>
              </w:rPr>
            </w:pPr>
          </w:p>
        </w:tc>
        <w:tc>
          <w:tcPr>
            <w:tcW w:w="0" w:type="auto"/>
            <w:gridSpan w:val="3"/>
            <w:shd w:val="clear" w:color="auto" w:fill="auto"/>
          </w:tcPr>
          <w:p w14:paraId="5C7C50D6" w14:textId="77777777" w:rsidR="0008009C" w:rsidRDefault="0008009C">
            <w:pPr>
              <w:rPr>
                <w:rFonts w:ascii="宋体"/>
                <w:vanish/>
              </w:rPr>
            </w:pPr>
          </w:p>
        </w:tc>
        <w:tc>
          <w:tcPr>
            <w:tcW w:w="0" w:type="auto"/>
            <w:gridSpan w:val="3"/>
            <w:shd w:val="clear" w:color="auto" w:fill="auto"/>
          </w:tcPr>
          <w:p w14:paraId="5C7C50D7" w14:textId="77777777" w:rsidR="0008009C" w:rsidRDefault="0008009C">
            <w:pPr>
              <w:rPr>
                <w:rFonts w:ascii="宋体"/>
                <w:vanish/>
              </w:rPr>
            </w:pPr>
          </w:p>
        </w:tc>
        <w:tc>
          <w:tcPr>
            <w:tcW w:w="0" w:type="auto"/>
            <w:shd w:val="clear" w:color="auto" w:fill="auto"/>
          </w:tcPr>
          <w:p w14:paraId="5C7C50D8" w14:textId="77777777" w:rsidR="0008009C" w:rsidRDefault="0008009C">
            <w:pPr>
              <w:rPr>
                <w:rFonts w:ascii="宋体"/>
              </w:rPr>
            </w:pPr>
          </w:p>
        </w:tc>
        <w:tc>
          <w:tcPr>
            <w:tcW w:w="0" w:type="auto"/>
            <w:shd w:val="clear" w:color="auto" w:fill="auto"/>
          </w:tcPr>
          <w:p w14:paraId="5C7C50D9" w14:textId="77777777" w:rsidR="0008009C" w:rsidRDefault="0008009C">
            <w:pPr>
              <w:rPr>
                <w:rFonts w:ascii="宋体"/>
              </w:rPr>
            </w:pPr>
          </w:p>
        </w:tc>
        <w:tc>
          <w:tcPr>
            <w:tcW w:w="0" w:type="auto"/>
            <w:shd w:val="clear" w:color="auto" w:fill="auto"/>
          </w:tcPr>
          <w:p w14:paraId="5C7C50DA" w14:textId="77777777" w:rsidR="0008009C" w:rsidRDefault="0008009C">
            <w:pPr>
              <w:rPr>
                <w:rFonts w:ascii="宋体"/>
              </w:rPr>
            </w:pPr>
          </w:p>
        </w:tc>
      </w:tr>
      <w:tr w:rsidR="0008009C" w14:paraId="5C7C50E2" w14:textId="77777777">
        <w:trPr>
          <w:jc w:val="center"/>
          <w:hidden/>
        </w:trPr>
        <w:tc>
          <w:tcPr>
            <w:tcW w:w="0" w:type="auto"/>
            <w:gridSpan w:val="3"/>
            <w:shd w:val="clear" w:color="auto" w:fill="auto"/>
          </w:tcPr>
          <w:p w14:paraId="5C7C50DC" w14:textId="77777777" w:rsidR="0008009C" w:rsidRDefault="0008009C">
            <w:pPr>
              <w:rPr>
                <w:rFonts w:ascii="宋体"/>
                <w:vanish/>
              </w:rPr>
            </w:pPr>
          </w:p>
        </w:tc>
        <w:tc>
          <w:tcPr>
            <w:tcW w:w="0" w:type="auto"/>
            <w:gridSpan w:val="3"/>
            <w:shd w:val="clear" w:color="auto" w:fill="auto"/>
          </w:tcPr>
          <w:p w14:paraId="5C7C50DD" w14:textId="77777777" w:rsidR="0008009C" w:rsidRDefault="0008009C">
            <w:pPr>
              <w:rPr>
                <w:rFonts w:ascii="宋体"/>
                <w:vanish/>
              </w:rPr>
            </w:pPr>
          </w:p>
        </w:tc>
        <w:tc>
          <w:tcPr>
            <w:tcW w:w="0" w:type="auto"/>
            <w:gridSpan w:val="3"/>
            <w:shd w:val="clear" w:color="auto" w:fill="auto"/>
          </w:tcPr>
          <w:p w14:paraId="5C7C50DE" w14:textId="77777777" w:rsidR="0008009C" w:rsidRDefault="0008009C">
            <w:pPr>
              <w:rPr>
                <w:rFonts w:ascii="宋体"/>
                <w:vanish/>
              </w:rPr>
            </w:pPr>
          </w:p>
        </w:tc>
        <w:tc>
          <w:tcPr>
            <w:tcW w:w="0" w:type="auto"/>
            <w:shd w:val="clear" w:color="auto" w:fill="auto"/>
          </w:tcPr>
          <w:p w14:paraId="5C7C50DF" w14:textId="77777777" w:rsidR="0008009C" w:rsidRDefault="0008009C">
            <w:pPr>
              <w:rPr>
                <w:rFonts w:ascii="宋体"/>
              </w:rPr>
            </w:pPr>
          </w:p>
        </w:tc>
        <w:tc>
          <w:tcPr>
            <w:tcW w:w="0" w:type="auto"/>
            <w:shd w:val="clear" w:color="auto" w:fill="auto"/>
          </w:tcPr>
          <w:p w14:paraId="5C7C50E0" w14:textId="77777777" w:rsidR="0008009C" w:rsidRDefault="0008009C">
            <w:pPr>
              <w:rPr>
                <w:rFonts w:ascii="宋体"/>
              </w:rPr>
            </w:pPr>
          </w:p>
        </w:tc>
        <w:tc>
          <w:tcPr>
            <w:tcW w:w="0" w:type="auto"/>
            <w:shd w:val="clear" w:color="auto" w:fill="auto"/>
          </w:tcPr>
          <w:p w14:paraId="5C7C50E1" w14:textId="77777777" w:rsidR="0008009C" w:rsidRDefault="0008009C">
            <w:pPr>
              <w:rPr>
                <w:rFonts w:ascii="宋体"/>
              </w:rPr>
            </w:pPr>
          </w:p>
        </w:tc>
      </w:tr>
      <w:tr w:rsidR="0008009C" w14:paraId="5C7C50E6" w14:textId="77777777">
        <w:trPr>
          <w:jc w:val="center"/>
        </w:trPr>
        <w:tc>
          <w:tcPr>
            <w:tcW w:w="0" w:type="auto"/>
            <w:gridSpan w:val="3"/>
            <w:shd w:val="clear" w:color="auto" w:fill="auto"/>
            <w:tcMar>
              <w:top w:w="0" w:type="dxa"/>
              <w:left w:w="20" w:type="dxa"/>
              <w:bottom w:w="0" w:type="dxa"/>
              <w:right w:w="20" w:type="dxa"/>
            </w:tcMar>
          </w:tcPr>
          <w:p w14:paraId="5C7C50E3" w14:textId="77777777" w:rsidR="0008009C" w:rsidRDefault="0008009C">
            <w:pPr>
              <w:rPr>
                <w:rFonts w:ascii="宋体"/>
              </w:rPr>
            </w:pPr>
          </w:p>
        </w:tc>
        <w:tc>
          <w:tcPr>
            <w:tcW w:w="0" w:type="auto"/>
            <w:gridSpan w:val="6"/>
            <w:shd w:val="clear" w:color="auto" w:fill="auto"/>
            <w:tcMar>
              <w:top w:w="40" w:type="dxa"/>
              <w:left w:w="20" w:type="dxa"/>
              <w:bottom w:w="40" w:type="dxa"/>
              <w:right w:w="20" w:type="dxa"/>
            </w:tcMar>
            <w:vAlign w:val="bottom"/>
          </w:tcPr>
          <w:p w14:paraId="5C7C50E4" w14:textId="77777777" w:rsidR="0008009C" w:rsidRDefault="00936FDF">
            <w:pPr>
              <w:textAlignment w:val="bottom"/>
            </w:pPr>
            <w:r>
              <w:rPr>
                <w:rFonts w:ascii="Arial" w:eastAsia="宋体" w:hAnsi="Arial" w:cs="Arial"/>
                <w:color w:val="262626"/>
                <w:sz w:val="18"/>
                <w:szCs w:val="18"/>
              </w:rPr>
              <w:t>Non-GAAP Financial Measures</w:t>
            </w:r>
          </w:p>
        </w:tc>
        <w:tc>
          <w:tcPr>
            <w:tcW w:w="0" w:type="auto"/>
            <w:gridSpan w:val="3"/>
            <w:shd w:val="clear" w:color="auto" w:fill="auto"/>
            <w:tcMar>
              <w:top w:w="40" w:type="dxa"/>
              <w:left w:w="20" w:type="dxa"/>
              <w:bottom w:w="40" w:type="dxa"/>
              <w:right w:w="20" w:type="dxa"/>
            </w:tcMar>
            <w:vAlign w:val="bottom"/>
          </w:tcPr>
          <w:p w14:paraId="5C7C50E5" w14:textId="77777777" w:rsidR="0008009C" w:rsidRDefault="00936FDF">
            <w:pPr>
              <w:jc w:val="center"/>
              <w:textAlignment w:val="bottom"/>
            </w:pPr>
            <w:hyperlink r:id="rId19" w:anchor="i3a00378f6cc84b1c9cfc83239548ad53_220" w:history="1">
              <w:r>
                <w:rPr>
                  <w:rStyle w:val="a5"/>
                  <w:rFonts w:ascii="Arial" w:eastAsia="宋体" w:hAnsi="Arial" w:cs="Arial"/>
                  <w:color w:val="262626"/>
                  <w:sz w:val="18"/>
                  <w:szCs w:val="18"/>
                  <w:u w:val="none"/>
                </w:rPr>
                <w:t>33</w:t>
              </w:r>
            </w:hyperlink>
          </w:p>
        </w:tc>
      </w:tr>
      <w:tr w:rsidR="0008009C" w14:paraId="5C7C50EB" w14:textId="77777777">
        <w:trPr>
          <w:trHeight w:val="60"/>
          <w:jc w:val="center"/>
        </w:trPr>
        <w:tc>
          <w:tcPr>
            <w:tcW w:w="0" w:type="auto"/>
            <w:gridSpan w:val="3"/>
            <w:shd w:val="clear" w:color="auto" w:fill="auto"/>
            <w:tcMar>
              <w:top w:w="0" w:type="dxa"/>
              <w:left w:w="20" w:type="dxa"/>
              <w:bottom w:w="0" w:type="dxa"/>
              <w:right w:w="20" w:type="dxa"/>
            </w:tcMar>
          </w:tcPr>
          <w:p w14:paraId="5C7C50E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0E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0E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0EA" w14:textId="77777777" w:rsidR="0008009C" w:rsidRDefault="0008009C">
            <w:pPr>
              <w:rPr>
                <w:rFonts w:ascii="宋体"/>
              </w:rPr>
            </w:pPr>
          </w:p>
        </w:tc>
      </w:tr>
      <w:tr w:rsidR="0008009C" w14:paraId="5C7C50EE" w14:textId="77777777">
        <w:trPr>
          <w:jc w:val="center"/>
        </w:trPr>
        <w:tc>
          <w:tcPr>
            <w:tcW w:w="0" w:type="auto"/>
            <w:gridSpan w:val="9"/>
            <w:tcBorders>
              <w:bottom w:val="single" w:sz="8" w:space="0" w:color="262626"/>
            </w:tcBorders>
            <w:shd w:val="clear" w:color="auto" w:fill="auto"/>
            <w:tcMar>
              <w:top w:w="40" w:type="dxa"/>
              <w:left w:w="20" w:type="dxa"/>
              <w:bottom w:w="40" w:type="dxa"/>
              <w:right w:w="20" w:type="dxa"/>
            </w:tcMar>
            <w:vAlign w:val="bottom"/>
          </w:tcPr>
          <w:p w14:paraId="5C7C50EC" w14:textId="77777777" w:rsidR="0008009C" w:rsidRDefault="00936FDF">
            <w:pPr>
              <w:textAlignment w:val="bottom"/>
            </w:pPr>
            <w:r>
              <w:rPr>
                <w:rFonts w:ascii="Arial" w:eastAsia="宋体" w:hAnsi="Arial" w:cs="Arial"/>
                <w:color w:val="0068B5"/>
                <w:sz w:val="20"/>
                <w:szCs w:val="20"/>
              </w:rPr>
              <w:t>Other Key Information</w:t>
            </w:r>
          </w:p>
        </w:tc>
        <w:tc>
          <w:tcPr>
            <w:tcW w:w="0" w:type="auto"/>
            <w:gridSpan w:val="3"/>
            <w:shd w:val="clear" w:color="auto" w:fill="auto"/>
            <w:tcMar>
              <w:top w:w="0" w:type="dxa"/>
              <w:left w:w="20" w:type="dxa"/>
              <w:bottom w:w="0" w:type="dxa"/>
              <w:right w:w="20" w:type="dxa"/>
            </w:tcMar>
          </w:tcPr>
          <w:p w14:paraId="5C7C50ED" w14:textId="77777777" w:rsidR="0008009C" w:rsidRDefault="0008009C">
            <w:pPr>
              <w:rPr>
                <w:rFonts w:ascii="宋体"/>
              </w:rPr>
            </w:pPr>
          </w:p>
        </w:tc>
      </w:tr>
      <w:tr w:rsidR="0008009C" w14:paraId="5C7C50F2" w14:textId="77777777">
        <w:trPr>
          <w:jc w:val="center"/>
        </w:trPr>
        <w:tc>
          <w:tcPr>
            <w:tcW w:w="0" w:type="auto"/>
            <w:gridSpan w:val="3"/>
            <w:tcBorders>
              <w:top w:val="single" w:sz="8" w:space="0" w:color="262626"/>
            </w:tcBorders>
            <w:shd w:val="clear" w:color="auto" w:fill="auto"/>
            <w:tcMar>
              <w:top w:w="0" w:type="dxa"/>
              <w:left w:w="20" w:type="dxa"/>
              <w:bottom w:w="0" w:type="dxa"/>
              <w:right w:w="20" w:type="dxa"/>
            </w:tcMar>
          </w:tcPr>
          <w:p w14:paraId="5C7C50EF" w14:textId="77777777" w:rsidR="0008009C" w:rsidRDefault="0008009C">
            <w:pPr>
              <w:rPr>
                <w:rFonts w:ascii="宋体"/>
              </w:rPr>
            </w:pPr>
          </w:p>
        </w:tc>
        <w:tc>
          <w:tcPr>
            <w:tcW w:w="0" w:type="auto"/>
            <w:gridSpan w:val="6"/>
            <w:tcBorders>
              <w:top w:val="single" w:sz="8" w:space="0" w:color="262626"/>
            </w:tcBorders>
            <w:shd w:val="clear" w:color="auto" w:fill="auto"/>
            <w:tcMar>
              <w:top w:w="40" w:type="dxa"/>
              <w:left w:w="20" w:type="dxa"/>
              <w:bottom w:w="40" w:type="dxa"/>
              <w:right w:w="20" w:type="dxa"/>
            </w:tcMar>
            <w:vAlign w:val="bottom"/>
          </w:tcPr>
          <w:p w14:paraId="5C7C50F0" w14:textId="77777777" w:rsidR="0008009C" w:rsidRDefault="00936FDF">
            <w:pPr>
              <w:textAlignment w:val="bottom"/>
            </w:pPr>
            <w:r>
              <w:rPr>
                <w:rFonts w:ascii="Arial" w:eastAsia="宋体" w:hAnsi="Arial" w:cs="Arial"/>
                <w:color w:val="262626"/>
                <w:sz w:val="18"/>
                <w:szCs w:val="18"/>
              </w:rPr>
              <w:t>Quantitative and Qualitative Disclosures about Market Risk</w:t>
            </w: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5C7C50F1" w14:textId="77777777" w:rsidR="0008009C" w:rsidRDefault="00936FDF">
            <w:pPr>
              <w:jc w:val="center"/>
              <w:textAlignment w:val="bottom"/>
            </w:pPr>
            <w:hyperlink r:id="rId20" w:anchor="i3a00378f6cc84b1c9cfc83239548ad53_214" w:history="1">
              <w:r>
                <w:rPr>
                  <w:rStyle w:val="a5"/>
                  <w:rFonts w:ascii="Arial" w:eastAsia="宋体" w:hAnsi="Arial" w:cs="Arial"/>
                  <w:color w:val="262626"/>
                  <w:sz w:val="18"/>
                  <w:szCs w:val="18"/>
                  <w:u w:val="none"/>
                </w:rPr>
                <w:t>36</w:t>
              </w:r>
            </w:hyperlink>
          </w:p>
        </w:tc>
      </w:tr>
      <w:tr w:rsidR="0008009C" w14:paraId="5C7C50F6" w14:textId="77777777">
        <w:trPr>
          <w:jc w:val="center"/>
        </w:trPr>
        <w:tc>
          <w:tcPr>
            <w:tcW w:w="0" w:type="auto"/>
            <w:gridSpan w:val="3"/>
            <w:shd w:val="clear" w:color="auto" w:fill="auto"/>
            <w:tcMar>
              <w:top w:w="0" w:type="dxa"/>
              <w:left w:w="20" w:type="dxa"/>
              <w:bottom w:w="0" w:type="dxa"/>
              <w:right w:w="20" w:type="dxa"/>
            </w:tcMar>
          </w:tcPr>
          <w:p w14:paraId="5C7C50F3" w14:textId="77777777" w:rsidR="0008009C" w:rsidRDefault="0008009C">
            <w:pPr>
              <w:rPr>
                <w:rFonts w:ascii="宋体"/>
              </w:rPr>
            </w:pPr>
          </w:p>
        </w:tc>
        <w:tc>
          <w:tcPr>
            <w:tcW w:w="0" w:type="auto"/>
            <w:gridSpan w:val="6"/>
            <w:shd w:val="clear" w:color="auto" w:fill="auto"/>
            <w:tcMar>
              <w:top w:w="40" w:type="dxa"/>
              <w:left w:w="20" w:type="dxa"/>
              <w:bottom w:w="40" w:type="dxa"/>
              <w:right w:w="20" w:type="dxa"/>
            </w:tcMar>
            <w:vAlign w:val="bottom"/>
          </w:tcPr>
          <w:p w14:paraId="5C7C50F4" w14:textId="77777777" w:rsidR="0008009C" w:rsidRDefault="00936FDF">
            <w:pPr>
              <w:textAlignment w:val="bottom"/>
            </w:pPr>
            <w:r>
              <w:rPr>
                <w:rFonts w:ascii="Arial" w:eastAsia="宋体" w:hAnsi="Arial" w:cs="Arial"/>
                <w:color w:val="262626"/>
                <w:sz w:val="18"/>
                <w:szCs w:val="18"/>
              </w:rPr>
              <w:t>Risk Factors</w:t>
            </w:r>
          </w:p>
        </w:tc>
        <w:tc>
          <w:tcPr>
            <w:tcW w:w="0" w:type="auto"/>
            <w:gridSpan w:val="3"/>
            <w:shd w:val="clear" w:color="auto" w:fill="auto"/>
            <w:tcMar>
              <w:top w:w="40" w:type="dxa"/>
              <w:left w:w="20" w:type="dxa"/>
              <w:bottom w:w="40" w:type="dxa"/>
              <w:right w:w="20" w:type="dxa"/>
            </w:tcMar>
            <w:vAlign w:val="bottom"/>
          </w:tcPr>
          <w:p w14:paraId="5C7C50F5" w14:textId="77777777" w:rsidR="0008009C" w:rsidRDefault="00936FDF">
            <w:pPr>
              <w:jc w:val="center"/>
              <w:textAlignment w:val="bottom"/>
            </w:pPr>
            <w:hyperlink r:id="rId21" w:anchor="i3a00378f6cc84b1c9cfc83239548ad53_232" w:history="1">
              <w:r>
                <w:rPr>
                  <w:rStyle w:val="a5"/>
                  <w:rFonts w:ascii="Arial" w:eastAsia="宋体" w:hAnsi="Arial" w:cs="Arial"/>
                  <w:color w:val="262626"/>
                  <w:sz w:val="18"/>
                  <w:szCs w:val="18"/>
                  <w:u w:val="none"/>
                </w:rPr>
                <w:t>36</w:t>
              </w:r>
            </w:hyperlink>
          </w:p>
        </w:tc>
      </w:tr>
      <w:tr w:rsidR="0008009C" w14:paraId="5C7C50FA" w14:textId="77777777">
        <w:trPr>
          <w:jc w:val="center"/>
        </w:trPr>
        <w:tc>
          <w:tcPr>
            <w:tcW w:w="0" w:type="auto"/>
            <w:gridSpan w:val="3"/>
            <w:shd w:val="clear" w:color="auto" w:fill="auto"/>
            <w:tcMar>
              <w:top w:w="0" w:type="dxa"/>
              <w:left w:w="20" w:type="dxa"/>
              <w:bottom w:w="0" w:type="dxa"/>
              <w:right w:w="20" w:type="dxa"/>
            </w:tcMar>
          </w:tcPr>
          <w:p w14:paraId="5C7C50F7" w14:textId="77777777" w:rsidR="0008009C" w:rsidRDefault="0008009C">
            <w:pPr>
              <w:rPr>
                <w:rFonts w:ascii="宋体"/>
              </w:rPr>
            </w:pPr>
          </w:p>
        </w:tc>
        <w:tc>
          <w:tcPr>
            <w:tcW w:w="0" w:type="auto"/>
            <w:gridSpan w:val="6"/>
            <w:shd w:val="clear" w:color="auto" w:fill="auto"/>
            <w:tcMar>
              <w:top w:w="40" w:type="dxa"/>
              <w:left w:w="20" w:type="dxa"/>
              <w:bottom w:w="40" w:type="dxa"/>
              <w:right w:w="20" w:type="dxa"/>
            </w:tcMar>
            <w:vAlign w:val="bottom"/>
          </w:tcPr>
          <w:p w14:paraId="5C7C50F8" w14:textId="77777777" w:rsidR="0008009C" w:rsidRDefault="00936FDF">
            <w:pPr>
              <w:textAlignment w:val="bottom"/>
            </w:pPr>
            <w:r>
              <w:rPr>
                <w:rFonts w:ascii="Arial" w:eastAsia="宋体" w:hAnsi="Arial" w:cs="Arial"/>
                <w:color w:val="262626"/>
                <w:sz w:val="18"/>
                <w:szCs w:val="18"/>
              </w:rPr>
              <w:t>Controls and Procedures</w:t>
            </w:r>
          </w:p>
        </w:tc>
        <w:tc>
          <w:tcPr>
            <w:tcW w:w="0" w:type="auto"/>
            <w:gridSpan w:val="3"/>
            <w:shd w:val="clear" w:color="auto" w:fill="auto"/>
            <w:tcMar>
              <w:top w:w="40" w:type="dxa"/>
              <w:left w:w="20" w:type="dxa"/>
              <w:bottom w:w="40" w:type="dxa"/>
              <w:right w:w="20" w:type="dxa"/>
            </w:tcMar>
            <w:vAlign w:val="bottom"/>
          </w:tcPr>
          <w:p w14:paraId="5C7C50F9" w14:textId="77777777" w:rsidR="0008009C" w:rsidRDefault="00936FDF">
            <w:pPr>
              <w:jc w:val="center"/>
              <w:textAlignment w:val="bottom"/>
            </w:pPr>
            <w:hyperlink r:id="rId22" w:anchor="i3a00378f6cc84b1c9cfc83239548ad53_238" w:history="1">
              <w:r>
                <w:rPr>
                  <w:rStyle w:val="a5"/>
                  <w:rFonts w:ascii="Arial" w:eastAsia="宋体" w:hAnsi="Arial" w:cs="Arial"/>
                  <w:color w:val="262626"/>
                  <w:sz w:val="18"/>
                  <w:szCs w:val="18"/>
                  <w:u w:val="none"/>
                </w:rPr>
                <w:t>36</w:t>
              </w:r>
            </w:hyperlink>
          </w:p>
        </w:tc>
      </w:tr>
      <w:tr w:rsidR="0008009C" w14:paraId="5C7C5101" w14:textId="77777777">
        <w:trPr>
          <w:jc w:val="center"/>
          <w:hidden/>
        </w:trPr>
        <w:tc>
          <w:tcPr>
            <w:tcW w:w="0" w:type="auto"/>
            <w:gridSpan w:val="3"/>
            <w:shd w:val="clear" w:color="auto" w:fill="auto"/>
          </w:tcPr>
          <w:p w14:paraId="5C7C50FB" w14:textId="77777777" w:rsidR="0008009C" w:rsidRDefault="0008009C">
            <w:pPr>
              <w:rPr>
                <w:rFonts w:ascii="宋体"/>
                <w:vanish/>
              </w:rPr>
            </w:pPr>
          </w:p>
        </w:tc>
        <w:tc>
          <w:tcPr>
            <w:tcW w:w="0" w:type="auto"/>
            <w:gridSpan w:val="3"/>
            <w:shd w:val="clear" w:color="auto" w:fill="auto"/>
          </w:tcPr>
          <w:p w14:paraId="5C7C50FC" w14:textId="77777777" w:rsidR="0008009C" w:rsidRDefault="0008009C">
            <w:pPr>
              <w:rPr>
                <w:rFonts w:ascii="宋体"/>
                <w:vanish/>
              </w:rPr>
            </w:pPr>
          </w:p>
        </w:tc>
        <w:tc>
          <w:tcPr>
            <w:tcW w:w="0" w:type="auto"/>
            <w:gridSpan w:val="3"/>
            <w:shd w:val="clear" w:color="auto" w:fill="auto"/>
          </w:tcPr>
          <w:p w14:paraId="5C7C50FD" w14:textId="77777777" w:rsidR="0008009C" w:rsidRDefault="0008009C">
            <w:pPr>
              <w:rPr>
                <w:rFonts w:ascii="宋体"/>
                <w:vanish/>
              </w:rPr>
            </w:pPr>
          </w:p>
        </w:tc>
        <w:tc>
          <w:tcPr>
            <w:tcW w:w="0" w:type="auto"/>
            <w:shd w:val="clear" w:color="auto" w:fill="auto"/>
          </w:tcPr>
          <w:p w14:paraId="5C7C50FE" w14:textId="77777777" w:rsidR="0008009C" w:rsidRDefault="0008009C">
            <w:pPr>
              <w:rPr>
                <w:rFonts w:ascii="宋体"/>
              </w:rPr>
            </w:pPr>
          </w:p>
        </w:tc>
        <w:tc>
          <w:tcPr>
            <w:tcW w:w="0" w:type="auto"/>
            <w:shd w:val="clear" w:color="auto" w:fill="auto"/>
          </w:tcPr>
          <w:p w14:paraId="5C7C50FF" w14:textId="77777777" w:rsidR="0008009C" w:rsidRDefault="0008009C">
            <w:pPr>
              <w:rPr>
                <w:rFonts w:ascii="宋体"/>
              </w:rPr>
            </w:pPr>
          </w:p>
        </w:tc>
        <w:tc>
          <w:tcPr>
            <w:tcW w:w="0" w:type="auto"/>
            <w:shd w:val="clear" w:color="auto" w:fill="auto"/>
          </w:tcPr>
          <w:p w14:paraId="5C7C5100" w14:textId="77777777" w:rsidR="0008009C" w:rsidRDefault="0008009C">
            <w:pPr>
              <w:rPr>
                <w:rFonts w:ascii="宋体"/>
              </w:rPr>
            </w:pPr>
          </w:p>
        </w:tc>
      </w:tr>
      <w:tr w:rsidR="0008009C" w14:paraId="5C7C5105" w14:textId="77777777">
        <w:trPr>
          <w:jc w:val="center"/>
        </w:trPr>
        <w:tc>
          <w:tcPr>
            <w:tcW w:w="0" w:type="auto"/>
            <w:gridSpan w:val="3"/>
            <w:shd w:val="clear" w:color="auto" w:fill="auto"/>
            <w:tcMar>
              <w:top w:w="0" w:type="dxa"/>
              <w:left w:w="20" w:type="dxa"/>
              <w:bottom w:w="0" w:type="dxa"/>
              <w:right w:w="20" w:type="dxa"/>
            </w:tcMar>
          </w:tcPr>
          <w:p w14:paraId="5C7C5102" w14:textId="77777777" w:rsidR="0008009C" w:rsidRDefault="0008009C">
            <w:pPr>
              <w:rPr>
                <w:rFonts w:ascii="宋体"/>
              </w:rPr>
            </w:pPr>
          </w:p>
        </w:tc>
        <w:tc>
          <w:tcPr>
            <w:tcW w:w="0" w:type="auto"/>
            <w:gridSpan w:val="6"/>
            <w:shd w:val="clear" w:color="auto" w:fill="auto"/>
            <w:tcMar>
              <w:top w:w="40" w:type="dxa"/>
              <w:left w:w="20" w:type="dxa"/>
              <w:bottom w:w="40" w:type="dxa"/>
              <w:right w:w="20" w:type="dxa"/>
            </w:tcMar>
            <w:vAlign w:val="bottom"/>
          </w:tcPr>
          <w:p w14:paraId="5C7C5103" w14:textId="77777777" w:rsidR="0008009C" w:rsidRDefault="00936FDF">
            <w:pPr>
              <w:textAlignment w:val="bottom"/>
            </w:pPr>
            <w:r>
              <w:rPr>
                <w:rFonts w:ascii="Arial" w:eastAsia="宋体" w:hAnsi="Arial" w:cs="Arial"/>
                <w:color w:val="262626"/>
                <w:sz w:val="18"/>
                <w:szCs w:val="18"/>
              </w:rPr>
              <w:t>Issuer Purchases of Equity Securities</w:t>
            </w:r>
          </w:p>
        </w:tc>
        <w:tc>
          <w:tcPr>
            <w:tcW w:w="0" w:type="auto"/>
            <w:gridSpan w:val="3"/>
            <w:shd w:val="clear" w:color="auto" w:fill="auto"/>
            <w:tcMar>
              <w:top w:w="40" w:type="dxa"/>
              <w:left w:w="20" w:type="dxa"/>
              <w:bottom w:w="40" w:type="dxa"/>
              <w:right w:w="20" w:type="dxa"/>
            </w:tcMar>
            <w:vAlign w:val="bottom"/>
          </w:tcPr>
          <w:p w14:paraId="5C7C5104" w14:textId="77777777" w:rsidR="0008009C" w:rsidRDefault="00936FDF">
            <w:pPr>
              <w:jc w:val="center"/>
              <w:textAlignment w:val="bottom"/>
            </w:pPr>
            <w:hyperlink r:id="rId23" w:anchor="i3a00378f6cc84b1c9cfc83239548ad53_241" w:history="1">
              <w:r>
                <w:rPr>
                  <w:rStyle w:val="a5"/>
                  <w:rFonts w:ascii="Arial" w:eastAsia="宋体" w:hAnsi="Arial" w:cs="Arial"/>
                  <w:color w:val="262626"/>
                  <w:sz w:val="18"/>
                  <w:szCs w:val="18"/>
                  <w:u w:val="none"/>
                </w:rPr>
                <w:t>37</w:t>
              </w:r>
            </w:hyperlink>
          </w:p>
        </w:tc>
      </w:tr>
      <w:tr w:rsidR="0008009C" w14:paraId="5C7C5109" w14:textId="77777777">
        <w:trPr>
          <w:jc w:val="center"/>
        </w:trPr>
        <w:tc>
          <w:tcPr>
            <w:tcW w:w="0" w:type="auto"/>
            <w:gridSpan w:val="3"/>
            <w:shd w:val="clear" w:color="auto" w:fill="auto"/>
            <w:tcMar>
              <w:top w:w="0" w:type="dxa"/>
              <w:left w:w="20" w:type="dxa"/>
              <w:bottom w:w="0" w:type="dxa"/>
              <w:right w:w="20" w:type="dxa"/>
            </w:tcMar>
          </w:tcPr>
          <w:p w14:paraId="5C7C5106" w14:textId="77777777" w:rsidR="0008009C" w:rsidRDefault="0008009C">
            <w:pPr>
              <w:rPr>
                <w:rFonts w:ascii="宋体"/>
              </w:rPr>
            </w:pPr>
          </w:p>
        </w:tc>
        <w:tc>
          <w:tcPr>
            <w:tcW w:w="0" w:type="auto"/>
            <w:gridSpan w:val="6"/>
            <w:shd w:val="clear" w:color="auto" w:fill="auto"/>
            <w:tcMar>
              <w:top w:w="40" w:type="dxa"/>
              <w:left w:w="20" w:type="dxa"/>
              <w:bottom w:w="40" w:type="dxa"/>
              <w:right w:w="20" w:type="dxa"/>
            </w:tcMar>
            <w:vAlign w:val="bottom"/>
          </w:tcPr>
          <w:p w14:paraId="5C7C5107" w14:textId="77777777" w:rsidR="0008009C" w:rsidRDefault="00936FDF">
            <w:pPr>
              <w:textAlignment w:val="bottom"/>
            </w:pPr>
            <w:r>
              <w:rPr>
                <w:rFonts w:ascii="Arial" w:eastAsia="宋体" w:hAnsi="Arial" w:cs="Arial"/>
                <w:color w:val="262626"/>
                <w:sz w:val="18"/>
                <w:szCs w:val="18"/>
              </w:rPr>
              <w:t>Exhibits</w:t>
            </w:r>
          </w:p>
        </w:tc>
        <w:tc>
          <w:tcPr>
            <w:tcW w:w="0" w:type="auto"/>
            <w:gridSpan w:val="3"/>
            <w:shd w:val="clear" w:color="auto" w:fill="auto"/>
            <w:tcMar>
              <w:top w:w="40" w:type="dxa"/>
              <w:left w:w="20" w:type="dxa"/>
              <w:bottom w:w="40" w:type="dxa"/>
              <w:right w:w="20" w:type="dxa"/>
            </w:tcMar>
            <w:vAlign w:val="bottom"/>
          </w:tcPr>
          <w:p w14:paraId="5C7C5108" w14:textId="77777777" w:rsidR="0008009C" w:rsidRDefault="00936FDF">
            <w:pPr>
              <w:jc w:val="center"/>
              <w:textAlignment w:val="bottom"/>
            </w:pPr>
            <w:hyperlink r:id="rId24" w:anchor="i3a00378f6cc84b1c9cfc83239548ad53_244" w:history="1">
              <w:r>
                <w:rPr>
                  <w:rStyle w:val="a5"/>
                  <w:rFonts w:ascii="Arial" w:eastAsia="宋体" w:hAnsi="Arial" w:cs="Arial"/>
                  <w:color w:val="262626"/>
                  <w:sz w:val="18"/>
                  <w:szCs w:val="18"/>
                  <w:u w:val="none"/>
                </w:rPr>
                <w:t>38</w:t>
              </w:r>
            </w:hyperlink>
          </w:p>
        </w:tc>
      </w:tr>
      <w:tr w:rsidR="0008009C" w14:paraId="5C7C510D" w14:textId="77777777">
        <w:trPr>
          <w:jc w:val="center"/>
        </w:trPr>
        <w:tc>
          <w:tcPr>
            <w:tcW w:w="0" w:type="auto"/>
            <w:gridSpan w:val="3"/>
            <w:shd w:val="clear" w:color="auto" w:fill="auto"/>
            <w:tcMar>
              <w:top w:w="0" w:type="dxa"/>
              <w:left w:w="20" w:type="dxa"/>
              <w:bottom w:w="0" w:type="dxa"/>
              <w:right w:w="20" w:type="dxa"/>
            </w:tcMar>
          </w:tcPr>
          <w:p w14:paraId="5C7C510A" w14:textId="77777777" w:rsidR="0008009C" w:rsidRDefault="0008009C">
            <w:pPr>
              <w:rPr>
                <w:rFonts w:ascii="宋体"/>
              </w:rPr>
            </w:pPr>
          </w:p>
        </w:tc>
        <w:tc>
          <w:tcPr>
            <w:tcW w:w="0" w:type="auto"/>
            <w:gridSpan w:val="6"/>
            <w:shd w:val="clear" w:color="auto" w:fill="auto"/>
            <w:tcMar>
              <w:top w:w="40" w:type="dxa"/>
              <w:left w:w="20" w:type="dxa"/>
              <w:bottom w:w="40" w:type="dxa"/>
              <w:right w:w="20" w:type="dxa"/>
            </w:tcMar>
            <w:vAlign w:val="bottom"/>
          </w:tcPr>
          <w:p w14:paraId="5C7C510B" w14:textId="77777777" w:rsidR="0008009C" w:rsidRDefault="00936FDF">
            <w:pPr>
              <w:textAlignment w:val="bottom"/>
            </w:pPr>
            <w:r>
              <w:rPr>
                <w:rFonts w:ascii="Arial" w:eastAsia="宋体" w:hAnsi="Arial" w:cs="Arial"/>
                <w:color w:val="262626"/>
                <w:sz w:val="18"/>
                <w:szCs w:val="18"/>
              </w:rPr>
              <w:t>Form 10-Q Cross-Reference Index</w:t>
            </w:r>
          </w:p>
        </w:tc>
        <w:tc>
          <w:tcPr>
            <w:tcW w:w="0" w:type="auto"/>
            <w:gridSpan w:val="3"/>
            <w:shd w:val="clear" w:color="auto" w:fill="auto"/>
            <w:tcMar>
              <w:top w:w="40" w:type="dxa"/>
              <w:left w:w="20" w:type="dxa"/>
              <w:bottom w:w="40" w:type="dxa"/>
              <w:right w:w="20" w:type="dxa"/>
            </w:tcMar>
            <w:vAlign w:val="bottom"/>
          </w:tcPr>
          <w:p w14:paraId="5C7C510C" w14:textId="77777777" w:rsidR="0008009C" w:rsidRDefault="00936FDF">
            <w:pPr>
              <w:jc w:val="center"/>
              <w:textAlignment w:val="bottom"/>
            </w:pPr>
            <w:hyperlink r:id="rId25" w:anchor="i3a00378f6cc84b1c9cfc83239548ad53_250" w:history="1">
              <w:r>
                <w:rPr>
                  <w:rStyle w:val="a5"/>
                  <w:rFonts w:ascii="Arial" w:eastAsia="宋体" w:hAnsi="Arial" w:cs="Arial"/>
                  <w:color w:val="262626"/>
                  <w:sz w:val="18"/>
                  <w:szCs w:val="18"/>
                  <w:u w:val="none"/>
                </w:rPr>
                <w:t>39</w:t>
              </w:r>
            </w:hyperlink>
          </w:p>
        </w:tc>
      </w:tr>
    </w:tbl>
    <w:p w14:paraId="5C7C510E" w14:textId="77777777" w:rsidR="0008009C" w:rsidRDefault="0008009C">
      <w:pPr>
        <w:spacing w:after="180"/>
        <w:jc w:val="center"/>
      </w:pPr>
    </w:p>
    <w:p w14:paraId="5C7C510F" w14:textId="77777777" w:rsidR="0008009C" w:rsidRDefault="0008009C">
      <w:pPr>
        <w:spacing w:after="180"/>
        <w:jc w:val="center"/>
      </w:pPr>
    </w:p>
    <w:p w14:paraId="5C7C5110" w14:textId="77777777" w:rsidR="0008009C" w:rsidRDefault="0008009C">
      <w:pPr>
        <w:spacing w:after="180"/>
        <w:jc w:val="center"/>
      </w:pPr>
    </w:p>
    <w:p w14:paraId="5C7C5111" w14:textId="77777777" w:rsidR="0008009C" w:rsidRDefault="0008009C">
      <w:pPr>
        <w:spacing w:after="180"/>
        <w:jc w:val="center"/>
      </w:pPr>
    </w:p>
    <w:p w14:paraId="5C7C5112" w14:textId="77777777" w:rsidR="0008009C" w:rsidRDefault="0008009C">
      <w:pPr>
        <w:spacing w:after="180"/>
        <w:jc w:val="center"/>
      </w:pPr>
    </w:p>
    <w:p w14:paraId="5C7C5113" w14:textId="77777777" w:rsidR="0008009C" w:rsidRDefault="0008009C">
      <w:pPr>
        <w:spacing w:after="180"/>
        <w:jc w:val="center"/>
      </w:pPr>
    </w:p>
    <w:p w14:paraId="5C7C5114" w14:textId="77777777" w:rsidR="0008009C" w:rsidRDefault="0008009C">
      <w:pPr>
        <w:spacing w:after="180"/>
      </w:pPr>
    </w:p>
    <w:p w14:paraId="5C7C5115" w14:textId="77777777" w:rsidR="0008009C" w:rsidRDefault="0008009C">
      <w:pPr>
        <w:spacing w:after="180"/>
        <w:ind w:hanging="180"/>
      </w:pPr>
    </w:p>
    <w:p w14:paraId="5C7C5116" w14:textId="77777777" w:rsidR="0008009C" w:rsidRDefault="0008009C">
      <w:pPr>
        <w:spacing w:after="180"/>
      </w:pPr>
    </w:p>
    <w:p w14:paraId="5C7C5117" w14:textId="77777777" w:rsidR="0008009C" w:rsidRDefault="00936FDF">
      <w:r>
        <w:pict w14:anchorId="5C7C7CE4">
          <v:rect id="_x0000_i1026" style="width:415.3pt;height:1.5pt" o:hralign="center" o:hrstd="t" o:hr="t" fillcolor="#a0a0a0" stroked="f"/>
        </w:pict>
      </w:r>
    </w:p>
    <w:p w14:paraId="5C7C5118" w14:textId="77777777" w:rsidR="0008009C" w:rsidRDefault="00936FDF">
      <w:pPr>
        <w:spacing w:after="180"/>
        <w:jc w:val="right"/>
      </w:pPr>
      <w:hyperlink r:id="rId26" w:anchor="i3a00378f6cc84b1c9cfc83239548ad53_7" w:history="1">
        <w:r>
          <w:rPr>
            <w:rStyle w:val="a5"/>
            <w:rFonts w:ascii="Arial" w:eastAsia="宋体" w:hAnsi="Arial" w:cs="Arial"/>
            <w:b/>
            <w:bCs/>
            <w:sz w:val="16"/>
            <w:szCs w:val="16"/>
          </w:rPr>
          <w:t>Table of Contents</w:t>
        </w:r>
      </w:hyperlink>
    </w:p>
    <w:p w14:paraId="5C7C5119" w14:textId="77777777" w:rsidR="0008009C" w:rsidRDefault="0008009C">
      <w:pPr>
        <w:spacing w:after="180"/>
        <w:jc w:val="right"/>
      </w:pPr>
    </w:p>
    <w:p w14:paraId="5C7C511A" w14:textId="77777777" w:rsidR="0008009C" w:rsidRDefault="00936FDF">
      <w:pPr>
        <w:spacing w:after="180"/>
      </w:pPr>
      <w:r>
        <w:rPr>
          <w:rFonts w:ascii="Arial" w:eastAsia="宋体" w:hAnsi="Arial" w:cs="Arial"/>
          <w:color w:val="0068B5"/>
          <w:sz w:val="28"/>
          <w:szCs w:val="28"/>
        </w:rPr>
        <w:t>Forward-Looking Statements</w:t>
      </w:r>
    </w:p>
    <w:p w14:paraId="5C7C511B" w14:textId="77777777" w:rsidR="0008009C" w:rsidRDefault="00936FDF">
      <w:pPr>
        <w:spacing w:after="180"/>
      </w:pPr>
      <w:r>
        <w:rPr>
          <w:rFonts w:ascii="Arial" w:eastAsia="宋体" w:hAnsi="Arial" w:cs="Arial"/>
          <w:color w:val="262626"/>
          <w:sz w:val="18"/>
          <w:szCs w:val="18"/>
        </w:rPr>
        <w:t xml:space="preserve">This Form 10-Q contains forward-looking </w:t>
      </w:r>
      <w:r>
        <w:rPr>
          <w:rFonts w:ascii="Arial" w:eastAsia="宋体" w:hAnsi="Arial" w:cs="Arial"/>
          <w:color w:val="262626"/>
          <w:sz w:val="18"/>
          <w:szCs w:val="18"/>
        </w:rPr>
        <w:t>statements that involve a number of risks and uncertainties. Words such as "anticipate," "expect," "intend," "plan," "opportunity," "future," "pending," "to be," "believes," "estimated," "continue," "likely," "may," "might," "potentially," "will," "would,"</w:t>
      </w:r>
      <w:r>
        <w:rPr>
          <w:rFonts w:ascii="Arial" w:eastAsia="宋体" w:hAnsi="Arial" w:cs="Arial"/>
          <w:color w:val="262626"/>
          <w:sz w:val="18"/>
          <w:szCs w:val="18"/>
        </w:rPr>
        <w:t xml:space="preserve"> "should," "could," “accelerate,” "progress," “goal,” and variations of such words and similar expressions are intended to identify such forward-looking statements. In addition, any statements that refer to Intel’s strategy; internal and external manufactu</w:t>
      </w:r>
      <w:r>
        <w:rPr>
          <w:rFonts w:ascii="Arial" w:eastAsia="宋体" w:hAnsi="Arial" w:cs="Arial"/>
          <w:color w:val="262626"/>
          <w:sz w:val="18"/>
          <w:szCs w:val="18"/>
        </w:rPr>
        <w:t>ring plans, including future internal manufacturing volumes and external foundry usage; manufacturing expansion and investment plans, including Intel’s anticipated Arizona expansion; plans and goals related to Intel’s foundry business, including with respe</w:t>
      </w:r>
      <w:r>
        <w:rPr>
          <w:rFonts w:ascii="Arial" w:eastAsia="宋体" w:hAnsi="Arial" w:cs="Arial"/>
          <w:color w:val="262626"/>
          <w:sz w:val="18"/>
          <w:szCs w:val="18"/>
        </w:rPr>
        <w:t>ct to future manufacturing capacity; foundry service offerings, including technology and IP offerings; future responses to and effects of COVID-19; projections of our future financial performance and demand; our anticipated growth and trends in our busines</w:t>
      </w:r>
      <w:r>
        <w:rPr>
          <w:rFonts w:ascii="Arial" w:eastAsia="宋体" w:hAnsi="Arial" w:cs="Arial"/>
          <w:color w:val="262626"/>
          <w:sz w:val="18"/>
          <w:szCs w:val="18"/>
        </w:rPr>
        <w:t>ses or operations; projected growth and trends in markets relevant to our businesses; business plans; future products and technology and the expected availability and benefits of such products and technology; expected timing and impact of acquisitions, div</w:t>
      </w:r>
      <w:r>
        <w:rPr>
          <w:rFonts w:ascii="Arial" w:eastAsia="宋体" w:hAnsi="Arial" w:cs="Arial"/>
          <w:color w:val="262626"/>
          <w:sz w:val="18"/>
          <w:szCs w:val="18"/>
        </w:rPr>
        <w:t>estitures, and other significant transactions, including statements relating to the pending divestiture of our NAND memory business to SK hynix Inc. (SK hynix), NAND manufacturing and supply arrangements between Intel and SK hynix, and expected additions t</w:t>
      </w:r>
      <w:r>
        <w:rPr>
          <w:rFonts w:ascii="Arial" w:eastAsia="宋体" w:hAnsi="Arial" w:cs="Arial"/>
          <w:color w:val="262626"/>
          <w:sz w:val="18"/>
          <w:szCs w:val="18"/>
        </w:rPr>
        <w:t>o held for sale NAND property, plant and equipment; expected completion of restructuring activities; availability, uses, sufficiency, and cost of capital and capital resources, including expected returns to stockholders such as dividends and share repurcha</w:t>
      </w:r>
      <w:r>
        <w:rPr>
          <w:rFonts w:ascii="Arial" w:eastAsia="宋体" w:hAnsi="Arial" w:cs="Arial"/>
          <w:color w:val="262626"/>
          <w:sz w:val="18"/>
          <w:szCs w:val="18"/>
        </w:rPr>
        <w:t>ses; accounting estimates and judgments regarding reported matters, events and contingencies and our intentions with respect to such matters, events and contingencies, and the actual results thereof; future production capacity and product supply; the futur</w:t>
      </w:r>
      <w:r>
        <w:rPr>
          <w:rFonts w:ascii="Arial" w:eastAsia="宋体" w:hAnsi="Arial" w:cs="Arial"/>
          <w:color w:val="262626"/>
          <w:sz w:val="18"/>
          <w:szCs w:val="18"/>
        </w:rPr>
        <w:t>e impact of industry component and substrate constraints; the future purchase, use, and availability of products, components and services supplied by third parties, including third-party manufacturing services; tax-related expectations; the future impact o</w:t>
      </w:r>
      <w:r>
        <w:rPr>
          <w:rFonts w:ascii="Arial" w:eastAsia="宋体" w:hAnsi="Arial" w:cs="Arial"/>
          <w:color w:val="262626"/>
          <w:sz w:val="18"/>
          <w:szCs w:val="18"/>
        </w:rPr>
        <w:t>f export licensing and trade policies; uncertain events or assumptions; and other characterizations of future events or circumstances are forward-looking statements. Such statements are based on management's expectations as of the date of this filing, unle</w:t>
      </w:r>
      <w:r>
        <w:rPr>
          <w:rFonts w:ascii="Arial" w:eastAsia="宋体" w:hAnsi="Arial" w:cs="Arial"/>
          <w:color w:val="262626"/>
          <w:sz w:val="18"/>
          <w:szCs w:val="18"/>
        </w:rPr>
        <w:t>ss an earlier date is specified, and involve many risks and uncertainties that could cause our actual results to differ materially from those expressed or implied in our forward-looking statements. Such risks and uncertainties include those described throu</w:t>
      </w:r>
      <w:r>
        <w:rPr>
          <w:rFonts w:ascii="Arial" w:eastAsia="宋体" w:hAnsi="Arial" w:cs="Arial"/>
          <w:color w:val="262626"/>
          <w:sz w:val="18"/>
          <w:szCs w:val="18"/>
        </w:rPr>
        <w:t>ghout this report and our 2020 Form 10-K, particularly the "Risk Factors" sections of such reports, as well as the risks and uncertainties described in our press releases issued on March 23, 2021, which are attached as exhibits to our Form 8-K furnished to</w:t>
      </w:r>
      <w:r>
        <w:rPr>
          <w:rFonts w:ascii="Arial" w:eastAsia="宋体" w:hAnsi="Arial" w:cs="Arial"/>
          <w:color w:val="262626"/>
          <w:sz w:val="18"/>
          <w:szCs w:val="18"/>
        </w:rPr>
        <w:t xml:space="preserve"> the SEC on that date. Given these risks and uncertainties, readers are cautioned not to place undue reliance on such forward-looking statements. Readers are urged to carefully review and consider the various disclosures made in this Form 10-Q and in other</w:t>
      </w:r>
      <w:r>
        <w:rPr>
          <w:rFonts w:ascii="Arial" w:eastAsia="宋体" w:hAnsi="Arial" w:cs="Arial"/>
          <w:color w:val="262626"/>
          <w:sz w:val="18"/>
          <w:szCs w:val="18"/>
        </w:rPr>
        <w:t xml:space="preserve"> documents we file from time to time with the SEC that disclose risks and uncertainties that may affect our business. Unless specifically indicated otherwise, the forward-looking statements in this Form 10-Q do not reflect the potential impact of any dives</w:t>
      </w:r>
      <w:r>
        <w:rPr>
          <w:rFonts w:ascii="Arial" w:eastAsia="宋体" w:hAnsi="Arial" w:cs="Arial"/>
          <w:color w:val="262626"/>
          <w:sz w:val="18"/>
          <w:szCs w:val="18"/>
        </w:rPr>
        <w:t>titures, mergers, acquisitions, or other business combinations that have not been completed as of the date of this filing. In addition, the forward-looking statements in this Form 10-Q are made as of the date of this filing, unless an earlier date is speci</w:t>
      </w:r>
      <w:r>
        <w:rPr>
          <w:rFonts w:ascii="Arial" w:eastAsia="宋体" w:hAnsi="Arial" w:cs="Arial"/>
          <w:color w:val="262626"/>
          <w:sz w:val="18"/>
          <w:szCs w:val="18"/>
        </w:rPr>
        <w:t>fied, including expectations based on third-party information and projections that management believes to be reputable, and Intel does not undertake, and expressly disclaims any duty, to update such statements, whether as a result of new information, new d</w:t>
      </w:r>
      <w:r>
        <w:rPr>
          <w:rFonts w:ascii="Arial" w:eastAsia="宋体" w:hAnsi="Arial" w:cs="Arial"/>
          <w:color w:val="262626"/>
          <w:sz w:val="18"/>
          <w:szCs w:val="18"/>
        </w:rPr>
        <w:t>evelopments, or otherwise, except to the extent that disclosure may be required by law.</w:t>
      </w:r>
    </w:p>
    <w:p w14:paraId="5C7C511C" w14:textId="77777777" w:rsidR="0008009C" w:rsidRDefault="0008009C">
      <w:pPr>
        <w:spacing w:after="180"/>
      </w:pPr>
    </w:p>
    <w:p w14:paraId="5C7C511D" w14:textId="77777777" w:rsidR="0008009C" w:rsidRDefault="0008009C">
      <w:pPr>
        <w:spacing w:after="180"/>
      </w:pPr>
    </w:p>
    <w:p w14:paraId="5C7C511E" w14:textId="77777777" w:rsidR="0008009C" w:rsidRDefault="0008009C">
      <w:pPr>
        <w:spacing w:after="180"/>
      </w:pPr>
    </w:p>
    <w:p w14:paraId="5C7C511F" w14:textId="77777777" w:rsidR="0008009C" w:rsidRDefault="0008009C">
      <w:pPr>
        <w:spacing w:before="120" w:after="180"/>
        <w:jc w:val="center"/>
      </w:pPr>
    </w:p>
    <w:p w14:paraId="5C7C5120" w14:textId="77777777" w:rsidR="0008009C" w:rsidRDefault="0008009C">
      <w:pPr>
        <w:spacing w:after="180"/>
      </w:pPr>
    </w:p>
    <w:p w14:paraId="5C7C5121" w14:textId="77777777" w:rsidR="0008009C" w:rsidRDefault="0008009C">
      <w:pPr>
        <w:spacing w:after="180"/>
      </w:pPr>
    </w:p>
    <w:p w14:paraId="5C7C5122" w14:textId="77777777" w:rsidR="0008009C" w:rsidRDefault="0008009C">
      <w:pPr>
        <w:spacing w:after="180"/>
      </w:pPr>
    </w:p>
    <w:p w14:paraId="5C7C5123" w14:textId="77777777" w:rsidR="0008009C" w:rsidRDefault="0008009C">
      <w:pPr>
        <w:spacing w:after="180"/>
      </w:pPr>
    </w:p>
    <w:p w14:paraId="5C7C5124" w14:textId="77777777" w:rsidR="0008009C" w:rsidRDefault="0008009C">
      <w:pPr>
        <w:spacing w:after="180"/>
      </w:pPr>
    </w:p>
    <w:p w14:paraId="5C7C5125" w14:textId="77777777" w:rsidR="0008009C" w:rsidRDefault="0008009C">
      <w:pPr>
        <w:spacing w:after="180"/>
      </w:pPr>
    </w:p>
    <w:p w14:paraId="5C7C5126" w14:textId="77777777" w:rsidR="0008009C" w:rsidRDefault="0008009C">
      <w:pPr>
        <w:spacing w:after="180"/>
      </w:pPr>
    </w:p>
    <w:p w14:paraId="5C7C5127" w14:textId="77777777" w:rsidR="0008009C" w:rsidRDefault="0008009C">
      <w:pPr>
        <w:spacing w:after="180"/>
      </w:pPr>
    </w:p>
    <w:p w14:paraId="5C7C5128" w14:textId="77777777" w:rsidR="0008009C" w:rsidRDefault="0008009C">
      <w:pPr>
        <w:spacing w:after="180"/>
      </w:pPr>
    </w:p>
    <w:p w14:paraId="5C7C5129" w14:textId="77777777" w:rsidR="0008009C" w:rsidRDefault="0008009C">
      <w:pPr>
        <w:spacing w:after="180"/>
      </w:pPr>
    </w:p>
    <w:p w14:paraId="5C7C512A" w14:textId="77777777" w:rsidR="0008009C" w:rsidRDefault="0008009C">
      <w:pPr>
        <w:spacing w:after="180"/>
      </w:pPr>
    </w:p>
    <w:p w14:paraId="5C7C512B" w14:textId="77777777" w:rsidR="0008009C" w:rsidRDefault="00936FDF">
      <w:pPr>
        <w:spacing w:after="180"/>
      </w:pPr>
      <w:r>
        <w:rPr>
          <w:rFonts w:ascii="Arial" w:eastAsia="宋体" w:hAnsi="Arial" w:cs="Arial"/>
          <w:i/>
          <w:iCs/>
          <w:color w:val="262626"/>
          <w:sz w:val="16"/>
          <w:szCs w:val="16"/>
        </w:rPr>
        <w:t>Intel, the Intel logo, Intel Core, Intel Optane and Intel vPro, are trademarks of Intel Corporation or its subsidiaries in the U.S. and/or other countrie</w:t>
      </w:r>
      <w:r>
        <w:rPr>
          <w:rFonts w:ascii="Arial" w:eastAsia="宋体" w:hAnsi="Arial" w:cs="Arial"/>
          <w:i/>
          <w:iCs/>
          <w:color w:val="262626"/>
          <w:sz w:val="16"/>
          <w:szCs w:val="16"/>
        </w:rPr>
        <w:t xml:space="preserve">s. </w:t>
      </w:r>
    </w:p>
    <w:p w14:paraId="5C7C512C" w14:textId="77777777" w:rsidR="0008009C" w:rsidRDefault="00936FDF">
      <w:pPr>
        <w:spacing w:after="180"/>
      </w:pPr>
      <w:r>
        <w:rPr>
          <w:rFonts w:ascii="Arial" w:eastAsia="宋体" w:hAnsi="Arial" w:cs="Arial"/>
          <w:i/>
          <w:iCs/>
          <w:color w:val="262626"/>
          <w:sz w:val="16"/>
          <w:szCs w:val="16"/>
        </w:rPr>
        <w:t>* Other names and brands may be claimed as the property of others.</w:t>
      </w:r>
    </w:p>
    <w:tbl>
      <w:tblPr>
        <w:tblW w:w="5000" w:type="pct"/>
        <w:tblCellMar>
          <w:top w:w="15" w:type="dxa"/>
          <w:left w:w="15" w:type="dxa"/>
          <w:bottom w:w="15" w:type="dxa"/>
          <w:right w:w="15" w:type="dxa"/>
        </w:tblCellMar>
        <w:tblLook w:val="04A0" w:firstRow="1" w:lastRow="0" w:firstColumn="1" w:lastColumn="0" w:noHBand="0" w:noVBand="1"/>
      </w:tblPr>
      <w:tblGrid>
        <w:gridCol w:w="69"/>
        <w:gridCol w:w="2478"/>
        <w:gridCol w:w="36"/>
        <w:gridCol w:w="70"/>
        <w:gridCol w:w="2491"/>
        <w:gridCol w:w="36"/>
        <w:gridCol w:w="70"/>
        <w:gridCol w:w="3050"/>
        <w:gridCol w:w="36"/>
      </w:tblGrid>
      <w:tr w:rsidR="0008009C" w14:paraId="5C7C5136" w14:textId="77777777">
        <w:tc>
          <w:tcPr>
            <w:tcW w:w="50" w:type="pct"/>
            <w:shd w:val="clear" w:color="auto" w:fill="auto"/>
            <w:vAlign w:val="bottom"/>
          </w:tcPr>
          <w:p w14:paraId="5C7C512D" w14:textId="77777777" w:rsidR="0008009C" w:rsidRDefault="0008009C">
            <w:pPr>
              <w:rPr>
                <w:rFonts w:ascii="宋体"/>
              </w:rPr>
            </w:pPr>
          </w:p>
        </w:tc>
        <w:tc>
          <w:tcPr>
            <w:tcW w:w="1495" w:type="pct"/>
            <w:shd w:val="clear" w:color="auto" w:fill="auto"/>
            <w:vAlign w:val="bottom"/>
          </w:tcPr>
          <w:p w14:paraId="5C7C512E" w14:textId="77777777" w:rsidR="0008009C" w:rsidRDefault="0008009C">
            <w:pPr>
              <w:rPr>
                <w:rFonts w:ascii="宋体"/>
              </w:rPr>
            </w:pPr>
          </w:p>
        </w:tc>
        <w:tc>
          <w:tcPr>
            <w:tcW w:w="5" w:type="pct"/>
            <w:shd w:val="clear" w:color="auto" w:fill="auto"/>
            <w:vAlign w:val="bottom"/>
          </w:tcPr>
          <w:p w14:paraId="5C7C512F" w14:textId="77777777" w:rsidR="0008009C" w:rsidRDefault="0008009C">
            <w:pPr>
              <w:rPr>
                <w:rFonts w:ascii="宋体"/>
              </w:rPr>
            </w:pPr>
          </w:p>
        </w:tc>
        <w:tc>
          <w:tcPr>
            <w:tcW w:w="50" w:type="pct"/>
            <w:shd w:val="clear" w:color="auto" w:fill="auto"/>
            <w:vAlign w:val="bottom"/>
          </w:tcPr>
          <w:p w14:paraId="5C7C5130" w14:textId="77777777" w:rsidR="0008009C" w:rsidRDefault="0008009C">
            <w:pPr>
              <w:rPr>
                <w:rFonts w:ascii="宋体"/>
              </w:rPr>
            </w:pPr>
          </w:p>
        </w:tc>
        <w:tc>
          <w:tcPr>
            <w:tcW w:w="1502" w:type="pct"/>
            <w:shd w:val="clear" w:color="auto" w:fill="auto"/>
            <w:vAlign w:val="bottom"/>
          </w:tcPr>
          <w:p w14:paraId="5C7C5131" w14:textId="77777777" w:rsidR="0008009C" w:rsidRDefault="0008009C">
            <w:pPr>
              <w:rPr>
                <w:rFonts w:ascii="宋体"/>
              </w:rPr>
            </w:pPr>
          </w:p>
        </w:tc>
        <w:tc>
          <w:tcPr>
            <w:tcW w:w="5" w:type="pct"/>
            <w:shd w:val="clear" w:color="auto" w:fill="auto"/>
            <w:vAlign w:val="bottom"/>
          </w:tcPr>
          <w:p w14:paraId="5C7C5132" w14:textId="77777777" w:rsidR="0008009C" w:rsidRDefault="0008009C">
            <w:pPr>
              <w:rPr>
                <w:rFonts w:ascii="宋体"/>
              </w:rPr>
            </w:pPr>
          </w:p>
        </w:tc>
        <w:tc>
          <w:tcPr>
            <w:tcW w:w="50" w:type="pct"/>
            <w:shd w:val="clear" w:color="auto" w:fill="auto"/>
            <w:vAlign w:val="bottom"/>
          </w:tcPr>
          <w:p w14:paraId="5C7C5133" w14:textId="77777777" w:rsidR="0008009C" w:rsidRDefault="0008009C">
            <w:pPr>
              <w:rPr>
                <w:rFonts w:ascii="宋体"/>
              </w:rPr>
            </w:pPr>
          </w:p>
        </w:tc>
        <w:tc>
          <w:tcPr>
            <w:tcW w:w="1837" w:type="pct"/>
            <w:shd w:val="clear" w:color="auto" w:fill="auto"/>
            <w:vAlign w:val="bottom"/>
          </w:tcPr>
          <w:p w14:paraId="5C7C5134" w14:textId="77777777" w:rsidR="0008009C" w:rsidRDefault="0008009C">
            <w:pPr>
              <w:rPr>
                <w:rFonts w:ascii="宋体"/>
              </w:rPr>
            </w:pPr>
          </w:p>
        </w:tc>
        <w:tc>
          <w:tcPr>
            <w:tcW w:w="5" w:type="pct"/>
            <w:shd w:val="clear" w:color="auto" w:fill="auto"/>
            <w:vAlign w:val="bottom"/>
          </w:tcPr>
          <w:p w14:paraId="5C7C5135" w14:textId="77777777" w:rsidR="0008009C" w:rsidRDefault="0008009C">
            <w:pPr>
              <w:rPr>
                <w:rFonts w:ascii="宋体"/>
              </w:rPr>
            </w:pPr>
          </w:p>
        </w:tc>
      </w:tr>
      <w:tr w:rsidR="0008009C" w14:paraId="5C7C513A"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5137"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CE5" wp14:editId="5C7C7CE6">
                  <wp:extent cx="304800" cy="304800"/>
                  <wp:effectExtent l="0" t="0" r="0" b="0"/>
                  <wp:docPr id="13" name="图片 37"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7"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5138"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139" w14:textId="77777777" w:rsidR="0008009C" w:rsidRDefault="00936FDF">
            <w:pPr>
              <w:jc w:val="right"/>
              <w:textAlignment w:val="bottom"/>
            </w:pPr>
            <w:r>
              <w:rPr>
                <w:rFonts w:ascii="Arial" w:eastAsia="宋体" w:hAnsi="Arial" w:cs="Arial"/>
                <w:color w:val="262626"/>
                <w:sz w:val="16"/>
                <w:szCs w:val="16"/>
              </w:rPr>
              <w:t>1</w:t>
            </w:r>
          </w:p>
        </w:tc>
      </w:tr>
    </w:tbl>
    <w:p w14:paraId="5C7C513B" w14:textId="77777777" w:rsidR="0008009C" w:rsidRDefault="00936FDF">
      <w:r>
        <w:pict w14:anchorId="5C7C7CE7">
          <v:rect id="_x0000_i1027" style="width:415.3pt;height:1.5pt" o:hralign="center" o:hrstd="t" o:hr="t" fillcolor="#a0a0a0" stroked="f"/>
        </w:pict>
      </w:r>
    </w:p>
    <w:p w14:paraId="5C7C513C" w14:textId="77777777" w:rsidR="0008009C" w:rsidRDefault="00936FDF">
      <w:pPr>
        <w:spacing w:after="180"/>
        <w:jc w:val="right"/>
      </w:pPr>
      <w:hyperlink r:id="rId27" w:anchor="i3a00378f6cc84b1c9cfc83239548ad53_7" w:history="1">
        <w:r>
          <w:rPr>
            <w:rStyle w:val="a5"/>
            <w:rFonts w:ascii="Arial" w:eastAsia="宋体" w:hAnsi="Arial" w:cs="Arial"/>
            <w:b/>
            <w:bCs/>
            <w:sz w:val="16"/>
            <w:szCs w:val="16"/>
          </w:rPr>
          <w:t>Table of Contents</w:t>
        </w:r>
      </w:hyperlink>
    </w:p>
    <w:p w14:paraId="5C7C513D" w14:textId="77777777" w:rsidR="0008009C" w:rsidRDefault="0008009C">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8009C" w14:paraId="5C7C5144" w14:textId="77777777">
        <w:tc>
          <w:tcPr>
            <w:tcW w:w="50" w:type="pct"/>
            <w:shd w:val="clear" w:color="auto" w:fill="auto"/>
          </w:tcPr>
          <w:p w14:paraId="5C7C513E" w14:textId="77777777" w:rsidR="0008009C" w:rsidRDefault="0008009C">
            <w:pPr>
              <w:rPr>
                <w:rFonts w:ascii="宋体"/>
              </w:rPr>
            </w:pPr>
          </w:p>
        </w:tc>
        <w:tc>
          <w:tcPr>
            <w:tcW w:w="4870" w:type="pct"/>
            <w:shd w:val="clear" w:color="auto" w:fill="auto"/>
          </w:tcPr>
          <w:p w14:paraId="5C7C513F" w14:textId="77777777" w:rsidR="0008009C" w:rsidRDefault="0008009C">
            <w:pPr>
              <w:rPr>
                <w:rFonts w:ascii="宋体"/>
              </w:rPr>
            </w:pPr>
          </w:p>
        </w:tc>
        <w:tc>
          <w:tcPr>
            <w:tcW w:w="5" w:type="pct"/>
            <w:shd w:val="clear" w:color="auto" w:fill="auto"/>
          </w:tcPr>
          <w:p w14:paraId="5C7C5140" w14:textId="77777777" w:rsidR="0008009C" w:rsidRDefault="0008009C">
            <w:pPr>
              <w:rPr>
                <w:rFonts w:ascii="宋体"/>
              </w:rPr>
            </w:pPr>
          </w:p>
        </w:tc>
        <w:tc>
          <w:tcPr>
            <w:tcW w:w="5" w:type="pct"/>
            <w:shd w:val="clear" w:color="auto" w:fill="auto"/>
          </w:tcPr>
          <w:p w14:paraId="5C7C5141" w14:textId="77777777" w:rsidR="0008009C" w:rsidRDefault="0008009C">
            <w:pPr>
              <w:rPr>
                <w:rFonts w:ascii="宋体"/>
              </w:rPr>
            </w:pPr>
          </w:p>
        </w:tc>
        <w:tc>
          <w:tcPr>
            <w:tcW w:w="64" w:type="pct"/>
            <w:shd w:val="clear" w:color="auto" w:fill="auto"/>
          </w:tcPr>
          <w:p w14:paraId="5C7C5142" w14:textId="77777777" w:rsidR="0008009C" w:rsidRDefault="0008009C">
            <w:pPr>
              <w:rPr>
                <w:rFonts w:ascii="宋体"/>
              </w:rPr>
            </w:pPr>
          </w:p>
        </w:tc>
        <w:tc>
          <w:tcPr>
            <w:tcW w:w="5" w:type="pct"/>
            <w:shd w:val="clear" w:color="auto" w:fill="auto"/>
          </w:tcPr>
          <w:p w14:paraId="5C7C5143" w14:textId="77777777" w:rsidR="0008009C" w:rsidRDefault="0008009C">
            <w:pPr>
              <w:rPr>
                <w:rFonts w:ascii="宋体"/>
              </w:rPr>
            </w:pPr>
          </w:p>
        </w:tc>
      </w:tr>
      <w:tr w:rsidR="0008009C" w14:paraId="5C7C5147" w14:textId="77777777">
        <w:tc>
          <w:tcPr>
            <w:tcW w:w="0" w:type="auto"/>
            <w:gridSpan w:val="3"/>
            <w:shd w:val="clear" w:color="auto" w:fill="004A86"/>
            <w:tcMar>
              <w:top w:w="40" w:type="dxa"/>
              <w:left w:w="20" w:type="dxa"/>
              <w:bottom w:w="40" w:type="dxa"/>
              <w:right w:w="20" w:type="dxa"/>
            </w:tcMar>
            <w:vAlign w:val="center"/>
          </w:tcPr>
          <w:p w14:paraId="5C7C5145" w14:textId="77777777" w:rsidR="0008009C" w:rsidRDefault="00936FDF">
            <w:pPr>
              <w:textAlignment w:val="center"/>
            </w:pPr>
            <w:r>
              <w:rPr>
                <w:rFonts w:ascii="Arial" w:eastAsia="宋体" w:hAnsi="Arial" w:cs="Arial"/>
                <w:color w:val="FFFFFF"/>
                <w:sz w:val="36"/>
                <w:szCs w:val="36"/>
              </w:rPr>
              <w:t>A Quarter in Review</w:t>
            </w:r>
          </w:p>
        </w:tc>
        <w:tc>
          <w:tcPr>
            <w:tcW w:w="0" w:type="auto"/>
            <w:gridSpan w:val="3"/>
            <w:shd w:val="clear" w:color="auto" w:fill="auto"/>
            <w:tcMar>
              <w:top w:w="0" w:type="dxa"/>
              <w:left w:w="20" w:type="dxa"/>
              <w:bottom w:w="0" w:type="dxa"/>
              <w:right w:w="20" w:type="dxa"/>
            </w:tcMar>
          </w:tcPr>
          <w:p w14:paraId="5C7C5146" w14:textId="77777777" w:rsidR="0008009C" w:rsidRDefault="0008009C">
            <w:pPr>
              <w:rPr>
                <w:rFonts w:ascii="宋体"/>
              </w:rPr>
            </w:pPr>
          </w:p>
        </w:tc>
      </w:tr>
      <w:tr w:rsidR="0008009C" w14:paraId="5C7C514A" w14:textId="77777777">
        <w:trPr>
          <w:trHeight w:val="160"/>
        </w:trPr>
        <w:tc>
          <w:tcPr>
            <w:tcW w:w="0" w:type="auto"/>
            <w:gridSpan w:val="3"/>
            <w:shd w:val="clear" w:color="auto" w:fill="auto"/>
            <w:tcMar>
              <w:top w:w="0" w:type="dxa"/>
              <w:left w:w="20" w:type="dxa"/>
              <w:bottom w:w="0" w:type="dxa"/>
              <w:right w:w="20" w:type="dxa"/>
            </w:tcMar>
          </w:tcPr>
          <w:p w14:paraId="5C7C5148" w14:textId="77777777" w:rsidR="0008009C" w:rsidRDefault="0008009C">
            <w:pPr>
              <w:rPr>
                <w:rFonts w:ascii="宋体"/>
              </w:rPr>
            </w:pPr>
          </w:p>
        </w:tc>
        <w:tc>
          <w:tcPr>
            <w:tcW w:w="0" w:type="auto"/>
            <w:gridSpan w:val="3"/>
            <w:shd w:val="clear" w:color="auto" w:fill="00A3F6"/>
            <w:tcMar>
              <w:top w:w="0" w:type="dxa"/>
              <w:left w:w="20" w:type="dxa"/>
              <w:bottom w:w="0" w:type="dxa"/>
              <w:right w:w="20" w:type="dxa"/>
            </w:tcMar>
          </w:tcPr>
          <w:p w14:paraId="5C7C5149" w14:textId="77777777" w:rsidR="0008009C" w:rsidRDefault="0008009C">
            <w:pPr>
              <w:rPr>
                <w:rFonts w:ascii="宋体"/>
              </w:rPr>
            </w:pPr>
          </w:p>
        </w:tc>
      </w:tr>
    </w:tbl>
    <w:p w14:paraId="5C7C514B" w14:textId="77777777" w:rsidR="0008009C" w:rsidRDefault="00936FDF">
      <w:pPr>
        <w:spacing w:after="180"/>
      </w:pPr>
      <w:r>
        <w:rPr>
          <w:rFonts w:ascii="Arial" w:eastAsia="宋体" w:hAnsi="Arial" w:cs="Arial"/>
          <w:color w:val="262626"/>
          <w:sz w:val="18"/>
          <w:szCs w:val="18"/>
        </w:rPr>
        <w:t xml:space="preserve">Total revenue of $19.7 billion was down $155 </w:t>
      </w:r>
      <w:r>
        <w:rPr>
          <w:rFonts w:ascii="Arial" w:eastAsia="宋体" w:hAnsi="Arial" w:cs="Arial"/>
          <w:color w:val="262626"/>
          <w:sz w:val="18"/>
          <w:szCs w:val="18"/>
        </w:rPr>
        <w:t xml:space="preserve">million year over year as DCG declined 20% and CCG grew 8%. Decline in DCG revenue was driven by lower volume due to digestion in the cloud service providers market segment, a decline in the enterprise and government market segment on weaker macroeconomic </w:t>
      </w:r>
      <w:r>
        <w:rPr>
          <w:rFonts w:ascii="Arial" w:eastAsia="宋体" w:hAnsi="Arial" w:cs="Arial"/>
          <w:color w:val="262626"/>
          <w:sz w:val="18"/>
          <w:szCs w:val="18"/>
        </w:rPr>
        <w:t>conditions, and lower ASPs driven by higher SoC volume and weaker core mix. CCG revenue was up, driven by strength in notebook demand, partially offset by an increased mix of consumer and education PCs, which drove lower notebook ASPs. IOTG and Mobileye we</w:t>
      </w:r>
      <w:r>
        <w:rPr>
          <w:rFonts w:ascii="Arial" w:eastAsia="宋体" w:hAnsi="Arial" w:cs="Arial"/>
          <w:color w:val="262626"/>
          <w:sz w:val="18"/>
          <w:szCs w:val="18"/>
        </w:rPr>
        <w:t>re both up on higher demand amid recovery from the economic impacts of COVID-19, including recovery in the auto industry from pandemic lows. In the first three months, we generated $5.5 billion of cash flow from operations and returned $3.7 billion to stoc</w:t>
      </w:r>
      <w:r>
        <w:rPr>
          <w:rFonts w:ascii="Arial" w:eastAsia="宋体" w:hAnsi="Arial" w:cs="Arial"/>
          <w:color w:val="262626"/>
          <w:sz w:val="18"/>
          <w:szCs w:val="18"/>
        </w:rPr>
        <w:t>kholders, including $1.4 billion in dividends and $2.3 billion in buybacks.</w:t>
      </w:r>
    </w:p>
    <w:tbl>
      <w:tblPr>
        <w:tblW w:w="10965" w:type="dxa"/>
        <w:tblCellMar>
          <w:top w:w="15" w:type="dxa"/>
          <w:left w:w="15" w:type="dxa"/>
          <w:bottom w:w="15" w:type="dxa"/>
          <w:right w:w="15" w:type="dxa"/>
        </w:tblCellMar>
        <w:tblLook w:val="04A0" w:firstRow="1" w:lastRow="0" w:firstColumn="1" w:lastColumn="0" w:noHBand="0" w:noVBand="1"/>
      </w:tblPr>
      <w:tblGrid>
        <w:gridCol w:w="36"/>
        <w:gridCol w:w="2588"/>
        <w:gridCol w:w="36"/>
        <w:gridCol w:w="36"/>
        <w:gridCol w:w="36"/>
        <w:gridCol w:w="36"/>
        <w:gridCol w:w="36"/>
        <w:gridCol w:w="2591"/>
        <w:gridCol w:w="36"/>
        <w:gridCol w:w="36"/>
        <w:gridCol w:w="36"/>
        <w:gridCol w:w="36"/>
        <w:gridCol w:w="36"/>
        <w:gridCol w:w="2588"/>
        <w:gridCol w:w="36"/>
        <w:gridCol w:w="36"/>
        <w:gridCol w:w="36"/>
        <w:gridCol w:w="36"/>
        <w:gridCol w:w="36"/>
        <w:gridCol w:w="2586"/>
        <w:gridCol w:w="36"/>
      </w:tblGrid>
      <w:tr w:rsidR="0008009C" w14:paraId="5C7C5161" w14:textId="77777777">
        <w:tc>
          <w:tcPr>
            <w:tcW w:w="20" w:type="dxa"/>
            <w:shd w:val="clear" w:color="auto" w:fill="auto"/>
          </w:tcPr>
          <w:p w14:paraId="5C7C514C" w14:textId="77777777" w:rsidR="0008009C" w:rsidRDefault="0008009C">
            <w:pPr>
              <w:rPr>
                <w:rFonts w:ascii="宋体"/>
              </w:rPr>
            </w:pPr>
          </w:p>
        </w:tc>
        <w:tc>
          <w:tcPr>
            <w:tcW w:w="2645" w:type="dxa"/>
            <w:shd w:val="clear" w:color="auto" w:fill="auto"/>
          </w:tcPr>
          <w:p w14:paraId="5C7C514D" w14:textId="77777777" w:rsidR="0008009C" w:rsidRDefault="0008009C">
            <w:pPr>
              <w:rPr>
                <w:rFonts w:ascii="宋体"/>
              </w:rPr>
            </w:pPr>
          </w:p>
        </w:tc>
        <w:tc>
          <w:tcPr>
            <w:tcW w:w="20" w:type="dxa"/>
            <w:shd w:val="clear" w:color="auto" w:fill="auto"/>
          </w:tcPr>
          <w:p w14:paraId="5C7C514E" w14:textId="77777777" w:rsidR="0008009C" w:rsidRDefault="0008009C">
            <w:pPr>
              <w:rPr>
                <w:rFonts w:ascii="宋体"/>
              </w:rPr>
            </w:pPr>
          </w:p>
        </w:tc>
        <w:tc>
          <w:tcPr>
            <w:tcW w:w="20" w:type="dxa"/>
            <w:shd w:val="clear" w:color="auto" w:fill="auto"/>
          </w:tcPr>
          <w:p w14:paraId="5C7C514F" w14:textId="77777777" w:rsidR="0008009C" w:rsidRDefault="0008009C">
            <w:pPr>
              <w:rPr>
                <w:rFonts w:ascii="宋体"/>
              </w:rPr>
            </w:pPr>
          </w:p>
        </w:tc>
        <w:tc>
          <w:tcPr>
            <w:tcW w:w="35" w:type="dxa"/>
            <w:shd w:val="clear" w:color="auto" w:fill="auto"/>
          </w:tcPr>
          <w:p w14:paraId="5C7C5150" w14:textId="77777777" w:rsidR="0008009C" w:rsidRDefault="0008009C">
            <w:pPr>
              <w:rPr>
                <w:rFonts w:ascii="宋体"/>
              </w:rPr>
            </w:pPr>
          </w:p>
        </w:tc>
        <w:tc>
          <w:tcPr>
            <w:tcW w:w="20" w:type="dxa"/>
            <w:shd w:val="clear" w:color="auto" w:fill="auto"/>
          </w:tcPr>
          <w:p w14:paraId="5C7C5151" w14:textId="77777777" w:rsidR="0008009C" w:rsidRDefault="0008009C">
            <w:pPr>
              <w:rPr>
                <w:rFonts w:ascii="宋体"/>
              </w:rPr>
            </w:pPr>
          </w:p>
        </w:tc>
        <w:tc>
          <w:tcPr>
            <w:tcW w:w="20" w:type="dxa"/>
            <w:shd w:val="clear" w:color="auto" w:fill="auto"/>
          </w:tcPr>
          <w:p w14:paraId="5C7C5152" w14:textId="77777777" w:rsidR="0008009C" w:rsidRDefault="0008009C">
            <w:pPr>
              <w:rPr>
                <w:rFonts w:ascii="宋体"/>
              </w:rPr>
            </w:pPr>
          </w:p>
        </w:tc>
        <w:tc>
          <w:tcPr>
            <w:tcW w:w="2645" w:type="dxa"/>
            <w:shd w:val="clear" w:color="auto" w:fill="auto"/>
          </w:tcPr>
          <w:p w14:paraId="5C7C5153" w14:textId="77777777" w:rsidR="0008009C" w:rsidRDefault="0008009C">
            <w:pPr>
              <w:rPr>
                <w:rFonts w:ascii="宋体"/>
              </w:rPr>
            </w:pPr>
          </w:p>
        </w:tc>
        <w:tc>
          <w:tcPr>
            <w:tcW w:w="20" w:type="dxa"/>
            <w:shd w:val="clear" w:color="auto" w:fill="auto"/>
          </w:tcPr>
          <w:p w14:paraId="5C7C5154" w14:textId="77777777" w:rsidR="0008009C" w:rsidRDefault="0008009C">
            <w:pPr>
              <w:rPr>
                <w:rFonts w:ascii="宋体"/>
              </w:rPr>
            </w:pPr>
          </w:p>
        </w:tc>
        <w:tc>
          <w:tcPr>
            <w:tcW w:w="20" w:type="dxa"/>
            <w:shd w:val="clear" w:color="auto" w:fill="auto"/>
          </w:tcPr>
          <w:p w14:paraId="5C7C5155" w14:textId="77777777" w:rsidR="0008009C" w:rsidRDefault="0008009C">
            <w:pPr>
              <w:rPr>
                <w:rFonts w:ascii="宋体"/>
              </w:rPr>
            </w:pPr>
          </w:p>
        </w:tc>
        <w:tc>
          <w:tcPr>
            <w:tcW w:w="35" w:type="dxa"/>
            <w:shd w:val="clear" w:color="auto" w:fill="auto"/>
          </w:tcPr>
          <w:p w14:paraId="5C7C5156" w14:textId="77777777" w:rsidR="0008009C" w:rsidRDefault="0008009C">
            <w:pPr>
              <w:rPr>
                <w:rFonts w:ascii="宋体"/>
              </w:rPr>
            </w:pPr>
          </w:p>
        </w:tc>
        <w:tc>
          <w:tcPr>
            <w:tcW w:w="20" w:type="dxa"/>
            <w:shd w:val="clear" w:color="auto" w:fill="auto"/>
          </w:tcPr>
          <w:p w14:paraId="5C7C5157" w14:textId="77777777" w:rsidR="0008009C" w:rsidRDefault="0008009C">
            <w:pPr>
              <w:rPr>
                <w:rFonts w:ascii="宋体"/>
              </w:rPr>
            </w:pPr>
          </w:p>
        </w:tc>
        <w:tc>
          <w:tcPr>
            <w:tcW w:w="20" w:type="dxa"/>
            <w:shd w:val="clear" w:color="auto" w:fill="auto"/>
          </w:tcPr>
          <w:p w14:paraId="5C7C5158" w14:textId="77777777" w:rsidR="0008009C" w:rsidRDefault="0008009C">
            <w:pPr>
              <w:rPr>
                <w:rFonts w:ascii="宋体"/>
              </w:rPr>
            </w:pPr>
          </w:p>
        </w:tc>
        <w:tc>
          <w:tcPr>
            <w:tcW w:w="2645" w:type="dxa"/>
            <w:shd w:val="clear" w:color="auto" w:fill="auto"/>
          </w:tcPr>
          <w:p w14:paraId="5C7C5159" w14:textId="77777777" w:rsidR="0008009C" w:rsidRDefault="0008009C">
            <w:pPr>
              <w:rPr>
                <w:rFonts w:ascii="宋体"/>
              </w:rPr>
            </w:pPr>
          </w:p>
        </w:tc>
        <w:tc>
          <w:tcPr>
            <w:tcW w:w="20" w:type="dxa"/>
            <w:shd w:val="clear" w:color="auto" w:fill="auto"/>
          </w:tcPr>
          <w:p w14:paraId="5C7C515A" w14:textId="77777777" w:rsidR="0008009C" w:rsidRDefault="0008009C">
            <w:pPr>
              <w:rPr>
                <w:rFonts w:ascii="宋体"/>
              </w:rPr>
            </w:pPr>
          </w:p>
        </w:tc>
        <w:tc>
          <w:tcPr>
            <w:tcW w:w="20" w:type="dxa"/>
            <w:shd w:val="clear" w:color="auto" w:fill="auto"/>
          </w:tcPr>
          <w:p w14:paraId="5C7C515B" w14:textId="77777777" w:rsidR="0008009C" w:rsidRDefault="0008009C">
            <w:pPr>
              <w:rPr>
                <w:rFonts w:ascii="宋体"/>
              </w:rPr>
            </w:pPr>
          </w:p>
        </w:tc>
        <w:tc>
          <w:tcPr>
            <w:tcW w:w="35" w:type="dxa"/>
            <w:shd w:val="clear" w:color="auto" w:fill="auto"/>
          </w:tcPr>
          <w:p w14:paraId="5C7C515C" w14:textId="77777777" w:rsidR="0008009C" w:rsidRDefault="0008009C">
            <w:pPr>
              <w:rPr>
                <w:rFonts w:ascii="宋体"/>
              </w:rPr>
            </w:pPr>
          </w:p>
        </w:tc>
        <w:tc>
          <w:tcPr>
            <w:tcW w:w="20" w:type="dxa"/>
            <w:shd w:val="clear" w:color="auto" w:fill="auto"/>
          </w:tcPr>
          <w:p w14:paraId="5C7C515D" w14:textId="77777777" w:rsidR="0008009C" w:rsidRDefault="0008009C">
            <w:pPr>
              <w:rPr>
                <w:rFonts w:ascii="宋体"/>
              </w:rPr>
            </w:pPr>
          </w:p>
        </w:tc>
        <w:tc>
          <w:tcPr>
            <w:tcW w:w="20" w:type="dxa"/>
            <w:shd w:val="clear" w:color="auto" w:fill="auto"/>
          </w:tcPr>
          <w:p w14:paraId="5C7C515E" w14:textId="77777777" w:rsidR="0008009C" w:rsidRDefault="0008009C">
            <w:pPr>
              <w:rPr>
                <w:rFonts w:ascii="宋体"/>
              </w:rPr>
            </w:pPr>
          </w:p>
        </w:tc>
        <w:tc>
          <w:tcPr>
            <w:tcW w:w="2645" w:type="dxa"/>
            <w:shd w:val="clear" w:color="auto" w:fill="auto"/>
          </w:tcPr>
          <w:p w14:paraId="5C7C515F" w14:textId="77777777" w:rsidR="0008009C" w:rsidRDefault="0008009C">
            <w:pPr>
              <w:rPr>
                <w:rFonts w:ascii="宋体"/>
              </w:rPr>
            </w:pPr>
          </w:p>
        </w:tc>
        <w:tc>
          <w:tcPr>
            <w:tcW w:w="20" w:type="dxa"/>
            <w:shd w:val="clear" w:color="auto" w:fill="auto"/>
          </w:tcPr>
          <w:p w14:paraId="5C7C5160" w14:textId="77777777" w:rsidR="0008009C" w:rsidRDefault="0008009C">
            <w:pPr>
              <w:rPr>
                <w:rFonts w:ascii="宋体"/>
              </w:rPr>
            </w:pPr>
          </w:p>
        </w:tc>
      </w:tr>
      <w:tr w:rsidR="0008009C" w14:paraId="5C7C5169" w14:textId="77777777">
        <w:trPr>
          <w:trHeight w:val="300"/>
        </w:trPr>
        <w:tc>
          <w:tcPr>
            <w:tcW w:w="0" w:type="auto"/>
            <w:gridSpan w:val="3"/>
            <w:shd w:val="clear" w:color="auto" w:fill="004A86"/>
            <w:tcMar>
              <w:top w:w="40" w:type="dxa"/>
              <w:left w:w="20" w:type="dxa"/>
              <w:bottom w:w="40" w:type="dxa"/>
              <w:right w:w="20" w:type="dxa"/>
            </w:tcMar>
            <w:vAlign w:val="bottom"/>
          </w:tcPr>
          <w:p w14:paraId="5C7C5162" w14:textId="77777777" w:rsidR="0008009C" w:rsidRDefault="00936FDF">
            <w:pPr>
              <w:textAlignment w:val="bottom"/>
            </w:pPr>
            <w:r>
              <w:rPr>
                <w:rFonts w:ascii="Arial" w:eastAsia="宋体" w:hAnsi="Arial" w:cs="Arial"/>
                <w:color w:val="FFFFFF"/>
                <w:sz w:val="20"/>
                <w:szCs w:val="20"/>
              </w:rPr>
              <w:t>Revenue</w:t>
            </w:r>
          </w:p>
        </w:tc>
        <w:tc>
          <w:tcPr>
            <w:tcW w:w="0" w:type="auto"/>
            <w:gridSpan w:val="3"/>
            <w:shd w:val="clear" w:color="auto" w:fill="auto"/>
            <w:tcMar>
              <w:top w:w="0" w:type="dxa"/>
              <w:left w:w="20" w:type="dxa"/>
              <w:bottom w:w="0" w:type="dxa"/>
              <w:right w:w="20" w:type="dxa"/>
            </w:tcMar>
          </w:tcPr>
          <w:p w14:paraId="5C7C5163" w14:textId="77777777" w:rsidR="0008009C" w:rsidRDefault="0008009C">
            <w:pPr>
              <w:rPr>
                <w:rFonts w:ascii="宋体"/>
              </w:rPr>
            </w:pPr>
          </w:p>
        </w:tc>
        <w:tc>
          <w:tcPr>
            <w:tcW w:w="0" w:type="auto"/>
            <w:gridSpan w:val="3"/>
            <w:shd w:val="clear" w:color="auto" w:fill="0068B5"/>
            <w:tcMar>
              <w:top w:w="40" w:type="dxa"/>
              <w:left w:w="20" w:type="dxa"/>
              <w:bottom w:w="40" w:type="dxa"/>
              <w:right w:w="20" w:type="dxa"/>
            </w:tcMar>
            <w:vAlign w:val="bottom"/>
          </w:tcPr>
          <w:p w14:paraId="5C7C5164" w14:textId="77777777" w:rsidR="0008009C" w:rsidRDefault="00936FDF">
            <w:pPr>
              <w:textAlignment w:val="bottom"/>
            </w:pPr>
            <w:r>
              <w:rPr>
                <w:rFonts w:ascii="Arial" w:eastAsia="宋体" w:hAnsi="Arial" w:cs="Arial"/>
                <w:color w:val="FFFFFF"/>
                <w:sz w:val="20"/>
                <w:szCs w:val="20"/>
              </w:rPr>
              <w:t>Operating Income</w:t>
            </w:r>
          </w:p>
        </w:tc>
        <w:tc>
          <w:tcPr>
            <w:tcW w:w="0" w:type="auto"/>
            <w:gridSpan w:val="3"/>
            <w:shd w:val="clear" w:color="auto" w:fill="auto"/>
            <w:tcMar>
              <w:top w:w="0" w:type="dxa"/>
              <w:left w:w="20" w:type="dxa"/>
              <w:bottom w:w="0" w:type="dxa"/>
              <w:right w:w="20" w:type="dxa"/>
            </w:tcMar>
          </w:tcPr>
          <w:p w14:paraId="5C7C5165" w14:textId="77777777" w:rsidR="0008009C" w:rsidRDefault="0008009C">
            <w:pPr>
              <w:rPr>
                <w:rFonts w:ascii="宋体"/>
              </w:rPr>
            </w:pPr>
          </w:p>
        </w:tc>
        <w:tc>
          <w:tcPr>
            <w:tcW w:w="0" w:type="auto"/>
            <w:gridSpan w:val="3"/>
            <w:shd w:val="clear" w:color="auto" w:fill="00A3F6"/>
            <w:tcMar>
              <w:top w:w="40" w:type="dxa"/>
              <w:left w:w="20" w:type="dxa"/>
              <w:bottom w:w="40" w:type="dxa"/>
              <w:right w:w="20" w:type="dxa"/>
            </w:tcMar>
            <w:vAlign w:val="bottom"/>
          </w:tcPr>
          <w:p w14:paraId="5C7C5166" w14:textId="77777777" w:rsidR="0008009C" w:rsidRDefault="00936FDF">
            <w:pPr>
              <w:textAlignment w:val="bottom"/>
            </w:pPr>
            <w:r>
              <w:rPr>
                <w:rFonts w:ascii="Arial" w:eastAsia="宋体" w:hAnsi="Arial" w:cs="Arial"/>
                <w:color w:val="FFFFFF"/>
                <w:sz w:val="20"/>
                <w:szCs w:val="20"/>
              </w:rPr>
              <w:t>Diluted EPS</w:t>
            </w:r>
          </w:p>
        </w:tc>
        <w:tc>
          <w:tcPr>
            <w:tcW w:w="0" w:type="auto"/>
            <w:gridSpan w:val="3"/>
            <w:shd w:val="clear" w:color="auto" w:fill="auto"/>
            <w:tcMar>
              <w:top w:w="0" w:type="dxa"/>
              <w:left w:w="20" w:type="dxa"/>
              <w:bottom w:w="0" w:type="dxa"/>
              <w:right w:w="20" w:type="dxa"/>
            </w:tcMar>
          </w:tcPr>
          <w:p w14:paraId="5C7C5167" w14:textId="77777777" w:rsidR="0008009C" w:rsidRDefault="0008009C">
            <w:pPr>
              <w:rPr>
                <w:rFonts w:ascii="宋体"/>
              </w:rPr>
            </w:pPr>
          </w:p>
        </w:tc>
        <w:tc>
          <w:tcPr>
            <w:tcW w:w="0" w:type="auto"/>
            <w:gridSpan w:val="3"/>
            <w:shd w:val="clear" w:color="auto" w:fill="AEAEAE"/>
            <w:tcMar>
              <w:top w:w="40" w:type="dxa"/>
              <w:left w:w="20" w:type="dxa"/>
              <w:bottom w:w="40" w:type="dxa"/>
              <w:right w:w="20" w:type="dxa"/>
            </w:tcMar>
            <w:vAlign w:val="bottom"/>
          </w:tcPr>
          <w:p w14:paraId="5C7C5168" w14:textId="77777777" w:rsidR="0008009C" w:rsidRDefault="00936FDF">
            <w:pPr>
              <w:textAlignment w:val="bottom"/>
            </w:pPr>
            <w:r>
              <w:rPr>
                <w:rFonts w:ascii="Arial" w:eastAsia="宋体" w:hAnsi="Arial" w:cs="Arial"/>
                <w:color w:val="FFFFFF"/>
                <w:sz w:val="20"/>
                <w:szCs w:val="20"/>
              </w:rPr>
              <w:t>Cash Flows</w:t>
            </w:r>
          </w:p>
        </w:tc>
      </w:tr>
      <w:tr w:rsidR="0008009C" w14:paraId="5C7C5172" w14:textId="77777777">
        <w:trPr>
          <w:trHeight w:val="420"/>
        </w:trPr>
        <w:tc>
          <w:tcPr>
            <w:tcW w:w="0" w:type="auto"/>
            <w:gridSpan w:val="3"/>
            <w:shd w:val="clear" w:color="auto" w:fill="auto"/>
            <w:tcMar>
              <w:top w:w="40" w:type="dxa"/>
              <w:left w:w="20" w:type="dxa"/>
              <w:bottom w:w="40" w:type="dxa"/>
              <w:right w:w="20" w:type="dxa"/>
            </w:tcMar>
            <w:vAlign w:val="center"/>
          </w:tcPr>
          <w:p w14:paraId="5C7C516A" w14:textId="77777777" w:rsidR="0008009C" w:rsidRDefault="00936FDF">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 xml:space="preserve">GAAP $B </w:t>
            </w:r>
            <w:r>
              <w:rPr>
                <w:rFonts w:ascii="Arial" w:eastAsia="宋体" w:hAnsi="Arial" w:cs="Arial"/>
                <w:color w:val="00A3F6"/>
                <w:sz w:val="18"/>
                <w:szCs w:val="18"/>
              </w:rPr>
              <w:t>■</w:t>
            </w:r>
            <w:r>
              <w:rPr>
                <w:rFonts w:ascii="Arial" w:eastAsia="宋体" w:hAnsi="Arial" w:cs="Arial"/>
                <w:color w:val="333333"/>
                <w:sz w:val="18"/>
                <w:szCs w:val="18"/>
              </w:rPr>
              <w:t xml:space="preserve"> </w:t>
            </w:r>
            <w:r>
              <w:rPr>
                <w:rFonts w:ascii="Arial" w:eastAsia="宋体" w:hAnsi="Arial" w:cs="Arial"/>
                <w:color w:val="333333"/>
                <w:sz w:val="16"/>
                <w:szCs w:val="16"/>
              </w:rPr>
              <w:t>Non-GAAP $B</w:t>
            </w:r>
          </w:p>
        </w:tc>
        <w:tc>
          <w:tcPr>
            <w:tcW w:w="0" w:type="auto"/>
            <w:gridSpan w:val="3"/>
            <w:shd w:val="clear" w:color="auto" w:fill="auto"/>
            <w:tcMar>
              <w:top w:w="0" w:type="dxa"/>
              <w:left w:w="20" w:type="dxa"/>
              <w:bottom w:w="0" w:type="dxa"/>
              <w:right w:w="20" w:type="dxa"/>
            </w:tcMar>
          </w:tcPr>
          <w:p w14:paraId="5C7C516B"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center"/>
          </w:tcPr>
          <w:p w14:paraId="5C7C516C" w14:textId="77777777" w:rsidR="0008009C" w:rsidRDefault="00936FDF">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GAAP $B</w:t>
            </w:r>
            <w:r>
              <w:rPr>
                <w:rFonts w:ascii="Arial" w:eastAsia="宋体" w:hAnsi="Arial" w:cs="Arial"/>
                <w:color w:val="333333"/>
                <w:sz w:val="18"/>
                <w:szCs w:val="18"/>
              </w:rPr>
              <w:t xml:space="preserve"> </w:t>
            </w:r>
            <w:r>
              <w:rPr>
                <w:rFonts w:ascii="Arial" w:eastAsia="宋体" w:hAnsi="Arial" w:cs="Arial"/>
                <w:color w:val="00A3F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Non-GAAP $B</w:t>
            </w:r>
          </w:p>
        </w:tc>
        <w:tc>
          <w:tcPr>
            <w:tcW w:w="0" w:type="auto"/>
            <w:gridSpan w:val="3"/>
            <w:shd w:val="clear" w:color="auto" w:fill="auto"/>
            <w:tcMar>
              <w:top w:w="0" w:type="dxa"/>
              <w:left w:w="20" w:type="dxa"/>
              <w:bottom w:w="0" w:type="dxa"/>
              <w:right w:w="20" w:type="dxa"/>
            </w:tcMar>
          </w:tcPr>
          <w:p w14:paraId="5C7C516D"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center"/>
          </w:tcPr>
          <w:p w14:paraId="5C7C516E" w14:textId="77777777" w:rsidR="0008009C" w:rsidRDefault="00936FDF">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GAAP</w:t>
            </w:r>
            <w:r>
              <w:rPr>
                <w:rFonts w:ascii="Arial" w:eastAsia="宋体" w:hAnsi="Arial" w:cs="Arial"/>
                <w:color w:val="333333"/>
                <w:sz w:val="18"/>
                <w:szCs w:val="18"/>
              </w:rPr>
              <w:t xml:space="preserve"> </w:t>
            </w:r>
            <w:r>
              <w:rPr>
                <w:rFonts w:ascii="Arial" w:eastAsia="宋体" w:hAnsi="Arial" w:cs="Arial"/>
                <w:color w:val="00A3F6"/>
                <w:sz w:val="18"/>
                <w:szCs w:val="18"/>
              </w:rPr>
              <w:t xml:space="preserve">■ </w:t>
            </w:r>
            <w:r>
              <w:rPr>
                <w:rFonts w:ascii="Arial" w:eastAsia="宋体" w:hAnsi="Arial" w:cs="Arial"/>
                <w:color w:val="333333"/>
                <w:sz w:val="16"/>
                <w:szCs w:val="16"/>
              </w:rPr>
              <w:t>Non-GAAP</w:t>
            </w:r>
          </w:p>
        </w:tc>
        <w:tc>
          <w:tcPr>
            <w:tcW w:w="0" w:type="auto"/>
            <w:gridSpan w:val="3"/>
            <w:shd w:val="clear" w:color="auto" w:fill="auto"/>
            <w:tcMar>
              <w:top w:w="0" w:type="dxa"/>
              <w:left w:w="20" w:type="dxa"/>
              <w:bottom w:w="0" w:type="dxa"/>
              <w:right w:w="20" w:type="dxa"/>
            </w:tcMar>
          </w:tcPr>
          <w:p w14:paraId="5C7C516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center"/>
          </w:tcPr>
          <w:p w14:paraId="5C7C5170" w14:textId="77777777" w:rsidR="0008009C" w:rsidRDefault="00936FDF">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Operating Cash Flow $B</w:t>
            </w:r>
          </w:p>
          <w:p w14:paraId="5C7C5171" w14:textId="77777777" w:rsidR="0008009C" w:rsidRDefault="00936FDF">
            <w:pPr>
              <w:textAlignment w:val="center"/>
            </w:pPr>
            <w:r>
              <w:rPr>
                <w:rFonts w:ascii="Arial" w:eastAsia="宋体" w:hAnsi="Arial" w:cs="Arial"/>
                <w:color w:val="00A3F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 xml:space="preserve">Free </w:t>
            </w:r>
            <w:r>
              <w:rPr>
                <w:rFonts w:ascii="Arial" w:eastAsia="宋体" w:hAnsi="Arial" w:cs="Arial"/>
                <w:color w:val="333333"/>
                <w:sz w:val="16"/>
                <w:szCs w:val="16"/>
              </w:rPr>
              <w:t>Cash Flow $B</w:t>
            </w:r>
          </w:p>
        </w:tc>
      </w:tr>
    </w:tbl>
    <w:p w14:paraId="5C7C5173"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CE8" wp14:editId="5C7C7CE9">
            <wp:extent cx="304800" cy="304800"/>
            <wp:effectExtent l="0" t="0" r="0" b="0"/>
            <wp:docPr id="9" name="图片 3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Viewer7_files/intc-202103</w:instrText>
      </w:r>
      <w:r>
        <w:rPr>
          <w:rFonts w:ascii="宋体" w:eastAsia="宋体" w:hAnsi="宋体" w:cs="宋体"/>
        </w:rPr>
        <w:instrText xml:space="preserve">27_g4.jpg"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CEA" wp14:editId="5C7C7CEB">
            <wp:extent cx="304800" cy="304800"/>
            <wp:effectExtent l="0" t="0" r="0" b="0"/>
            <wp:docPr id="10" name="图片 4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0"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CEC" wp14:editId="5C7C7CED">
            <wp:extent cx="304800" cy="304800"/>
            <wp:effectExtent l="0" t="0" r="0" b="0"/>
            <wp:docPr id="11" name="图片 4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1"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w:instrText>
      </w:r>
      <w:r>
        <w:rPr>
          <w:rFonts w:ascii="宋体" w:eastAsia="宋体" w:hAnsi="宋体" w:cs="宋体"/>
        </w:rPr>
        <w:instrText xml:space="preserve">ine XBRL Viewer7_files/intc-20210327_g6.jpg"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CEE" wp14:editId="5C7C7CEF">
            <wp:extent cx="304800" cy="304800"/>
            <wp:effectExtent l="0" t="0" r="0" b="0"/>
            <wp:docPr id="12" name="图片 4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2"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50" w:type="dxa"/>
        <w:tblCellMar>
          <w:top w:w="15" w:type="dxa"/>
          <w:left w:w="15" w:type="dxa"/>
          <w:bottom w:w="15" w:type="dxa"/>
          <w:right w:w="15" w:type="dxa"/>
        </w:tblCellMar>
        <w:tblLook w:val="04A0" w:firstRow="1" w:lastRow="0" w:firstColumn="1" w:lastColumn="0" w:noHBand="0" w:noVBand="1"/>
      </w:tblPr>
      <w:tblGrid>
        <w:gridCol w:w="41"/>
        <w:gridCol w:w="1332"/>
        <w:gridCol w:w="41"/>
        <w:gridCol w:w="38"/>
        <w:gridCol w:w="38"/>
        <w:gridCol w:w="38"/>
        <w:gridCol w:w="40"/>
        <w:gridCol w:w="1236"/>
        <w:gridCol w:w="40"/>
        <w:gridCol w:w="36"/>
        <w:gridCol w:w="36"/>
        <w:gridCol w:w="36"/>
        <w:gridCol w:w="46"/>
        <w:gridCol w:w="1275"/>
        <w:gridCol w:w="46"/>
        <w:gridCol w:w="37"/>
        <w:gridCol w:w="37"/>
        <w:gridCol w:w="37"/>
        <w:gridCol w:w="46"/>
        <w:gridCol w:w="1275"/>
        <w:gridCol w:w="46"/>
        <w:gridCol w:w="36"/>
        <w:gridCol w:w="36"/>
        <w:gridCol w:w="36"/>
        <w:gridCol w:w="42"/>
        <w:gridCol w:w="1076"/>
        <w:gridCol w:w="42"/>
        <w:gridCol w:w="38"/>
        <w:gridCol w:w="38"/>
        <w:gridCol w:w="38"/>
        <w:gridCol w:w="41"/>
        <w:gridCol w:w="1090"/>
        <w:gridCol w:w="41"/>
        <w:gridCol w:w="36"/>
        <w:gridCol w:w="36"/>
        <w:gridCol w:w="36"/>
        <w:gridCol w:w="42"/>
        <w:gridCol w:w="1120"/>
        <w:gridCol w:w="42"/>
        <w:gridCol w:w="37"/>
        <w:gridCol w:w="37"/>
        <w:gridCol w:w="37"/>
        <w:gridCol w:w="41"/>
        <w:gridCol w:w="1094"/>
        <w:gridCol w:w="41"/>
      </w:tblGrid>
      <w:tr w:rsidR="0008009C" w14:paraId="5C7C51A1" w14:textId="77777777">
        <w:tc>
          <w:tcPr>
            <w:tcW w:w="20" w:type="dxa"/>
            <w:shd w:val="clear" w:color="auto" w:fill="auto"/>
          </w:tcPr>
          <w:p w14:paraId="5C7C5174" w14:textId="77777777" w:rsidR="0008009C" w:rsidRDefault="0008009C">
            <w:pPr>
              <w:rPr>
                <w:rFonts w:ascii="宋体"/>
              </w:rPr>
            </w:pPr>
          </w:p>
        </w:tc>
        <w:tc>
          <w:tcPr>
            <w:tcW w:w="1295" w:type="dxa"/>
            <w:shd w:val="clear" w:color="auto" w:fill="auto"/>
          </w:tcPr>
          <w:p w14:paraId="5C7C5175" w14:textId="77777777" w:rsidR="0008009C" w:rsidRDefault="0008009C">
            <w:pPr>
              <w:rPr>
                <w:rFonts w:ascii="宋体"/>
              </w:rPr>
            </w:pPr>
          </w:p>
        </w:tc>
        <w:tc>
          <w:tcPr>
            <w:tcW w:w="20" w:type="dxa"/>
            <w:shd w:val="clear" w:color="auto" w:fill="auto"/>
          </w:tcPr>
          <w:p w14:paraId="5C7C5176" w14:textId="77777777" w:rsidR="0008009C" w:rsidRDefault="0008009C">
            <w:pPr>
              <w:rPr>
                <w:rFonts w:ascii="宋体"/>
              </w:rPr>
            </w:pPr>
          </w:p>
        </w:tc>
        <w:tc>
          <w:tcPr>
            <w:tcW w:w="20" w:type="dxa"/>
            <w:shd w:val="clear" w:color="auto" w:fill="auto"/>
          </w:tcPr>
          <w:p w14:paraId="5C7C5177" w14:textId="77777777" w:rsidR="0008009C" w:rsidRDefault="0008009C">
            <w:pPr>
              <w:rPr>
                <w:rFonts w:ascii="宋体"/>
              </w:rPr>
            </w:pPr>
          </w:p>
        </w:tc>
        <w:tc>
          <w:tcPr>
            <w:tcW w:w="35" w:type="dxa"/>
            <w:shd w:val="clear" w:color="auto" w:fill="auto"/>
          </w:tcPr>
          <w:p w14:paraId="5C7C5178" w14:textId="77777777" w:rsidR="0008009C" w:rsidRDefault="0008009C">
            <w:pPr>
              <w:rPr>
                <w:rFonts w:ascii="宋体"/>
              </w:rPr>
            </w:pPr>
          </w:p>
        </w:tc>
        <w:tc>
          <w:tcPr>
            <w:tcW w:w="20" w:type="dxa"/>
            <w:shd w:val="clear" w:color="auto" w:fill="auto"/>
          </w:tcPr>
          <w:p w14:paraId="5C7C5179" w14:textId="77777777" w:rsidR="0008009C" w:rsidRDefault="0008009C">
            <w:pPr>
              <w:rPr>
                <w:rFonts w:ascii="宋体"/>
              </w:rPr>
            </w:pPr>
          </w:p>
        </w:tc>
        <w:tc>
          <w:tcPr>
            <w:tcW w:w="20" w:type="dxa"/>
            <w:shd w:val="clear" w:color="auto" w:fill="auto"/>
          </w:tcPr>
          <w:p w14:paraId="5C7C517A" w14:textId="77777777" w:rsidR="0008009C" w:rsidRDefault="0008009C">
            <w:pPr>
              <w:rPr>
                <w:rFonts w:ascii="宋体"/>
              </w:rPr>
            </w:pPr>
          </w:p>
        </w:tc>
        <w:tc>
          <w:tcPr>
            <w:tcW w:w="1160" w:type="dxa"/>
            <w:shd w:val="clear" w:color="auto" w:fill="auto"/>
          </w:tcPr>
          <w:p w14:paraId="5C7C517B" w14:textId="77777777" w:rsidR="0008009C" w:rsidRDefault="0008009C">
            <w:pPr>
              <w:rPr>
                <w:rFonts w:ascii="宋体"/>
              </w:rPr>
            </w:pPr>
          </w:p>
        </w:tc>
        <w:tc>
          <w:tcPr>
            <w:tcW w:w="20" w:type="dxa"/>
            <w:shd w:val="clear" w:color="auto" w:fill="auto"/>
          </w:tcPr>
          <w:p w14:paraId="5C7C517C" w14:textId="77777777" w:rsidR="0008009C" w:rsidRDefault="0008009C">
            <w:pPr>
              <w:rPr>
                <w:rFonts w:ascii="宋体"/>
              </w:rPr>
            </w:pPr>
          </w:p>
        </w:tc>
        <w:tc>
          <w:tcPr>
            <w:tcW w:w="20" w:type="dxa"/>
            <w:shd w:val="clear" w:color="auto" w:fill="auto"/>
          </w:tcPr>
          <w:p w14:paraId="5C7C517D" w14:textId="77777777" w:rsidR="0008009C" w:rsidRDefault="0008009C">
            <w:pPr>
              <w:rPr>
                <w:rFonts w:ascii="宋体"/>
              </w:rPr>
            </w:pPr>
          </w:p>
        </w:tc>
        <w:tc>
          <w:tcPr>
            <w:tcW w:w="35" w:type="dxa"/>
            <w:shd w:val="clear" w:color="auto" w:fill="auto"/>
          </w:tcPr>
          <w:p w14:paraId="5C7C517E" w14:textId="77777777" w:rsidR="0008009C" w:rsidRDefault="0008009C">
            <w:pPr>
              <w:rPr>
                <w:rFonts w:ascii="宋体"/>
              </w:rPr>
            </w:pPr>
          </w:p>
        </w:tc>
        <w:tc>
          <w:tcPr>
            <w:tcW w:w="20" w:type="dxa"/>
            <w:shd w:val="clear" w:color="auto" w:fill="auto"/>
          </w:tcPr>
          <w:p w14:paraId="5C7C517F" w14:textId="77777777" w:rsidR="0008009C" w:rsidRDefault="0008009C">
            <w:pPr>
              <w:rPr>
                <w:rFonts w:ascii="宋体"/>
              </w:rPr>
            </w:pPr>
          </w:p>
        </w:tc>
        <w:tc>
          <w:tcPr>
            <w:tcW w:w="20" w:type="dxa"/>
            <w:shd w:val="clear" w:color="auto" w:fill="auto"/>
          </w:tcPr>
          <w:p w14:paraId="5C7C5180" w14:textId="77777777" w:rsidR="0008009C" w:rsidRDefault="0008009C">
            <w:pPr>
              <w:rPr>
                <w:rFonts w:ascii="宋体"/>
              </w:rPr>
            </w:pPr>
          </w:p>
        </w:tc>
        <w:tc>
          <w:tcPr>
            <w:tcW w:w="1295" w:type="dxa"/>
            <w:shd w:val="clear" w:color="auto" w:fill="auto"/>
          </w:tcPr>
          <w:p w14:paraId="5C7C5181" w14:textId="77777777" w:rsidR="0008009C" w:rsidRDefault="0008009C">
            <w:pPr>
              <w:rPr>
                <w:rFonts w:ascii="宋体"/>
              </w:rPr>
            </w:pPr>
          </w:p>
        </w:tc>
        <w:tc>
          <w:tcPr>
            <w:tcW w:w="20" w:type="dxa"/>
            <w:shd w:val="clear" w:color="auto" w:fill="auto"/>
          </w:tcPr>
          <w:p w14:paraId="5C7C5182" w14:textId="77777777" w:rsidR="0008009C" w:rsidRDefault="0008009C">
            <w:pPr>
              <w:rPr>
                <w:rFonts w:ascii="宋体"/>
              </w:rPr>
            </w:pPr>
          </w:p>
        </w:tc>
        <w:tc>
          <w:tcPr>
            <w:tcW w:w="20" w:type="dxa"/>
            <w:shd w:val="clear" w:color="auto" w:fill="auto"/>
          </w:tcPr>
          <w:p w14:paraId="5C7C5183" w14:textId="77777777" w:rsidR="0008009C" w:rsidRDefault="0008009C">
            <w:pPr>
              <w:rPr>
                <w:rFonts w:ascii="宋体"/>
              </w:rPr>
            </w:pPr>
          </w:p>
        </w:tc>
        <w:tc>
          <w:tcPr>
            <w:tcW w:w="35" w:type="dxa"/>
            <w:shd w:val="clear" w:color="auto" w:fill="auto"/>
          </w:tcPr>
          <w:p w14:paraId="5C7C5184" w14:textId="77777777" w:rsidR="0008009C" w:rsidRDefault="0008009C">
            <w:pPr>
              <w:rPr>
                <w:rFonts w:ascii="宋体"/>
              </w:rPr>
            </w:pPr>
          </w:p>
        </w:tc>
        <w:tc>
          <w:tcPr>
            <w:tcW w:w="20" w:type="dxa"/>
            <w:shd w:val="clear" w:color="auto" w:fill="auto"/>
          </w:tcPr>
          <w:p w14:paraId="5C7C5185" w14:textId="77777777" w:rsidR="0008009C" w:rsidRDefault="0008009C">
            <w:pPr>
              <w:rPr>
                <w:rFonts w:ascii="宋体"/>
              </w:rPr>
            </w:pPr>
          </w:p>
        </w:tc>
        <w:tc>
          <w:tcPr>
            <w:tcW w:w="20" w:type="dxa"/>
            <w:shd w:val="clear" w:color="auto" w:fill="auto"/>
          </w:tcPr>
          <w:p w14:paraId="5C7C5186" w14:textId="77777777" w:rsidR="0008009C" w:rsidRDefault="0008009C">
            <w:pPr>
              <w:rPr>
                <w:rFonts w:ascii="宋体"/>
              </w:rPr>
            </w:pPr>
          </w:p>
        </w:tc>
        <w:tc>
          <w:tcPr>
            <w:tcW w:w="1295" w:type="dxa"/>
            <w:shd w:val="clear" w:color="auto" w:fill="auto"/>
          </w:tcPr>
          <w:p w14:paraId="5C7C5187" w14:textId="77777777" w:rsidR="0008009C" w:rsidRDefault="0008009C">
            <w:pPr>
              <w:rPr>
                <w:rFonts w:ascii="宋体"/>
              </w:rPr>
            </w:pPr>
          </w:p>
        </w:tc>
        <w:tc>
          <w:tcPr>
            <w:tcW w:w="20" w:type="dxa"/>
            <w:shd w:val="clear" w:color="auto" w:fill="auto"/>
          </w:tcPr>
          <w:p w14:paraId="5C7C5188" w14:textId="77777777" w:rsidR="0008009C" w:rsidRDefault="0008009C">
            <w:pPr>
              <w:rPr>
                <w:rFonts w:ascii="宋体"/>
              </w:rPr>
            </w:pPr>
          </w:p>
        </w:tc>
        <w:tc>
          <w:tcPr>
            <w:tcW w:w="20" w:type="dxa"/>
            <w:shd w:val="clear" w:color="auto" w:fill="auto"/>
          </w:tcPr>
          <w:p w14:paraId="5C7C5189" w14:textId="77777777" w:rsidR="0008009C" w:rsidRDefault="0008009C">
            <w:pPr>
              <w:rPr>
                <w:rFonts w:ascii="宋体"/>
              </w:rPr>
            </w:pPr>
          </w:p>
        </w:tc>
        <w:tc>
          <w:tcPr>
            <w:tcW w:w="35" w:type="dxa"/>
            <w:shd w:val="clear" w:color="auto" w:fill="auto"/>
          </w:tcPr>
          <w:p w14:paraId="5C7C518A" w14:textId="77777777" w:rsidR="0008009C" w:rsidRDefault="0008009C">
            <w:pPr>
              <w:rPr>
                <w:rFonts w:ascii="宋体"/>
              </w:rPr>
            </w:pPr>
          </w:p>
        </w:tc>
        <w:tc>
          <w:tcPr>
            <w:tcW w:w="20" w:type="dxa"/>
            <w:shd w:val="clear" w:color="auto" w:fill="auto"/>
          </w:tcPr>
          <w:p w14:paraId="5C7C518B" w14:textId="77777777" w:rsidR="0008009C" w:rsidRDefault="0008009C">
            <w:pPr>
              <w:rPr>
                <w:rFonts w:ascii="宋体"/>
              </w:rPr>
            </w:pPr>
          </w:p>
        </w:tc>
        <w:tc>
          <w:tcPr>
            <w:tcW w:w="20" w:type="dxa"/>
            <w:shd w:val="clear" w:color="auto" w:fill="auto"/>
          </w:tcPr>
          <w:p w14:paraId="5C7C518C" w14:textId="77777777" w:rsidR="0008009C" w:rsidRDefault="0008009C">
            <w:pPr>
              <w:rPr>
                <w:rFonts w:ascii="宋体"/>
              </w:rPr>
            </w:pPr>
          </w:p>
        </w:tc>
        <w:tc>
          <w:tcPr>
            <w:tcW w:w="1265" w:type="dxa"/>
            <w:shd w:val="clear" w:color="auto" w:fill="auto"/>
          </w:tcPr>
          <w:p w14:paraId="5C7C518D" w14:textId="77777777" w:rsidR="0008009C" w:rsidRDefault="0008009C">
            <w:pPr>
              <w:rPr>
                <w:rFonts w:ascii="宋体"/>
              </w:rPr>
            </w:pPr>
          </w:p>
        </w:tc>
        <w:tc>
          <w:tcPr>
            <w:tcW w:w="20" w:type="dxa"/>
            <w:shd w:val="clear" w:color="auto" w:fill="auto"/>
          </w:tcPr>
          <w:p w14:paraId="5C7C518E" w14:textId="77777777" w:rsidR="0008009C" w:rsidRDefault="0008009C">
            <w:pPr>
              <w:rPr>
                <w:rFonts w:ascii="宋体"/>
              </w:rPr>
            </w:pPr>
          </w:p>
        </w:tc>
        <w:tc>
          <w:tcPr>
            <w:tcW w:w="20" w:type="dxa"/>
            <w:shd w:val="clear" w:color="auto" w:fill="auto"/>
          </w:tcPr>
          <w:p w14:paraId="5C7C518F" w14:textId="77777777" w:rsidR="0008009C" w:rsidRDefault="0008009C">
            <w:pPr>
              <w:rPr>
                <w:rFonts w:ascii="宋体"/>
              </w:rPr>
            </w:pPr>
          </w:p>
        </w:tc>
        <w:tc>
          <w:tcPr>
            <w:tcW w:w="35" w:type="dxa"/>
            <w:shd w:val="clear" w:color="auto" w:fill="auto"/>
          </w:tcPr>
          <w:p w14:paraId="5C7C5190" w14:textId="77777777" w:rsidR="0008009C" w:rsidRDefault="0008009C">
            <w:pPr>
              <w:rPr>
                <w:rFonts w:ascii="宋体"/>
              </w:rPr>
            </w:pPr>
          </w:p>
        </w:tc>
        <w:tc>
          <w:tcPr>
            <w:tcW w:w="20" w:type="dxa"/>
            <w:shd w:val="clear" w:color="auto" w:fill="auto"/>
          </w:tcPr>
          <w:p w14:paraId="5C7C5191" w14:textId="77777777" w:rsidR="0008009C" w:rsidRDefault="0008009C">
            <w:pPr>
              <w:rPr>
                <w:rFonts w:ascii="宋体"/>
              </w:rPr>
            </w:pPr>
          </w:p>
        </w:tc>
        <w:tc>
          <w:tcPr>
            <w:tcW w:w="20" w:type="dxa"/>
            <w:shd w:val="clear" w:color="auto" w:fill="auto"/>
          </w:tcPr>
          <w:p w14:paraId="5C7C5192" w14:textId="77777777" w:rsidR="0008009C" w:rsidRDefault="0008009C">
            <w:pPr>
              <w:rPr>
                <w:rFonts w:ascii="宋体"/>
              </w:rPr>
            </w:pPr>
          </w:p>
        </w:tc>
        <w:tc>
          <w:tcPr>
            <w:tcW w:w="1265" w:type="dxa"/>
            <w:shd w:val="clear" w:color="auto" w:fill="auto"/>
          </w:tcPr>
          <w:p w14:paraId="5C7C5193" w14:textId="77777777" w:rsidR="0008009C" w:rsidRDefault="0008009C">
            <w:pPr>
              <w:rPr>
                <w:rFonts w:ascii="宋体"/>
              </w:rPr>
            </w:pPr>
          </w:p>
        </w:tc>
        <w:tc>
          <w:tcPr>
            <w:tcW w:w="20" w:type="dxa"/>
            <w:shd w:val="clear" w:color="auto" w:fill="auto"/>
          </w:tcPr>
          <w:p w14:paraId="5C7C5194" w14:textId="77777777" w:rsidR="0008009C" w:rsidRDefault="0008009C">
            <w:pPr>
              <w:rPr>
                <w:rFonts w:ascii="宋体"/>
              </w:rPr>
            </w:pPr>
          </w:p>
        </w:tc>
        <w:tc>
          <w:tcPr>
            <w:tcW w:w="20" w:type="dxa"/>
            <w:shd w:val="clear" w:color="auto" w:fill="auto"/>
          </w:tcPr>
          <w:p w14:paraId="5C7C5195" w14:textId="77777777" w:rsidR="0008009C" w:rsidRDefault="0008009C">
            <w:pPr>
              <w:rPr>
                <w:rFonts w:ascii="宋体"/>
              </w:rPr>
            </w:pPr>
          </w:p>
        </w:tc>
        <w:tc>
          <w:tcPr>
            <w:tcW w:w="35" w:type="dxa"/>
            <w:shd w:val="clear" w:color="auto" w:fill="auto"/>
          </w:tcPr>
          <w:p w14:paraId="5C7C5196" w14:textId="77777777" w:rsidR="0008009C" w:rsidRDefault="0008009C">
            <w:pPr>
              <w:rPr>
                <w:rFonts w:ascii="宋体"/>
              </w:rPr>
            </w:pPr>
          </w:p>
        </w:tc>
        <w:tc>
          <w:tcPr>
            <w:tcW w:w="20" w:type="dxa"/>
            <w:shd w:val="clear" w:color="auto" w:fill="auto"/>
          </w:tcPr>
          <w:p w14:paraId="5C7C5197" w14:textId="77777777" w:rsidR="0008009C" w:rsidRDefault="0008009C">
            <w:pPr>
              <w:rPr>
                <w:rFonts w:ascii="宋体"/>
              </w:rPr>
            </w:pPr>
          </w:p>
        </w:tc>
        <w:tc>
          <w:tcPr>
            <w:tcW w:w="20" w:type="dxa"/>
            <w:shd w:val="clear" w:color="auto" w:fill="auto"/>
          </w:tcPr>
          <w:p w14:paraId="5C7C5198" w14:textId="77777777" w:rsidR="0008009C" w:rsidRDefault="0008009C">
            <w:pPr>
              <w:rPr>
                <w:rFonts w:ascii="宋体"/>
              </w:rPr>
            </w:pPr>
          </w:p>
        </w:tc>
        <w:tc>
          <w:tcPr>
            <w:tcW w:w="1265" w:type="dxa"/>
            <w:shd w:val="clear" w:color="auto" w:fill="auto"/>
          </w:tcPr>
          <w:p w14:paraId="5C7C5199" w14:textId="77777777" w:rsidR="0008009C" w:rsidRDefault="0008009C">
            <w:pPr>
              <w:rPr>
                <w:rFonts w:ascii="宋体"/>
              </w:rPr>
            </w:pPr>
          </w:p>
        </w:tc>
        <w:tc>
          <w:tcPr>
            <w:tcW w:w="20" w:type="dxa"/>
            <w:shd w:val="clear" w:color="auto" w:fill="auto"/>
          </w:tcPr>
          <w:p w14:paraId="5C7C519A" w14:textId="77777777" w:rsidR="0008009C" w:rsidRDefault="0008009C">
            <w:pPr>
              <w:rPr>
                <w:rFonts w:ascii="宋体"/>
              </w:rPr>
            </w:pPr>
          </w:p>
        </w:tc>
        <w:tc>
          <w:tcPr>
            <w:tcW w:w="20" w:type="dxa"/>
            <w:shd w:val="clear" w:color="auto" w:fill="auto"/>
          </w:tcPr>
          <w:p w14:paraId="5C7C519B" w14:textId="77777777" w:rsidR="0008009C" w:rsidRDefault="0008009C">
            <w:pPr>
              <w:rPr>
                <w:rFonts w:ascii="宋体"/>
              </w:rPr>
            </w:pPr>
          </w:p>
        </w:tc>
        <w:tc>
          <w:tcPr>
            <w:tcW w:w="35" w:type="dxa"/>
            <w:shd w:val="clear" w:color="auto" w:fill="auto"/>
          </w:tcPr>
          <w:p w14:paraId="5C7C519C" w14:textId="77777777" w:rsidR="0008009C" w:rsidRDefault="0008009C">
            <w:pPr>
              <w:rPr>
                <w:rFonts w:ascii="宋体"/>
              </w:rPr>
            </w:pPr>
          </w:p>
        </w:tc>
        <w:tc>
          <w:tcPr>
            <w:tcW w:w="20" w:type="dxa"/>
            <w:shd w:val="clear" w:color="auto" w:fill="auto"/>
          </w:tcPr>
          <w:p w14:paraId="5C7C519D" w14:textId="77777777" w:rsidR="0008009C" w:rsidRDefault="0008009C">
            <w:pPr>
              <w:rPr>
                <w:rFonts w:ascii="宋体"/>
              </w:rPr>
            </w:pPr>
          </w:p>
        </w:tc>
        <w:tc>
          <w:tcPr>
            <w:tcW w:w="20" w:type="dxa"/>
            <w:shd w:val="clear" w:color="auto" w:fill="auto"/>
          </w:tcPr>
          <w:p w14:paraId="5C7C519E" w14:textId="77777777" w:rsidR="0008009C" w:rsidRDefault="0008009C">
            <w:pPr>
              <w:rPr>
                <w:rFonts w:ascii="宋体"/>
              </w:rPr>
            </w:pPr>
          </w:p>
        </w:tc>
        <w:tc>
          <w:tcPr>
            <w:tcW w:w="1265" w:type="dxa"/>
            <w:shd w:val="clear" w:color="auto" w:fill="auto"/>
          </w:tcPr>
          <w:p w14:paraId="5C7C519F" w14:textId="77777777" w:rsidR="0008009C" w:rsidRDefault="0008009C">
            <w:pPr>
              <w:rPr>
                <w:rFonts w:ascii="宋体"/>
              </w:rPr>
            </w:pPr>
          </w:p>
        </w:tc>
        <w:tc>
          <w:tcPr>
            <w:tcW w:w="20" w:type="dxa"/>
            <w:shd w:val="clear" w:color="auto" w:fill="auto"/>
          </w:tcPr>
          <w:p w14:paraId="5C7C51A0" w14:textId="77777777" w:rsidR="0008009C" w:rsidRDefault="0008009C">
            <w:pPr>
              <w:rPr>
                <w:rFonts w:ascii="宋体"/>
              </w:rPr>
            </w:pPr>
          </w:p>
        </w:tc>
      </w:tr>
      <w:tr w:rsidR="0008009C" w14:paraId="5C7C51A9" w14:textId="77777777">
        <w:trPr>
          <w:trHeight w:val="60"/>
        </w:trPr>
        <w:tc>
          <w:tcPr>
            <w:tcW w:w="0" w:type="auto"/>
            <w:gridSpan w:val="9"/>
            <w:shd w:val="clear" w:color="auto" w:fill="004A86"/>
            <w:tcMar>
              <w:top w:w="0" w:type="dxa"/>
              <w:left w:w="20" w:type="dxa"/>
              <w:bottom w:w="0" w:type="dxa"/>
              <w:right w:w="20" w:type="dxa"/>
            </w:tcMar>
          </w:tcPr>
          <w:p w14:paraId="5C7C51A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1A3" w14:textId="77777777" w:rsidR="0008009C" w:rsidRDefault="0008009C">
            <w:pPr>
              <w:rPr>
                <w:rFonts w:ascii="宋体"/>
              </w:rPr>
            </w:pPr>
          </w:p>
        </w:tc>
        <w:tc>
          <w:tcPr>
            <w:tcW w:w="0" w:type="auto"/>
            <w:gridSpan w:val="9"/>
            <w:shd w:val="clear" w:color="auto" w:fill="0068B5"/>
            <w:tcMar>
              <w:top w:w="0" w:type="dxa"/>
              <w:left w:w="20" w:type="dxa"/>
              <w:bottom w:w="0" w:type="dxa"/>
              <w:right w:w="20" w:type="dxa"/>
            </w:tcMar>
          </w:tcPr>
          <w:p w14:paraId="5C7C51A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1A5" w14:textId="77777777" w:rsidR="0008009C" w:rsidRDefault="0008009C">
            <w:pPr>
              <w:rPr>
                <w:rFonts w:ascii="宋体"/>
              </w:rPr>
            </w:pPr>
          </w:p>
        </w:tc>
        <w:tc>
          <w:tcPr>
            <w:tcW w:w="0" w:type="auto"/>
            <w:gridSpan w:val="9"/>
            <w:shd w:val="clear" w:color="auto" w:fill="00A3F6"/>
            <w:tcMar>
              <w:top w:w="0" w:type="dxa"/>
              <w:left w:w="20" w:type="dxa"/>
              <w:bottom w:w="0" w:type="dxa"/>
              <w:right w:w="20" w:type="dxa"/>
            </w:tcMar>
          </w:tcPr>
          <w:p w14:paraId="5C7C51A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1A7" w14:textId="77777777" w:rsidR="0008009C" w:rsidRDefault="0008009C">
            <w:pPr>
              <w:rPr>
                <w:rFonts w:ascii="宋体"/>
              </w:rPr>
            </w:pPr>
          </w:p>
        </w:tc>
        <w:tc>
          <w:tcPr>
            <w:tcW w:w="0" w:type="auto"/>
            <w:gridSpan w:val="9"/>
            <w:shd w:val="clear" w:color="auto" w:fill="AEAEAE"/>
            <w:tcMar>
              <w:top w:w="0" w:type="dxa"/>
              <w:left w:w="20" w:type="dxa"/>
              <w:bottom w:w="0" w:type="dxa"/>
              <w:right w:w="20" w:type="dxa"/>
            </w:tcMar>
          </w:tcPr>
          <w:p w14:paraId="5C7C51A8" w14:textId="77777777" w:rsidR="0008009C" w:rsidRDefault="0008009C">
            <w:pPr>
              <w:rPr>
                <w:rFonts w:ascii="宋体"/>
              </w:rPr>
            </w:pPr>
          </w:p>
        </w:tc>
      </w:tr>
      <w:tr w:rsidR="0008009C" w14:paraId="5C7C51B9" w14:textId="77777777">
        <w:trPr>
          <w:trHeight w:val="400"/>
        </w:trPr>
        <w:tc>
          <w:tcPr>
            <w:tcW w:w="0" w:type="auto"/>
            <w:gridSpan w:val="3"/>
            <w:shd w:val="clear" w:color="auto" w:fill="auto"/>
            <w:tcMar>
              <w:top w:w="40" w:type="dxa"/>
              <w:left w:w="20" w:type="dxa"/>
              <w:bottom w:w="40" w:type="dxa"/>
              <w:right w:w="20" w:type="dxa"/>
            </w:tcMar>
          </w:tcPr>
          <w:p w14:paraId="5C7C51AA" w14:textId="77777777" w:rsidR="0008009C" w:rsidRDefault="00936FDF">
            <w:pPr>
              <w:textAlignment w:val="top"/>
            </w:pPr>
            <w:r>
              <w:rPr>
                <w:rFonts w:ascii="Arial" w:eastAsia="宋体" w:hAnsi="Arial" w:cs="Arial"/>
                <w:color w:val="004A86"/>
                <w:sz w:val="36"/>
                <w:szCs w:val="36"/>
              </w:rPr>
              <w:t>$19.7B</w:t>
            </w:r>
          </w:p>
        </w:tc>
        <w:tc>
          <w:tcPr>
            <w:tcW w:w="0" w:type="auto"/>
            <w:gridSpan w:val="3"/>
            <w:shd w:val="clear" w:color="auto" w:fill="auto"/>
            <w:tcMar>
              <w:top w:w="0" w:type="dxa"/>
              <w:left w:w="20" w:type="dxa"/>
              <w:bottom w:w="0" w:type="dxa"/>
              <w:right w:w="20" w:type="dxa"/>
            </w:tcMar>
          </w:tcPr>
          <w:p w14:paraId="5C7C51AB"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51AC" w14:textId="77777777" w:rsidR="0008009C" w:rsidRDefault="00936FDF">
            <w:pPr>
              <w:textAlignment w:val="top"/>
            </w:pPr>
            <w:r>
              <w:rPr>
                <w:rFonts w:ascii="Arial" w:eastAsia="宋体" w:hAnsi="Arial" w:cs="Arial"/>
                <w:color w:val="0068B5"/>
                <w:sz w:val="36"/>
                <w:szCs w:val="36"/>
              </w:rPr>
              <w:t>$18.6B</w:t>
            </w:r>
          </w:p>
        </w:tc>
        <w:tc>
          <w:tcPr>
            <w:tcW w:w="0" w:type="auto"/>
            <w:gridSpan w:val="3"/>
            <w:shd w:val="clear" w:color="auto" w:fill="auto"/>
            <w:tcMar>
              <w:top w:w="0" w:type="dxa"/>
              <w:left w:w="20" w:type="dxa"/>
              <w:bottom w:w="0" w:type="dxa"/>
              <w:right w:w="20" w:type="dxa"/>
            </w:tcMar>
          </w:tcPr>
          <w:p w14:paraId="5C7C51AD"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51AE" w14:textId="77777777" w:rsidR="0008009C" w:rsidRDefault="00936FDF">
            <w:pPr>
              <w:textAlignment w:val="top"/>
            </w:pPr>
            <w:r>
              <w:rPr>
                <w:rFonts w:ascii="Arial" w:eastAsia="宋体" w:hAnsi="Arial" w:cs="Arial"/>
                <w:color w:val="004A86"/>
                <w:sz w:val="36"/>
                <w:szCs w:val="36"/>
              </w:rPr>
              <w:t>$3.7B</w:t>
            </w:r>
          </w:p>
        </w:tc>
        <w:tc>
          <w:tcPr>
            <w:tcW w:w="0" w:type="auto"/>
            <w:gridSpan w:val="3"/>
            <w:shd w:val="clear" w:color="auto" w:fill="auto"/>
            <w:tcMar>
              <w:top w:w="0" w:type="dxa"/>
              <w:left w:w="20" w:type="dxa"/>
              <w:bottom w:w="0" w:type="dxa"/>
              <w:right w:w="20" w:type="dxa"/>
            </w:tcMar>
          </w:tcPr>
          <w:p w14:paraId="5C7C51A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51B0" w14:textId="77777777" w:rsidR="0008009C" w:rsidRDefault="00936FDF">
            <w:pPr>
              <w:textAlignment w:val="top"/>
            </w:pPr>
            <w:r>
              <w:rPr>
                <w:rFonts w:ascii="Arial" w:eastAsia="宋体" w:hAnsi="Arial" w:cs="Arial"/>
                <w:color w:val="0068B5"/>
                <w:sz w:val="36"/>
                <w:szCs w:val="36"/>
              </w:rPr>
              <w:t>$6.1B</w:t>
            </w:r>
          </w:p>
        </w:tc>
        <w:tc>
          <w:tcPr>
            <w:tcW w:w="0" w:type="auto"/>
            <w:gridSpan w:val="3"/>
            <w:shd w:val="clear" w:color="auto" w:fill="auto"/>
            <w:tcMar>
              <w:top w:w="0" w:type="dxa"/>
              <w:left w:w="20" w:type="dxa"/>
              <w:bottom w:w="0" w:type="dxa"/>
              <w:right w:w="20" w:type="dxa"/>
            </w:tcMar>
          </w:tcPr>
          <w:p w14:paraId="5C7C51B1"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51B2" w14:textId="77777777" w:rsidR="0008009C" w:rsidRDefault="00936FDF">
            <w:pPr>
              <w:textAlignment w:val="top"/>
            </w:pPr>
            <w:r>
              <w:rPr>
                <w:rFonts w:ascii="Arial" w:eastAsia="宋体" w:hAnsi="Arial" w:cs="Arial"/>
                <w:color w:val="004A86"/>
                <w:sz w:val="36"/>
                <w:szCs w:val="36"/>
              </w:rPr>
              <w:t>$0.82</w:t>
            </w:r>
          </w:p>
        </w:tc>
        <w:tc>
          <w:tcPr>
            <w:tcW w:w="0" w:type="auto"/>
            <w:gridSpan w:val="3"/>
            <w:shd w:val="clear" w:color="auto" w:fill="auto"/>
            <w:tcMar>
              <w:top w:w="0" w:type="dxa"/>
              <w:left w:w="20" w:type="dxa"/>
              <w:bottom w:w="0" w:type="dxa"/>
              <w:right w:w="20" w:type="dxa"/>
            </w:tcMar>
          </w:tcPr>
          <w:p w14:paraId="5C7C51B3"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51B4" w14:textId="77777777" w:rsidR="0008009C" w:rsidRDefault="00936FDF">
            <w:pPr>
              <w:textAlignment w:val="top"/>
            </w:pPr>
            <w:r>
              <w:rPr>
                <w:rFonts w:ascii="Arial" w:eastAsia="宋体" w:hAnsi="Arial" w:cs="Arial"/>
                <w:color w:val="0068B5"/>
                <w:sz w:val="36"/>
                <w:szCs w:val="36"/>
              </w:rPr>
              <w:t>$1.39</w:t>
            </w:r>
          </w:p>
        </w:tc>
        <w:tc>
          <w:tcPr>
            <w:tcW w:w="0" w:type="auto"/>
            <w:gridSpan w:val="3"/>
            <w:shd w:val="clear" w:color="auto" w:fill="auto"/>
            <w:tcMar>
              <w:top w:w="0" w:type="dxa"/>
              <w:left w:w="20" w:type="dxa"/>
              <w:bottom w:w="0" w:type="dxa"/>
              <w:right w:w="20" w:type="dxa"/>
            </w:tcMar>
          </w:tcPr>
          <w:p w14:paraId="5C7C51B5"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51B6" w14:textId="77777777" w:rsidR="0008009C" w:rsidRDefault="00936FDF">
            <w:pPr>
              <w:textAlignment w:val="top"/>
            </w:pPr>
            <w:r>
              <w:rPr>
                <w:rFonts w:ascii="Arial" w:eastAsia="宋体" w:hAnsi="Arial" w:cs="Arial"/>
                <w:color w:val="004A86"/>
                <w:sz w:val="36"/>
                <w:szCs w:val="36"/>
              </w:rPr>
              <w:t>$5.5B</w:t>
            </w:r>
          </w:p>
        </w:tc>
        <w:tc>
          <w:tcPr>
            <w:tcW w:w="0" w:type="auto"/>
            <w:gridSpan w:val="3"/>
            <w:shd w:val="clear" w:color="auto" w:fill="auto"/>
            <w:tcMar>
              <w:top w:w="0" w:type="dxa"/>
              <w:left w:w="20" w:type="dxa"/>
              <w:bottom w:w="0" w:type="dxa"/>
              <w:right w:w="20" w:type="dxa"/>
            </w:tcMar>
          </w:tcPr>
          <w:p w14:paraId="5C7C51B7"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51B8" w14:textId="77777777" w:rsidR="0008009C" w:rsidRDefault="00936FDF">
            <w:pPr>
              <w:textAlignment w:val="top"/>
            </w:pPr>
            <w:r>
              <w:rPr>
                <w:rFonts w:ascii="Arial" w:eastAsia="宋体" w:hAnsi="Arial" w:cs="Arial"/>
                <w:color w:val="0068B5"/>
                <w:sz w:val="36"/>
                <w:szCs w:val="36"/>
              </w:rPr>
              <w:t>$1.6B</w:t>
            </w:r>
          </w:p>
        </w:tc>
      </w:tr>
      <w:tr w:rsidR="0008009C" w14:paraId="5C7C51C9" w14:textId="77777777">
        <w:trPr>
          <w:trHeight w:val="280"/>
        </w:trPr>
        <w:tc>
          <w:tcPr>
            <w:tcW w:w="0" w:type="auto"/>
            <w:gridSpan w:val="3"/>
            <w:shd w:val="clear" w:color="auto" w:fill="auto"/>
            <w:tcMar>
              <w:top w:w="40" w:type="dxa"/>
              <w:left w:w="20" w:type="dxa"/>
              <w:bottom w:w="40" w:type="dxa"/>
              <w:right w:w="20" w:type="dxa"/>
            </w:tcMar>
            <w:vAlign w:val="bottom"/>
          </w:tcPr>
          <w:p w14:paraId="5C7C51BA" w14:textId="77777777" w:rsidR="0008009C" w:rsidRDefault="00936FDF">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tcPr>
          <w:p w14:paraId="5C7C51BB"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51BC" w14:textId="77777777" w:rsidR="0008009C" w:rsidRDefault="00936FDF">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tcPr>
          <w:p w14:paraId="5C7C51BD"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51BE" w14:textId="77777777" w:rsidR="0008009C" w:rsidRDefault="00936FDF">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tcPr>
          <w:p w14:paraId="5C7C51B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51C0" w14:textId="77777777" w:rsidR="0008009C" w:rsidRDefault="00936FDF">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tcPr>
          <w:p w14:paraId="5C7C51C1"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51C2" w14:textId="77777777" w:rsidR="0008009C" w:rsidRDefault="00936FDF">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tcPr>
          <w:p w14:paraId="5C7C51C3"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51C4" w14:textId="77777777" w:rsidR="0008009C" w:rsidRDefault="00936FDF">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tcPr>
          <w:p w14:paraId="5C7C51C5"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51C6" w14:textId="77777777" w:rsidR="0008009C" w:rsidRDefault="00936FDF">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tcPr>
          <w:p w14:paraId="5C7C51C7"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51C8" w14:textId="77777777" w:rsidR="0008009C" w:rsidRDefault="00936FDF">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r>
      <w:tr w:rsidR="0008009C" w14:paraId="5C7C51D9" w14:textId="77777777">
        <w:trPr>
          <w:trHeight w:val="1380"/>
        </w:trPr>
        <w:tc>
          <w:tcPr>
            <w:tcW w:w="0" w:type="auto"/>
            <w:gridSpan w:val="3"/>
            <w:tcBorders>
              <w:top w:val="single" w:sz="8" w:space="0" w:color="004A86"/>
            </w:tcBorders>
            <w:shd w:val="clear" w:color="auto" w:fill="auto"/>
            <w:tcMar>
              <w:top w:w="40" w:type="dxa"/>
              <w:left w:w="20" w:type="dxa"/>
              <w:bottom w:w="40" w:type="dxa"/>
              <w:right w:w="20" w:type="dxa"/>
            </w:tcMar>
          </w:tcPr>
          <w:p w14:paraId="5C7C51CA" w14:textId="77777777" w:rsidR="0008009C" w:rsidRDefault="00936FDF">
            <w:pPr>
              <w:textAlignment w:val="top"/>
            </w:pPr>
            <w:r>
              <w:rPr>
                <w:rFonts w:ascii="Arial" w:eastAsia="宋体" w:hAnsi="Arial" w:cs="Arial"/>
                <w:color w:val="262626"/>
                <w:sz w:val="16"/>
                <w:szCs w:val="16"/>
              </w:rPr>
              <w:t>Revenue down $155M or 1% from Q1 2020</w:t>
            </w:r>
          </w:p>
        </w:tc>
        <w:tc>
          <w:tcPr>
            <w:tcW w:w="0" w:type="auto"/>
            <w:gridSpan w:val="3"/>
            <w:shd w:val="clear" w:color="auto" w:fill="auto"/>
            <w:tcMar>
              <w:top w:w="0" w:type="dxa"/>
              <w:left w:w="20" w:type="dxa"/>
              <w:bottom w:w="0" w:type="dxa"/>
              <w:right w:w="20" w:type="dxa"/>
            </w:tcMar>
          </w:tcPr>
          <w:p w14:paraId="5C7C51CB" w14:textId="77777777" w:rsidR="0008009C" w:rsidRDefault="0008009C">
            <w:pPr>
              <w:rPr>
                <w:rFonts w:ascii="宋体"/>
              </w:rPr>
            </w:pPr>
          </w:p>
        </w:tc>
        <w:tc>
          <w:tcPr>
            <w:tcW w:w="0" w:type="auto"/>
            <w:gridSpan w:val="3"/>
            <w:tcBorders>
              <w:top w:val="single" w:sz="8" w:space="0" w:color="004A86"/>
            </w:tcBorders>
            <w:shd w:val="clear" w:color="auto" w:fill="auto"/>
            <w:tcMar>
              <w:top w:w="40" w:type="dxa"/>
              <w:left w:w="20" w:type="dxa"/>
              <w:bottom w:w="40" w:type="dxa"/>
              <w:right w:w="20" w:type="dxa"/>
            </w:tcMar>
          </w:tcPr>
          <w:p w14:paraId="5C7C51CC" w14:textId="77777777" w:rsidR="0008009C" w:rsidRDefault="00936FDF">
            <w:pPr>
              <w:textAlignment w:val="top"/>
            </w:pPr>
            <w:r>
              <w:rPr>
                <w:rFonts w:ascii="Arial" w:eastAsia="宋体" w:hAnsi="Arial" w:cs="Arial"/>
                <w:color w:val="262626"/>
                <w:sz w:val="16"/>
                <w:szCs w:val="16"/>
              </w:rPr>
              <w:t>Revenue flat from Q1 2020</w:t>
            </w:r>
          </w:p>
        </w:tc>
        <w:tc>
          <w:tcPr>
            <w:tcW w:w="0" w:type="auto"/>
            <w:gridSpan w:val="3"/>
            <w:shd w:val="clear" w:color="auto" w:fill="auto"/>
            <w:tcMar>
              <w:top w:w="0" w:type="dxa"/>
              <w:left w:w="20" w:type="dxa"/>
              <w:bottom w:w="0" w:type="dxa"/>
              <w:right w:w="20" w:type="dxa"/>
            </w:tcMar>
          </w:tcPr>
          <w:p w14:paraId="5C7C51CD"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5C7C51CE" w14:textId="77777777" w:rsidR="0008009C" w:rsidRDefault="00936FDF">
            <w:pPr>
              <w:textAlignment w:val="top"/>
            </w:pPr>
            <w:r>
              <w:rPr>
                <w:rFonts w:ascii="Arial" w:eastAsia="宋体" w:hAnsi="Arial" w:cs="Arial"/>
                <w:color w:val="262626"/>
                <w:sz w:val="16"/>
                <w:szCs w:val="16"/>
              </w:rPr>
              <w:t>Operating income down $3.3B or 48% from Q1 2020; Q1 2021 operating margin at 19%</w:t>
            </w:r>
          </w:p>
        </w:tc>
        <w:tc>
          <w:tcPr>
            <w:tcW w:w="0" w:type="auto"/>
            <w:gridSpan w:val="3"/>
            <w:shd w:val="clear" w:color="auto" w:fill="auto"/>
            <w:tcMar>
              <w:top w:w="0" w:type="dxa"/>
              <w:left w:w="20" w:type="dxa"/>
              <w:bottom w:w="0" w:type="dxa"/>
              <w:right w:w="20" w:type="dxa"/>
            </w:tcMar>
          </w:tcPr>
          <w:p w14:paraId="5C7C51CF"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5C7C51D0" w14:textId="77777777" w:rsidR="0008009C" w:rsidRDefault="00936FDF">
            <w:pPr>
              <w:textAlignment w:val="top"/>
            </w:pPr>
            <w:r>
              <w:rPr>
                <w:rFonts w:ascii="Arial" w:eastAsia="宋体" w:hAnsi="Arial" w:cs="Arial"/>
                <w:color w:val="262626"/>
                <w:sz w:val="16"/>
                <w:szCs w:val="16"/>
              </w:rPr>
              <w:t xml:space="preserve">Operating income down $1.3B or 17% from Q1 </w:t>
            </w:r>
            <w:r>
              <w:rPr>
                <w:rFonts w:ascii="Arial" w:eastAsia="宋体" w:hAnsi="Arial" w:cs="Arial"/>
                <w:color w:val="262626"/>
                <w:sz w:val="16"/>
                <w:szCs w:val="16"/>
              </w:rPr>
              <w:t>2020; Q1 2021 operating margin at 33%</w:t>
            </w:r>
          </w:p>
        </w:tc>
        <w:tc>
          <w:tcPr>
            <w:tcW w:w="0" w:type="auto"/>
            <w:gridSpan w:val="3"/>
            <w:shd w:val="clear" w:color="auto" w:fill="auto"/>
            <w:tcMar>
              <w:top w:w="0" w:type="dxa"/>
              <w:left w:w="20" w:type="dxa"/>
              <w:bottom w:w="0" w:type="dxa"/>
              <w:right w:w="20" w:type="dxa"/>
            </w:tcMar>
          </w:tcPr>
          <w:p w14:paraId="5C7C51D1" w14:textId="77777777" w:rsidR="0008009C" w:rsidRDefault="0008009C">
            <w:pPr>
              <w:rPr>
                <w:rFonts w:ascii="宋体"/>
              </w:rPr>
            </w:pPr>
          </w:p>
        </w:tc>
        <w:tc>
          <w:tcPr>
            <w:tcW w:w="0" w:type="auto"/>
            <w:gridSpan w:val="3"/>
            <w:tcBorders>
              <w:top w:val="single" w:sz="8" w:space="0" w:color="00A3F6"/>
            </w:tcBorders>
            <w:shd w:val="clear" w:color="auto" w:fill="auto"/>
            <w:tcMar>
              <w:top w:w="40" w:type="dxa"/>
              <w:left w:w="20" w:type="dxa"/>
              <w:bottom w:w="40" w:type="dxa"/>
              <w:right w:w="20" w:type="dxa"/>
            </w:tcMar>
          </w:tcPr>
          <w:p w14:paraId="5C7C51D2" w14:textId="77777777" w:rsidR="0008009C" w:rsidRDefault="00936FDF">
            <w:pPr>
              <w:textAlignment w:val="top"/>
            </w:pPr>
            <w:r>
              <w:rPr>
                <w:rFonts w:ascii="Arial" w:eastAsia="宋体" w:hAnsi="Arial" w:cs="Arial"/>
                <w:color w:val="262626"/>
                <w:sz w:val="16"/>
                <w:szCs w:val="16"/>
              </w:rPr>
              <w:t>Diluted EPS down $0.49 or 37% from Q1 2020</w:t>
            </w:r>
          </w:p>
        </w:tc>
        <w:tc>
          <w:tcPr>
            <w:tcW w:w="0" w:type="auto"/>
            <w:gridSpan w:val="3"/>
            <w:shd w:val="clear" w:color="auto" w:fill="auto"/>
            <w:tcMar>
              <w:top w:w="0" w:type="dxa"/>
              <w:left w:w="20" w:type="dxa"/>
              <w:bottom w:w="0" w:type="dxa"/>
              <w:right w:w="20" w:type="dxa"/>
            </w:tcMar>
          </w:tcPr>
          <w:p w14:paraId="5C7C51D3" w14:textId="77777777" w:rsidR="0008009C" w:rsidRDefault="0008009C">
            <w:pPr>
              <w:rPr>
                <w:rFonts w:ascii="宋体"/>
              </w:rPr>
            </w:pPr>
          </w:p>
        </w:tc>
        <w:tc>
          <w:tcPr>
            <w:tcW w:w="0" w:type="auto"/>
            <w:gridSpan w:val="3"/>
            <w:tcBorders>
              <w:top w:val="single" w:sz="8" w:space="0" w:color="00A3F6"/>
            </w:tcBorders>
            <w:shd w:val="clear" w:color="auto" w:fill="auto"/>
            <w:tcMar>
              <w:top w:w="40" w:type="dxa"/>
              <w:left w:w="20" w:type="dxa"/>
              <w:bottom w:w="40" w:type="dxa"/>
              <w:right w:w="20" w:type="dxa"/>
            </w:tcMar>
          </w:tcPr>
          <w:p w14:paraId="5C7C51D4" w14:textId="77777777" w:rsidR="0008009C" w:rsidRDefault="00936FDF">
            <w:pPr>
              <w:textAlignment w:val="top"/>
            </w:pPr>
            <w:r>
              <w:rPr>
                <w:rFonts w:ascii="Arial" w:eastAsia="宋体" w:hAnsi="Arial" w:cs="Arial"/>
                <w:color w:val="262626"/>
                <w:sz w:val="16"/>
                <w:szCs w:val="16"/>
              </w:rPr>
              <w:t>Diluted EPS down $0.02 or 1% from Q1 2020</w:t>
            </w:r>
          </w:p>
        </w:tc>
        <w:tc>
          <w:tcPr>
            <w:tcW w:w="0" w:type="auto"/>
            <w:gridSpan w:val="3"/>
            <w:shd w:val="clear" w:color="auto" w:fill="auto"/>
            <w:tcMar>
              <w:top w:w="0" w:type="dxa"/>
              <w:left w:w="20" w:type="dxa"/>
              <w:bottom w:w="0" w:type="dxa"/>
              <w:right w:w="20" w:type="dxa"/>
            </w:tcMar>
          </w:tcPr>
          <w:p w14:paraId="5C7C51D5" w14:textId="77777777" w:rsidR="0008009C" w:rsidRDefault="0008009C">
            <w:pPr>
              <w:rPr>
                <w:rFonts w:ascii="宋体"/>
              </w:rPr>
            </w:pPr>
          </w:p>
        </w:tc>
        <w:tc>
          <w:tcPr>
            <w:tcW w:w="0" w:type="auto"/>
            <w:gridSpan w:val="3"/>
            <w:tcBorders>
              <w:top w:val="single" w:sz="8" w:space="0" w:color="AEAEAE"/>
            </w:tcBorders>
            <w:shd w:val="clear" w:color="auto" w:fill="auto"/>
            <w:tcMar>
              <w:top w:w="40" w:type="dxa"/>
              <w:left w:w="20" w:type="dxa"/>
              <w:bottom w:w="40" w:type="dxa"/>
              <w:right w:w="20" w:type="dxa"/>
            </w:tcMar>
          </w:tcPr>
          <w:p w14:paraId="5C7C51D6" w14:textId="77777777" w:rsidR="0008009C" w:rsidRDefault="00936FDF">
            <w:pPr>
              <w:textAlignment w:val="top"/>
            </w:pPr>
            <w:r>
              <w:rPr>
                <w:rFonts w:ascii="Arial" w:eastAsia="宋体" w:hAnsi="Arial" w:cs="Arial"/>
                <w:color w:val="262626"/>
                <w:sz w:val="16"/>
                <w:szCs w:val="16"/>
              </w:rPr>
              <w:t>Operating cash flow down $610M or 10% from Q1 2020</w:t>
            </w:r>
          </w:p>
        </w:tc>
        <w:tc>
          <w:tcPr>
            <w:tcW w:w="0" w:type="auto"/>
            <w:gridSpan w:val="3"/>
            <w:shd w:val="clear" w:color="auto" w:fill="auto"/>
            <w:tcMar>
              <w:top w:w="0" w:type="dxa"/>
              <w:left w:w="20" w:type="dxa"/>
              <w:bottom w:w="0" w:type="dxa"/>
              <w:right w:w="20" w:type="dxa"/>
            </w:tcMar>
          </w:tcPr>
          <w:p w14:paraId="5C7C51D7" w14:textId="77777777" w:rsidR="0008009C" w:rsidRDefault="0008009C">
            <w:pPr>
              <w:rPr>
                <w:rFonts w:ascii="宋体"/>
              </w:rPr>
            </w:pPr>
          </w:p>
        </w:tc>
        <w:tc>
          <w:tcPr>
            <w:tcW w:w="0" w:type="auto"/>
            <w:gridSpan w:val="3"/>
            <w:tcBorders>
              <w:top w:val="single" w:sz="8" w:space="0" w:color="AEAEAE"/>
            </w:tcBorders>
            <w:shd w:val="clear" w:color="auto" w:fill="auto"/>
            <w:tcMar>
              <w:top w:w="40" w:type="dxa"/>
              <w:left w:w="20" w:type="dxa"/>
              <w:bottom w:w="40" w:type="dxa"/>
              <w:right w:w="20" w:type="dxa"/>
            </w:tcMar>
          </w:tcPr>
          <w:p w14:paraId="5C7C51D8" w14:textId="77777777" w:rsidR="0008009C" w:rsidRDefault="00936FDF">
            <w:pPr>
              <w:textAlignment w:val="top"/>
            </w:pPr>
            <w:r>
              <w:rPr>
                <w:rFonts w:ascii="Arial" w:eastAsia="宋体" w:hAnsi="Arial" w:cs="Arial"/>
                <w:color w:val="262626"/>
                <w:sz w:val="16"/>
                <w:szCs w:val="16"/>
              </w:rPr>
              <w:t>Free cash flow down $1.3B or 45% from Q1 2020</w:t>
            </w:r>
          </w:p>
        </w:tc>
      </w:tr>
      <w:tr w:rsidR="0008009C" w14:paraId="5C7C51E7" w14:textId="77777777">
        <w:trPr>
          <w:trHeight w:val="60"/>
        </w:trPr>
        <w:tc>
          <w:tcPr>
            <w:tcW w:w="0" w:type="auto"/>
            <w:gridSpan w:val="9"/>
            <w:shd w:val="clear" w:color="auto" w:fill="auto"/>
            <w:tcMar>
              <w:top w:w="0" w:type="dxa"/>
              <w:left w:w="20" w:type="dxa"/>
              <w:bottom w:w="0" w:type="dxa"/>
              <w:right w:w="20" w:type="dxa"/>
            </w:tcMar>
          </w:tcPr>
          <w:p w14:paraId="5C7C51D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1D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1D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1D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1D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1D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1E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1E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1E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1E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1E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1E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1E6" w14:textId="77777777" w:rsidR="0008009C" w:rsidRDefault="0008009C">
            <w:pPr>
              <w:rPr>
                <w:rFonts w:ascii="宋体"/>
              </w:rPr>
            </w:pPr>
          </w:p>
        </w:tc>
      </w:tr>
      <w:tr w:rsidR="0008009C" w14:paraId="5C7C51EF" w14:textId="77777777">
        <w:trPr>
          <w:trHeight w:val="2380"/>
        </w:trPr>
        <w:tc>
          <w:tcPr>
            <w:tcW w:w="0" w:type="auto"/>
            <w:gridSpan w:val="9"/>
            <w:shd w:val="clear" w:color="auto" w:fill="auto"/>
            <w:tcMar>
              <w:top w:w="40" w:type="dxa"/>
              <w:left w:w="20" w:type="dxa"/>
              <w:bottom w:w="40" w:type="dxa"/>
              <w:right w:w="20" w:type="dxa"/>
            </w:tcMar>
          </w:tcPr>
          <w:p w14:paraId="5C7C51E8" w14:textId="77777777" w:rsidR="0008009C" w:rsidRDefault="00936FDF">
            <w:pPr>
              <w:textAlignment w:val="top"/>
            </w:pPr>
            <w:r>
              <w:rPr>
                <w:rFonts w:ascii="Arial" w:eastAsia="宋体" w:hAnsi="Arial" w:cs="Arial"/>
                <w:color w:val="262626"/>
                <w:sz w:val="16"/>
                <w:szCs w:val="16"/>
              </w:rPr>
              <w:t xml:space="preserve">Decline in DCG and slight decline in NSG, partially offset by growth in CCG and Corporate revenue of $584 million from a prepaid supply agreement. Non-GAAP results exclude NSG and </w:t>
            </w:r>
            <w:r>
              <w:rPr>
                <w:rFonts w:ascii="Arial" w:eastAsia="宋体" w:hAnsi="Arial" w:cs="Arial"/>
                <w:color w:val="262626"/>
                <w:sz w:val="16"/>
                <w:szCs w:val="16"/>
              </w:rPr>
              <w:t>were flat year over year.</w:t>
            </w:r>
          </w:p>
        </w:tc>
        <w:tc>
          <w:tcPr>
            <w:tcW w:w="0" w:type="auto"/>
            <w:gridSpan w:val="3"/>
            <w:shd w:val="clear" w:color="auto" w:fill="auto"/>
            <w:tcMar>
              <w:top w:w="0" w:type="dxa"/>
              <w:left w:w="20" w:type="dxa"/>
              <w:bottom w:w="0" w:type="dxa"/>
              <w:right w:w="20" w:type="dxa"/>
            </w:tcMar>
          </w:tcPr>
          <w:p w14:paraId="5C7C51E9"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tcPr>
          <w:p w14:paraId="5C7C51EA" w14:textId="77777777" w:rsidR="0008009C" w:rsidRDefault="00936FDF">
            <w:pPr>
              <w:textAlignment w:val="top"/>
            </w:pPr>
            <w:r>
              <w:rPr>
                <w:rFonts w:ascii="Arial" w:eastAsia="宋体" w:hAnsi="Arial" w:cs="Arial"/>
                <w:color w:val="262626"/>
                <w:sz w:val="16"/>
                <w:szCs w:val="16"/>
              </w:rPr>
              <w:t>Corporate charge of $2.2 billion related to the VLSI litigation, lower gross margin from lower platform</w:t>
            </w:r>
            <w:r>
              <w:rPr>
                <w:rFonts w:ascii="Arial" w:eastAsia="宋体" w:hAnsi="Arial" w:cs="Arial"/>
                <w:color w:val="262626"/>
                <w:sz w:val="10"/>
                <w:szCs w:val="10"/>
              </w:rPr>
              <w:t>2</w:t>
            </w:r>
            <w:r>
              <w:rPr>
                <w:rFonts w:ascii="Arial" w:eastAsia="宋体" w:hAnsi="Arial" w:cs="Arial"/>
                <w:color w:val="262626"/>
                <w:sz w:val="16"/>
                <w:szCs w:val="16"/>
              </w:rPr>
              <w:t xml:space="preserve"> revenue and higher platform unit cost from increased mix in 10nm products, and higher 7nm period charges partially offset by</w:t>
            </w:r>
            <w:r>
              <w:rPr>
                <w:rFonts w:ascii="Arial" w:eastAsia="宋体" w:hAnsi="Arial" w:cs="Arial"/>
                <w:color w:val="262626"/>
                <w:sz w:val="16"/>
                <w:szCs w:val="16"/>
              </w:rPr>
              <w:t xml:space="preserve"> Corporate revenue from a prepaid supply agreement and improved adjacent business performance. Non-GAAP results exclude the Corporate VLSI charge and NSG.</w:t>
            </w:r>
          </w:p>
        </w:tc>
        <w:tc>
          <w:tcPr>
            <w:tcW w:w="0" w:type="auto"/>
            <w:gridSpan w:val="3"/>
            <w:shd w:val="clear" w:color="auto" w:fill="auto"/>
            <w:tcMar>
              <w:top w:w="0" w:type="dxa"/>
              <w:left w:w="20" w:type="dxa"/>
              <w:bottom w:w="0" w:type="dxa"/>
              <w:right w:w="20" w:type="dxa"/>
            </w:tcMar>
          </w:tcPr>
          <w:p w14:paraId="5C7C51EB"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tcPr>
          <w:p w14:paraId="5C7C51EC" w14:textId="77777777" w:rsidR="0008009C" w:rsidRDefault="00936FDF">
            <w:pPr>
              <w:textAlignment w:val="top"/>
            </w:pPr>
            <w:r>
              <w:rPr>
                <w:rFonts w:ascii="Arial" w:eastAsia="宋体" w:hAnsi="Arial" w:cs="Arial"/>
                <w:color w:val="262626"/>
                <w:sz w:val="16"/>
                <w:szCs w:val="16"/>
              </w:rPr>
              <w:t>Lower operating income partially offset by equity investment gains, lower effective tax rate and low</w:t>
            </w:r>
            <w:r>
              <w:rPr>
                <w:rFonts w:ascii="Arial" w:eastAsia="宋体" w:hAnsi="Arial" w:cs="Arial"/>
                <w:color w:val="262626"/>
                <w:sz w:val="16"/>
                <w:szCs w:val="16"/>
              </w:rPr>
              <w:t>er shares. Non-GAAP results incrementally exclude ongoing mark-to-market adjustments and tax impacts of non-GAAP adjustments.</w:t>
            </w:r>
          </w:p>
        </w:tc>
        <w:tc>
          <w:tcPr>
            <w:tcW w:w="0" w:type="auto"/>
            <w:gridSpan w:val="3"/>
            <w:shd w:val="clear" w:color="auto" w:fill="auto"/>
            <w:tcMar>
              <w:top w:w="0" w:type="dxa"/>
              <w:left w:w="20" w:type="dxa"/>
              <w:bottom w:w="0" w:type="dxa"/>
              <w:right w:w="20" w:type="dxa"/>
            </w:tcMar>
          </w:tcPr>
          <w:p w14:paraId="5C7C51ED"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tcPr>
          <w:p w14:paraId="5C7C51EE" w14:textId="77777777" w:rsidR="0008009C" w:rsidRDefault="00936FDF">
            <w:pPr>
              <w:textAlignment w:val="top"/>
            </w:pPr>
            <w:r>
              <w:rPr>
                <w:rFonts w:ascii="Arial" w:eastAsia="宋体" w:hAnsi="Arial" w:cs="Arial"/>
                <w:color w:val="262626"/>
                <w:sz w:val="16"/>
                <w:szCs w:val="16"/>
              </w:rPr>
              <w:t>Lower net income, net of non-cash adjustments including the Corporate VLSI charge, and cash paid to settle a prepaid supply agree</w:t>
            </w:r>
            <w:r>
              <w:rPr>
                <w:rFonts w:ascii="Arial" w:eastAsia="宋体" w:hAnsi="Arial" w:cs="Arial"/>
                <w:color w:val="262626"/>
                <w:sz w:val="16"/>
                <w:szCs w:val="16"/>
              </w:rPr>
              <w:t>ment. Free cash flow decreased due to lower operating cash flow and higher capital spending.</w:t>
            </w:r>
          </w:p>
        </w:tc>
      </w:tr>
    </w:tbl>
    <w:p w14:paraId="5C7C51F0" w14:textId="77777777" w:rsidR="0008009C" w:rsidRDefault="0008009C">
      <w:pPr>
        <w:spacing w:before="60" w:after="180"/>
      </w:pPr>
    </w:p>
    <w:p w14:paraId="5C7C51F1" w14:textId="77777777" w:rsidR="0008009C" w:rsidRDefault="00936FDF">
      <w:pPr>
        <w:spacing w:after="120"/>
      </w:pPr>
      <w:r>
        <w:rPr>
          <w:rFonts w:ascii="Arial" w:eastAsia="宋体" w:hAnsi="Arial" w:cs="Arial"/>
          <w:color w:val="0068B5"/>
        </w:rPr>
        <w:t>Key Developments</w:t>
      </w:r>
    </w:p>
    <w:p w14:paraId="5C7C51F2" w14:textId="77777777" w:rsidR="0008009C" w:rsidRDefault="00936FDF">
      <w:pPr>
        <w:spacing w:before="180"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On March 23, 2021, our CEO Pat Gelsinger announced our "IDM 2.0" strategy, the next evolution of our IDM model. IDM 2.0 combines three </w:t>
      </w:r>
      <w:r>
        <w:rPr>
          <w:rFonts w:ascii="Arial" w:eastAsia="宋体" w:hAnsi="Arial" w:cs="Arial"/>
          <w:color w:val="262626"/>
          <w:sz w:val="18"/>
          <w:szCs w:val="18"/>
        </w:rPr>
        <w:t>factors. First, we will continue to build the majority of our products in Intel fabs. Second, we expect our use of third-party foundry capacity to grow and to include manufacturing for a range of modular tiles on advanced process technologies. Third, we an</w:t>
      </w:r>
      <w:r>
        <w:rPr>
          <w:rFonts w:ascii="Arial" w:eastAsia="宋体" w:hAnsi="Arial" w:cs="Arial"/>
          <w:color w:val="262626"/>
          <w:sz w:val="18"/>
          <w:szCs w:val="18"/>
        </w:rPr>
        <w:t xml:space="preserve">nounced our plans to build a world-class foundry business with Intel Foundry Services, which will combine leading-edge process and packaging technology, committed capacity in the U.S. and Europe, and a world-class IP portfolio for customers, including x86 </w:t>
      </w:r>
      <w:r>
        <w:rPr>
          <w:rFonts w:ascii="Arial" w:eastAsia="宋体" w:hAnsi="Arial" w:cs="Arial"/>
          <w:color w:val="262626"/>
          <w:sz w:val="18"/>
          <w:szCs w:val="18"/>
        </w:rPr>
        <w:t>cores. To accelerate our IDM 2.0 strategy, we announced plans to invest $20.0 billion to build two new fabs in Arizona.</w:t>
      </w:r>
    </w:p>
    <w:p w14:paraId="5C7C51F3" w14:textId="77777777" w:rsidR="0008009C" w:rsidRDefault="00936FDF">
      <w:pPr>
        <w:spacing w:before="180" w:after="120"/>
        <w:ind w:hanging="360"/>
      </w:pPr>
      <w:r>
        <w:rPr>
          <w:rFonts w:ascii="Arial" w:eastAsia="宋体" w:hAnsi="Arial" w:cs="Arial"/>
          <w:b/>
          <w:bCs/>
          <w:color w:val="0068B5"/>
          <w:sz w:val="18"/>
          <w:szCs w:val="18"/>
        </w:rPr>
        <w:t>▪</w:t>
      </w:r>
      <w:r>
        <w:rPr>
          <w:rFonts w:ascii="Arial" w:eastAsia="宋体" w:hAnsi="Arial" w:cs="Arial"/>
          <w:color w:val="262626"/>
          <w:sz w:val="18"/>
          <w:szCs w:val="18"/>
        </w:rPr>
        <w:t>We announced the 11th Gen Intel</w:t>
      </w:r>
      <w:r>
        <w:rPr>
          <w:rFonts w:ascii="Arial" w:eastAsia="宋体" w:hAnsi="Arial" w:cs="Arial"/>
          <w:color w:val="262626"/>
          <w:sz w:val="11"/>
          <w:szCs w:val="11"/>
        </w:rPr>
        <w:t>®</w:t>
      </w:r>
      <w:r>
        <w:rPr>
          <w:rFonts w:ascii="Arial" w:eastAsia="宋体" w:hAnsi="Arial" w:cs="Arial"/>
          <w:color w:val="262626"/>
          <w:sz w:val="18"/>
          <w:szCs w:val="18"/>
        </w:rPr>
        <w:t xml:space="preserve"> Core</w:t>
      </w:r>
      <w:r>
        <w:rPr>
          <w:rFonts w:ascii="Arial" w:eastAsia="宋体" w:hAnsi="Arial" w:cs="Arial"/>
          <w:color w:val="262626"/>
          <w:sz w:val="11"/>
          <w:szCs w:val="11"/>
        </w:rPr>
        <w:t>TM</w:t>
      </w:r>
      <w:r>
        <w:rPr>
          <w:rFonts w:ascii="Arial" w:eastAsia="宋体" w:hAnsi="Arial" w:cs="Arial"/>
          <w:color w:val="262626"/>
          <w:sz w:val="18"/>
          <w:szCs w:val="18"/>
        </w:rPr>
        <w:t xml:space="preserve"> vPro</w:t>
      </w:r>
      <w:r>
        <w:rPr>
          <w:rFonts w:ascii="Arial" w:eastAsia="宋体" w:hAnsi="Arial" w:cs="Arial"/>
          <w:color w:val="262626"/>
          <w:sz w:val="11"/>
          <w:szCs w:val="11"/>
        </w:rPr>
        <w:t xml:space="preserve">® </w:t>
      </w:r>
      <w:r>
        <w:rPr>
          <w:rFonts w:ascii="Arial" w:eastAsia="宋体" w:hAnsi="Arial" w:cs="Arial"/>
          <w:color w:val="262626"/>
          <w:sz w:val="18"/>
          <w:szCs w:val="18"/>
        </w:rPr>
        <w:t>processors, with performance, discrete-level graphics, and AI acceleration for productivi</w:t>
      </w:r>
      <w:r>
        <w:rPr>
          <w:rFonts w:ascii="Arial" w:eastAsia="宋体" w:hAnsi="Arial" w:cs="Arial"/>
          <w:color w:val="262626"/>
          <w:sz w:val="18"/>
          <w:szCs w:val="18"/>
        </w:rPr>
        <w:t>ty, collaboration, and content creation for business—meeting the demands of a varied workforce working remotely or in the office. We also launched the 11th Gen Intel</w:t>
      </w:r>
      <w:r>
        <w:rPr>
          <w:rFonts w:ascii="Arial" w:eastAsia="宋体" w:hAnsi="Arial" w:cs="Arial"/>
          <w:color w:val="262626"/>
          <w:sz w:val="11"/>
          <w:szCs w:val="11"/>
        </w:rPr>
        <w:t>®</w:t>
      </w:r>
      <w:r>
        <w:rPr>
          <w:rFonts w:ascii="Arial" w:eastAsia="宋体" w:hAnsi="Arial" w:cs="Arial"/>
          <w:color w:val="262626"/>
          <w:sz w:val="18"/>
          <w:szCs w:val="18"/>
        </w:rPr>
        <w:t xml:space="preserve"> Core</w:t>
      </w:r>
      <w:r>
        <w:rPr>
          <w:rFonts w:ascii="Arial" w:eastAsia="宋体" w:hAnsi="Arial" w:cs="Arial"/>
          <w:color w:val="262626"/>
          <w:sz w:val="11"/>
          <w:szCs w:val="11"/>
        </w:rPr>
        <w:t xml:space="preserve">TM </w:t>
      </w:r>
      <w:r>
        <w:rPr>
          <w:rFonts w:ascii="Arial" w:eastAsia="宋体" w:hAnsi="Arial" w:cs="Arial"/>
          <w:color w:val="262626"/>
          <w:sz w:val="18"/>
          <w:szCs w:val="18"/>
        </w:rPr>
        <w:t>S-series desktop processor, known as Rocket Lake-S, designed to transform hardware</w:t>
      </w:r>
      <w:r>
        <w:rPr>
          <w:rFonts w:ascii="Arial" w:eastAsia="宋体" w:hAnsi="Arial" w:cs="Arial"/>
          <w:color w:val="262626"/>
          <w:sz w:val="18"/>
          <w:szCs w:val="18"/>
        </w:rPr>
        <w:t xml:space="preserve"> and software efficiency and increase raw gaming performance. </w:t>
      </w:r>
    </w:p>
    <w:p w14:paraId="5C7C51F4" w14:textId="77777777" w:rsidR="0008009C" w:rsidRDefault="00936FDF">
      <w:r>
        <w:rPr>
          <w:rFonts w:ascii="Arial" w:eastAsia="宋体" w:hAnsi="Arial" w:cs="Arial"/>
          <w:i/>
          <w:iCs/>
          <w:color w:val="262626"/>
          <w:sz w:val="10"/>
          <w:szCs w:val="10"/>
        </w:rPr>
        <w:t xml:space="preserve">1 </w:t>
      </w:r>
      <w:r>
        <w:rPr>
          <w:rFonts w:ascii="Arial" w:eastAsia="宋体" w:hAnsi="Arial" w:cs="Arial"/>
          <w:i/>
          <w:iCs/>
          <w:color w:val="262626"/>
          <w:sz w:val="16"/>
          <w:szCs w:val="16"/>
        </w:rPr>
        <w:t>See "Non-GAAP Financial Measures" within MD&amp;A.</w:t>
      </w:r>
    </w:p>
    <w:p w14:paraId="5C7C51F5" w14:textId="77777777" w:rsidR="0008009C" w:rsidRDefault="00936FDF">
      <w:r>
        <w:rPr>
          <w:rFonts w:ascii="Arial" w:eastAsia="宋体" w:hAnsi="Arial" w:cs="Arial"/>
          <w:i/>
          <w:iCs/>
          <w:color w:val="262626"/>
          <w:sz w:val="10"/>
          <w:szCs w:val="10"/>
        </w:rPr>
        <w:t xml:space="preserve">2 </w:t>
      </w:r>
      <w:r>
        <w:rPr>
          <w:rFonts w:ascii="Arial" w:eastAsia="宋体" w:hAnsi="Arial" w:cs="Arial"/>
          <w:i/>
          <w:iCs/>
          <w:color w:val="262626"/>
          <w:sz w:val="16"/>
          <w:szCs w:val="16"/>
        </w:rPr>
        <w:t xml:space="preserve">See "Key Terms" within Consolidated Condensed Financial Statements and Supplemental Details. </w:t>
      </w:r>
    </w:p>
    <w:p w14:paraId="5C7C51F6" w14:textId="77777777" w:rsidR="0008009C" w:rsidRDefault="0008009C"/>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5"/>
        <w:gridCol w:w="36"/>
        <w:gridCol w:w="44"/>
        <w:gridCol w:w="3525"/>
        <w:gridCol w:w="36"/>
      </w:tblGrid>
      <w:tr w:rsidR="0008009C" w14:paraId="5C7C5200" w14:textId="77777777">
        <w:tc>
          <w:tcPr>
            <w:tcW w:w="50" w:type="pct"/>
            <w:shd w:val="clear" w:color="auto" w:fill="auto"/>
            <w:vAlign w:val="bottom"/>
          </w:tcPr>
          <w:p w14:paraId="5C7C51F7" w14:textId="77777777" w:rsidR="0008009C" w:rsidRDefault="0008009C">
            <w:pPr>
              <w:rPr>
                <w:rFonts w:ascii="宋体"/>
              </w:rPr>
            </w:pPr>
          </w:p>
        </w:tc>
        <w:tc>
          <w:tcPr>
            <w:tcW w:w="211" w:type="pct"/>
            <w:shd w:val="clear" w:color="auto" w:fill="auto"/>
            <w:vAlign w:val="bottom"/>
          </w:tcPr>
          <w:p w14:paraId="5C7C51F8" w14:textId="77777777" w:rsidR="0008009C" w:rsidRDefault="0008009C">
            <w:pPr>
              <w:rPr>
                <w:rFonts w:ascii="宋体"/>
              </w:rPr>
            </w:pPr>
          </w:p>
        </w:tc>
        <w:tc>
          <w:tcPr>
            <w:tcW w:w="5" w:type="pct"/>
            <w:shd w:val="clear" w:color="auto" w:fill="auto"/>
            <w:vAlign w:val="bottom"/>
          </w:tcPr>
          <w:p w14:paraId="5C7C51F9" w14:textId="77777777" w:rsidR="0008009C" w:rsidRDefault="0008009C">
            <w:pPr>
              <w:rPr>
                <w:rFonts w:ascii="宋体"/>
              </w:rPr>
            </w:pPr>
          </w:p>
        </w:tc>
        <w:tc>
          <w:tcPr>
            <w:tcW w:w="50" w:type="pct"/>
            <w:shd w:val="clear" w:color="auto" w:fill="auto"/>
            <w:vAlign w:val="bottom"/>
          </w:tcPr>
          <w:p w14:paraId="5C7C51FA" w14:textId="77777777" w:rsidR="0008009C" w:rsidRDefault="0008009C">
            <w:pPr>
              <w:rPr>
                <w:rFonts w:ascii="宋体"/>
              </w:rPr>
            </w:pPr>
          </w:p>
        </w:tc>
        <w:tc>
          <w:tcPr>
            <w:tcW w:w="2485" w:type="pct"/>
            <w:shd w:val="clear" w:color="auto" w:fill="auto"/>
            <w:vAlign w:val="bottom"/>
          </w:tcPr>
          <w:p w14:paraId="5C7C51FB" w14:textId="77777777" w:rsidR="0008009C" w:rsidRDefault="0008009C">
            <w:pPr>
              <w:rPr>
                <w:rFonts w:ascii="宋体"/>
              </w:rPr>
            </w:pPr>
          </w:p>
        </w:tc>
        <w:tc>
          <w:tcPr>
            <w:tcW w:w="5" w:type="pct"/>
            <w:shd w:val="clear" w:color="auto" w:fill="auto"/>
            <w:vAlign w:val="bottom"/>
          </w:tcPr>
          <w:p w14:paraId="5C7C51FC" w14:textId="77777777" w:rsidR="0008009C" w:rsidRDefault="0008009C">
            <w:pPr>
              <w:rPr>
                <w:rFonts w:ascii="宋体"/>
              </w:rPr>
            </w:pPr>
          </w:p>
        </w:tc>
        <w:tc>
          <w:tcPr>
            <w:tcW w:w="50" w:type="pct"/>
            <w:shd w:val="clear" w:color="auto" w:fill="auto"/>
            <w:vAlign w:val="bottom"/>
          </w:tcPr>
          <w:p w14:paraId="5C7C51FD" w14:textId="77777777" w:rsidR="0008009C" w:rsidRDefault="0008009C">
            <w:pPr>
              <w:rPr>
                <w:rFonts w:ascii="宋体"/>
              </w:rPr>
            </w:pPr>
          </w:p>
        </w:tc>
        <w:tc>
          <w:tcPr>
            <w:tcW w:w="2137" w:type="pct"/>
            <w:shd w:val="clear" w:color="auto" w:fill="auto"/>
            <w:vAlign w:val="bottom"/>
          </w:tcPr>
          <w:p w14:paraId="5C7C51FE" w14:textId="77777777" w:rsidR="0008009C" w:rsidRDefault="0008009C">
            <w:pPr>
              <w:rPr>
                <w:rFonts w:ascii="宋体"/>
              </w:rPr>
            </w:pPr>
          </w:p>
        </w:tc>
        <w:tc>
          <w:tcPr>
            <w:tcW w:w="5" w:type="pct"/>
            <w:shd w:val="clear" w:color="auto" w:fill="auto"/>
            <w:vAlign w:val="bottom"/>
          </w:tcPr>
          <w:p w14:paraId="5C7C51FF" w14:textId="77777777" w:rsidR="0008009C" w:rsidRDefault="0008009C">
            <w:pPr>
              <w:rPr>
                <w:rFonts w:ascii="宋体"/>
              </w:rPr>
            </w:pPr>
          </w:p>
        </w:tc>
      </w:tr>
      <w:tr w:rsidR="0008009C" w14:paraId="5C7C5204"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5201"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CF0" wp14:editId="5C7C7CF1">
                  <wp:extent cx="304800" cy="304800"/>
                  <wp:effectExtent l="0" t="0" r="0" b="0"/>
                  <wp:docPr id="7" name="图片 43"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202" w14:textId="77777777" w:rsidR="0008009C" w:rsidRDefault="00936FDF">
            <w:pPr>
              <w:textAlignment w:val="center"/>
            </w:pPr>
            <w:r>
              <w:rPr>
                <w:rFonts w:ascii="Arial" w:eastAsia="宋体" w:hAnsi="Arial" w:cs="Arial"/>
                <w:color w:val="262626"/>
                <w:sz w:val="16"/>
                <w:szCs w:val="16"/>
              </w:rPr>
              <w:t>A Quarter in Review</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203" w14:textId="77777777" w:rsidR="0008009C" w:rsidRDefault="00936FDF">
            <w:pPr>
              <w:jc w:val="right"/>
              <w:textAlignment w:val="center"/>
            </w:pPr>
            <w:r>
              <w:rPr>
                <w:rFonts w:ascii="Arial" w:eastAsia="宋体" w:hAnsi="Arial" w:cs="Arial"/>
                <w:color w:val="262626"/>
                <w:sz w:val="16"/>
                <w:szCs w:val="16"/>
              </w:rPr>
              <w:t>2</w:t>
            </w:r>
          </w:p>
        </w:tc>
      </w:tr>
    </w:tbl>
    <w:p w14:paraId="5C7C5205" w14:textId="77777777" w:rsidR="0008009C" w:rsidRDefault="00936FDF">
      <w:r>
        <w:pict w14:anchorId="5C7C7CF2">
          <v:rect id="_x0000_i1028" style="width:415.3pt;height:1.5pt" o:hralign="center" o:hrstd="t" o:hr="t" fillcolor="#a0a0a0" stroked="f"/>
        </w:pict>
      </w:r>
    </w:p>
    <w:p w14:paraId="5C7C5206" w14:textId="77777777" w:rsidR="0008009C" w:rsidRDefault="00936FDF">
      <w:pPr>
        <w:spacing w:after="180"/>
        <w:jc w:val="right"/>
      </w:pPr>
      <w:hyperlink r:id="rId28" w:anchor="i3a00378f6cc84b1c9cfc83239548ad53_7" w:history="1">
        <w:r>
          <w:rPr>
            <w:rStyle w:val="a5"/>
            <w:rFonts w:ascii="Arial" w:eastAsia="宋体" w:hAnsi="Arial" w:cs="Arial"/>
            <w:b/>
            <w:bCs/>
            <w:sz w:val="16"/>
            <w:szCs w:val="16"/>
          </w:rPr>
          <w:t>Table of Contents</w:t>
        </w:r>
      </w:hyperlink>
    </w:p>
    <w:p w14:paraId="5C7C5207" w14:textId="77777777" w:rsidR="0008009C" w:rsidRDefault="0008009C">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8009C" w14:paraId="5C7C520E" w14:textId="77777777">
        <w:tc>
          <w:tcPr>
            <w:tcW w:w="50" w:type="pct"/>
            <w:shd w:val="clear" w:color="auto" w:fill="auto"/>
          </w:tcPr>
          <w:p w14:paraId="5C7C5208" w14:textId="77777777" w:rsidR="0008009C" w:rsidRDefault="0008009C">
            <w:pPr>
              <w:rPr>
                <w:rFonts w:ascii="宋体"/>
              </w:rPr>
            </w:pPr>
          </w:p>
        </w:tc>
        <w:tc>
          <w:tcPr>
            <w:tcW w:w="4870" w:type="pct"/>
            <w:shd w:val="clear" w:color="auto" w:fill="auto"/>
          </w:tcPr>
          <w:p w14:paraId="5C7C5209" w14:textId="77777777" w:rsidR="0008009C" w:rsidRDefault="0008009C">
            <w:pPr>
              <w:rPr>
                <w:rFonts w:ascii="宋体"/>
              </w:rPr>
            </w:pPr>
          </w:p>
        </w:tc>
        <w:tc>
          <w:tcPr>
            <w:tcW w:w="5" w:type="pct"/>
            <w:shd w:val="clear" w:color="auto" w:fill="auto"/>
          </w:tcPr>
          <w:p w14:paraId="5C7C520A" w14:textId="77777777" w:rsidR="0008009C" w:rsidRDefault="0008009C">
            <w:pPr>
              <w:rPr>
                <w:rFonts w:ascii="宋体"/>
              </w:rPr>
            </w:pPr>
          </w:p>
        </w:tc>
        <w:tc>
          <w:tcPr>
            <w:tcW w:w="5" w:type="pct"/>
            <w:shd w:val="clear" w:color="auto" w:fill="auto"/>
          </w:tcPr>
          <w:p w14:paraId="5C7C520B" w14:textId="77777777" w:rsidR="0008009C" w:rsidRDefault="0008009C">
            <w:pPr>
              <w:rPr>
                <w:rFonts w:ascii="宋体"/>
              </w:rPr>
            </w:pPr>
          </w:p>
        </w:tc>
        <w:tc>
          <w:tcPr>
            <w:tcW w:w="64" w:type="pct"/>
            <w:shd w:val="clear" w:color="auto" w:fill="auto"/>
          </w:tcPr>
          <w:p w14:paraId="5C7C520C" w14:textId="77777777" w:rsidR="0008009C" w:rsidRDefault="0008009C">
            <w:pPr>
              <w:rPr>
                <w:rFonts w:ascii="宋体"/>
              </w:rPr>
            </w:pPr>
          </w:p>
        </w:tc>
        <w:tc>
          <w:tcPr>
            <w:tcW w:w="5" w:type="pct"/>
            <w:shd w:val="clear" w:color="auto" w:fill="auto"/>
          </w:tcPr>
          <w:p w14:paraId="5C7C520D" w14:textId="77777777" w:rsidR="0008009C" w:rsidRDefault="0008009C">
            <w:pPr>
              <w:rPr>
                <w:rFonts w:ascii="宋体"/>
              </w:rPr>
            </w:pPr>
          </w:p>
        </w:tc>
      </w:tr>
      <w:tr w:rsidR="0008009C" w14:paraId="5C7C5211" w14:textId="77777777">
        <w:tc>
          <w:tcPr>
            <w:tcW w:w="0" w:type="auto"/>
            <w:gridSpan w:val="3"/>
            <w:shd w:val="clear" w:color="auto" w:fill="004A86"/>
            <w:tcMar>
              <w:top w:w="40" w:type="dxa"/>
              <w:left w:w="20" w:type="dxa"/>
              <w:bottom w:w="40" w:type="dxa"/>
              <w:right w:w="20" w:type="dxa"/>
            </w:tcMar>
            <w:vAlign w:val="center"/>
          </w:tcPr>
          <w:p w14:paraId="5C7C520F" w14:textId="77777777" w:rsidR="0008009C" w:rsidRDefault="00936FDF">
            <w:pPr>
              <w:textAlignment w:val="center"/>
            </w:pPr>
            <w:r>
              <w:rPr>
                <w:rFonts w:ascii="Arial" w:eastAsia="宋体" w:hAnsi="Arial" w:cs="Arial"/>
                <w:color w:val="FFFFFF"/>
                <w:sz w:val="36"/>
                <w:szCs w:val="36"/>
              </w:rPr>
              <w:t>Consolidated Condensed Statements of Income</w:t>
            </w:r>
          </w:p>
        </w:tc>
        <w:tc>
          <w:tcPr>
            <w:tcW w:w="0" w:type="auto"/>
            <w:gridSpan w:val="3"/>
            <w:shd w:val="clear" w:color="auto" w:fill="auto"/>
            <w:tcMar>
              <w:top w:w="0" w:type="dxa"/>
              <w:left w:w="20" w:type="dxa"/>
              <w:bottom w:w="0" w:type="dxa"/>
              <w:right w:w="20" w:type="dxa"/>
            </w:tcMar>
          </w:tcPr>
          <w:p w14:paraId="5C7C5210" w14:textId="77777777" w:rsidR="0008009C" w:rsidRDefault="0008009C">
            <w:pPr>
              <w:rPr>
                <w:rFonts w:ascii="宋体"/>
              </w:rPr>
            </w:pPr>
          </w:p>
        </w:tc>
      </w:tr>
      <w:tr w:rsidR="0008009C" w14:paraId="5C7C5214" w14:textId="77777777">
        <w:trPr>
          <w:trHeight w:val="160"/>
        </w:trPr>
        <w:tc>
          <w:tcPr>
            <w:tcW w:w="0" w:type="auto"/>
            <w:gridSpan w:val="3"/>
            <w:shd w:val="clear" w:color="auto" w:fill="auto"/>
            <w:tcMar>
              <w:top w:w="0" w:type="dxa"/>
              <w:left w:w="20" w:type="dxa"/>
              <w:bottom w:w="0" w:type="dxa"/>
              <w:right w:w="20" w:type="dxa"/>
            </w:tcMar>
          </w:tcPr>
          <w:p w14:paraId="5C7C5212" w14:textId="77777777" w:rsidR="0008009C" w:rsidRDefault="0008009C">
            <w:pPr>
              <w:rPr>
                <w:rFonts w:ascii="宋体"/>
              </w:rPr>
            </w:pPr>
          </w:p>
        </w:tc>
        <w:tc>
          <w:tcPr>
            <w:tcW w:w="0" w:type="auto"/>
            <w:gridSpan w:val="3"/>
            <w:shd w:val="clear" w:color="auto" w:fill="00A3F6"/>
            <w:tcMar>
              <w:top w:w="0" w:type="dxa"/>
              <w:left w:w="20" w:type="dxa"/>
              <w:bottom w:w="0" w:type="dxa"/>
              <w:right w:w="20" w:type="dxa"/>
            </w:tcMar>
          </w:tcPr>
          <w:p w14:paraId="5C7C5213" w14:textId="77777777" w:rsidR="0008009C" w:rsidRDefault="0008009C">
            <w:pPr>
              <w:rPr>
                <w:rFonts w:ascii="宋体"/>
              </w:rPr>
            </w:pPr>
          </w:p>
        </w:tc>
      </w:tr>
    </w:tbl>
    <w:p w14:paraId="5C7C5215"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5884"/>
        <w:gridCol w:w="39"/>
        <w:gridCol w:w="36"/>
        <w:gridCol w:w="36"/>
        <w:gridCol w:w="36"/>
        <w:gridCol w:w="121"/>
        <w:gridCol w:w="777"/>
        <w:gridCol w:w="36"/>
        <w:gridCol w:w="36"/>
        <w:gridCol w:w="36"/>
        <w:gridCol w:w="36"/>
        <w:gridCol w:w="121"/>
        <w:gridCol w:w="777"/>
        <w:gridCol w:w="36"/>
        <w:gridCol w:w="36"/>
        <w:gridCol w:w="36"/>
        <w:gridCol w:w="36"/>
        <w:gridCol w:w="36"/>
        <w:gridCol w:w="36"/>
        <w:gridCol w:w="36"/>
        <w:gridCol w:w="36"/>
        <w:gridCol w:w="36"/>
      </w:tblGrid>
      <w:tr w:rsidR="0008009C" w14:paraId="5C7C5229" w14:textId="77777777">
        <w:tc>
          <w:tcPr>
            <w:tcW w:w="50" w:type="pct"/>
            <w:shd w:val="clear" w:color="auto" w:fill="auto"/>
          </w:tcPr>
          <w:p w14:paraId="5C7C5216" w14:textId="77777777" w:rsidR="0008009C" w:rsidRDefault="0008009C">
            <w:pPr>
              <w:rPr>
                <w:rFonts w:ascii="宋体"/>
              </w:rPr>
            </w:pPr>
          </w:p>
        </w:tc>
        <w:tc>
          <w:tcPr>
            <w:tcW w:w="3688" w:type="pct"/>
            <w:shd w:val="clear" w:color="auto" w:fill="auto"/>
          </w:tcPr>
          <w:p w14:paraId="5C7C5217" w14:textId="77777777" w:rsidR="0008009C" w:rsidRDefault="0008009C">
            <w:pPr>
              <w:rPr>
                <w:rFonts w:ascii="宋体"/>
              </w:rPr>
            </w:pPr>
          </w:p>
        </w:tc>
        <w:tc>
          <w:tcPr>
            <w:tcW w:w="5" w:type="pct"/>
            <w:shd w:val="clear" w:color="auto" w:fill="auto"/>
          </w:tcPr>
          <w:p w14:paraId="5C7C5218" w14:textId="77777777" w:rsidR="0008009C" w:rsidRDefault="0008009C">
            <w:pPr>
              <w:rPr>
                <w:rFonts w:ascii="宋体"/>
              </w:rPr>
            </w:pPr>
          </w:p>
        </w:tc>
        <w:tc>
          <w:tcPr>
            <w:tcW w:w="5" w:type="pct"/>
            <w:shd w:val="clear" w:color="auto" w:fill="auto"/>
          </w:tcPr>
          <w:p w14:paraId="5C7C5219" w14:textId="77777777" w:rsidR="0008009C" w:rsidRDefault="0008009C">
            <w:pPr>
              <w:rPr>
                <w:rFonts w:ascii="宋体"/>
              </w:rPr>
            </w:pPr>
          </w:p>
        </w:tc>
        <w:tc>
          <w:tcPr>
            <w:tcW w:w="24" w:type="pct"/>
            <w:shd w:val="clear" w:color="auto" w:fill="auto"/>
          </w:tcPr>
          <w:p w14:paraId="5C7C521A" w14:textId="77777777" w:rsidR="0008009C" w:rsidRDefault="0008009C">
            <w:pPr>
              <w:rPr>
                <w:rFonts w:ascii="宋体"/>
              </w:rPr>
            </w:pPr>
          </w:p>
        </w:tc>
        <w:tc>
          <w:tcPr>
            <w:tcW w:w="5" w:type="pct"/>
            <w:shd w:val="clear" w:color="auto" w:fill="auto"/>
          </w:tcPr>
          <w:p w14:paraId="5C7C521B" w14:textId="77777777" w:rsidR="0008009C" w:rsidRDefault="0008009C">
            <w:pPr>
              <w:rPr>
                <w:rFonts w:ascii="宋体"/>
              </w:rPr>
            </w:pPr>
          </w:p>
        </w:tc>
        <w:tc>
          <w:tcPr>
            <w:tcW w:w="50" w:type="pct"/>
            <w:shd w:val="clear" w:color="auto" w:fill="auto"/>
          </w:tcPr>
          <w:p w14:paraId="5C7C521C" w14:textId="77777777" w:rsidR="0008009C" w:rsidRDefault="0008009C">
            <w:pPr>
              <w:rPr>
                <w:rFonts w:ascii="宋体"/>
              </w:rPr>
            </w:pPr>
          </w:p>
        </w:tc>
        <w:tc>
          <w:tcPr>
            <w:tcW w:w="539" w:type="pct"/>
            <w:shd w:val="clear" w:color="auto" w:fill="auto"/>
          </w:tcPr>
          <w:p w14:paraId="5C7C521D" w14:textId="77777777" w:rsidR="0008009C" w:rsidRDefault="0008009C">
            <w:pPr>
              <w:rPr>
                <w:rFonts w:ascii="宋体"/>
              </w:rPr>
            </w:pPr>
          </w:p>
        </w:tc>
        <w:tc>
          <w:tcPr>
            <w:tcW w:w="5" w:type="pct"/>
            <w:shd w:val="clear" w:color="auto" w:fill="auto"/>
          </w:tcPr>
          <w:p w14:paraId="5C7C521E" w14:textId="77777777" w:rsidR="0008009C" w:rsidRDefault="0008009C">
            <w:pPr>
              <w:rPr>
                <w:rFonts w:ascii="宋体"/>
              </w:rPr>
            </w:pPr>
          </w:p>
        </w:tc>
        <w:tc>
          <w:tcPr>
            <w:tcW w:w="5" w:type="pct"/>
            <w:shd w:val="clear" w:color="auto" w:fill="auto"/>
          </w:tcPr>
          <w:p w14:paraId="5C7C521F" w14:textId="77777777" w:rsidR="0008009C" w:rsidRDefault="0008009C">
            <w:pPr>
              <w:rPr>
                <w:rFonts w:ascii="宋体"/>
              </w:rPr>
            </w:pPr>
          </w:p>
        </w:tc>
        <w:tc>
          <w:tcPr>
            <w:tcW w:w="24" w:type="pct"/>
            <w:shd w:val="clear" w:color="auto" w:fill="auto"/>
          </w:tcPr>
          <w:p w14:paraId="5C7C5220" w14:textId="77777777" w:rsidR="0008009C" w:rsidRDefault="0008009C">
            <w:pPr>
              <w:rPr>
                <w:rFonts w:ascii="宋体"/>
              </w:rPr>
            </w:pPr>
          </w:p>
        </w:tc>
        <w:tc>
          <w:tcPr>
            <w:tcW w:w="5" w:type="pct"/>
            <w:shd w:val="clear" w:color="auto" w:fill="auto"/>
          </w:tcPr>
          <w:p w14:paraId="5C7C5221" w14:textId="77777777" w:rsidR="0008009C" w:rsidRDefault="0008009C">
            <w:pPr>
              <w:rPr>
                <w:rFonts w:ascii="宋体"/>
              </w:rPr>
            </w:pPr>
          </w:p>
        </w:tc>
        <w:tc>
          <w:tcPr>
            <w:tcW w:w="50" w:type="pct"/>
            <w:shd w:val="clear" w:color="auto" w:fill="auto"/>
          </w:tcPr>
          <w:p w14:paraId="5C7C5222" w14:textId="77777777" w:rsidR="0008009C" w:rsidRDefault="0008009C">
            <w:pPr>
              <w:rPr>
                <w:rFonts w:ascii="宋体"/>
              </w:rPr>
            </w:pPr>
          </w:p>
        </w:tc>
        <w:tc>
          <w:tcPr>
            <w:tcW w:w="539" w:type="pct"/>
            <w:shd w:val="clear" w:color="auto" w:fill="auto"/>
          </w:tcPr>
          <w:p w14:paraId="5C7C5223" w14:textId="77777777" w:rsidR="0008009C" w:rsidRDefault="0008009C">
            <w:pPr>
              <w:rPr>
                <w:rFonts w:ascii="宋体"/>
              </w:rPr>
            </w:pPr>
          </w:p>
        </w:tc>
        <w:tc>
          <w:tcPr>
            <w:tcW w:w="5" w:type="pct"/>
            <w:shd w:val="clear" w:color="auto" w:fill="auto"/>
          </w:tcPr>
          <w:p w14:paraId="5C7C5224" w14:textId="77777777" w:rsidR="0008009C" w:rsidRDefault="0008009C">
            <w:pPr>
              <w:rPr>
                <w:rFonts w:ascii="宋体"/>
              </w:rPr>
            </w:pPr>
          </w:p>
        </w:tc>
        <w:tc>
          <w:tcPr>
            <w:tcW w:w="0" w:type="auto"/>
            <w:shd w:val="clear" w:color="auto" w:fill="auto"/>
          </w:tcPr>
          <w:p w14:paraId="5C7C5225" w14:textId="77777777" w:rsidR="0008009C" w:rsidRDefault="0008009C">
            <w:pPr>
              <w:rPr>
                <w:rFonts w:ascii="宋体"/>
                <w:vanish/>
              </w:rPr>
            </w:pPr>
          </w:p>
        </w:tc>
        <w:tc>
          <w:tcPr>
            <w:tcW w:w="0" w:type="auto"/>
            <w:shd w:val="clear" w:color="auto" w:fill="auto"/>
          </w:tcPr>
          <w:p w14:paraId="5C7C5226" w14:textId="77777777" w:rsidR="0008009C" w:rsidRDefault="0008009C">
            <w:pPr>
              <w:rPr>
                <w:rFonts w:ascii="宋体"/>
                <w:vanish/>
              </w:rPr>
            </w:pPr>
          </w:p>
        </w:tc>
        <w:tc>
          <w:tcPr>
            <w:tcW w:w="0" w:type="auto"/>
            <w:gridSpan w:val="3"/>
            <w:shd w:val="clear" w:color="auto" w:fill="auto"/>
          </w:tcPr>
          <w:p w14:paraId="5C7C5227" w14:textId="77777777" w:rsidR="0008009C" w:rsidRDefault="0008009C">
            <w:pPr>
              <w:rPr>
                <w:rFonts w:ascii="宋体"/>
                <w:vanish/>
              </w:rPr>
            </w:pPr>
          </w:p>
        </w:tc>
        <w:tc>
          <w:tcPr>
            <w:tcW w:w="0" w:type="auto"/>
            <w:gridSpan w:val="3"/>
            <w:shd w:val="clear" w:color="auto" w:fill="auto"/>
          </w:tcPr>
          <w:p w14:paraId="5C7C5228" w14:textId="77777777" w:rsidR="0008009C" w:rsidRDefault="0008009C">
            <w:pPr>
              <w:rPr>
                <w:rFonts w:ascii="宋体"/>
                <w:vanish/>
              </w:rPr>
            </w:pPr>
          </w:p>
        </w:tc>
      </w:tr>
      <w:tr w:rsidR="0008009C" w14:paraId="5C7C5235" w14:textId="77777777">
        <w:tc>
          <w:tcPr>
            <w:tcW w:w="0" w:type="auto"/>
            <w:gridSpan w:val="3"/>
            <w:shd w:val="clear" w:color="auto" w:fill="auto"/>
            <w:tcMar>
              <w:top w:w="40" w:type="dxa"/>
              <w:left w:w="560" w:type="dxa"/>
              <w:bottom w:w="40" w:type="dxa"/>
              <w:right w:w="20" w:type="dxa"/>
            </w:tcMar>
            <w:vAlign w:val="bottom"/>
          </w:tcPr>
          <w:p w14:paraId="5C7C522A" w14:textId="77777777" w:rsidR="0008009C" w:rsidRDefault="00936FDF">
            <w:pPr>
              <w:textAlignment w:val="bottom"/>
            </w:pPr>
            <w:r>
              <w:rPr>
                <w:rFonts w:ascii="Arial" w:eastAsia="宋体" w:hAnsi="Arial" w:cs="Arial"/>
                <w:color w:val="262626"/>
                <w:sz w:val="16"/>
                <w:szCs w:val="16"/>
              </w:rPr>
              <w:t> </w:t>
            </w:r>
          </w:p>
        </w:tc>
        <w:tc>
          <w:tcPr>
            <w:tcW w:w="0" w:type="auto"/>
            <w:gridSpan w:val="3"/>
            <w:shd w:val="clear" w:color="auto" w:fill="auto"/>
            <w:tcMar>
              <w:top w:w="0" w:type="dxa"/>
              <w:left w:w="20" w:type="dxa"/>
              <w:bottom w:w="0" w:type="dxa"/>
              <w:right w:w="20" w:type="dxa"/>
            </w:tcMar>
          </w:tcPr>
          <w:p w14:paraId="5C7C522B"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center"/>
          </w:tcPr>
          <w:p w14:paraId="5C7C522C" w14:textId="77777777" w:rsidR="0008009C" w:rsidRDefault="00936FDF">
            <w:pPr>
              <w:jc w:val="center"/>
              <w:textAlignment w:val="center"/>
            </w:pPr>
            <w:r>
              <w:rPr>
                <w:rFonts w:ascii="Arial" w:eastAsia="宋体" w:hAnsi="Arial" w:cs="Arial"/>
                <w:b/>
                <w:bCs/>
                <w:color w:val="262626"/>
                <w:sz w:val="18"/>
                <w:szCs w:val="18"/>
              </w:rPr>
              <w:t>Three Months Ended</w:t>
            </w:r>
          </w:p>
        </w:tc>
        <w:tc>
          <w:tcPr>
            <w:tcW w:w="0" w:type="auto"/>
            <w:shd w:val="clear" w:color="auto" w:fill="auto"/>
          </w:tcPr>
          <w:p w14:paraId="5C7C522D" w14:textId="77777777" w:rsidR="0008009C" w:rsidRDefault="0008009C">
            <w:pPr>
              <w:rPr>
                <w:rFonts w:ascii="宋体"/>
                <w:vanish/>
              </w:rPr>
            </w:pPr>
          </w:p>
        </w:tc>
        <w:tc>
          <w:tcPr>
            <w:tcW w:w="0" w:type="auto"/>
            <w:shd w:val="clear" w:color="auto" w:fill="auto"/>
          </w:tcPr>
          <w:p w14:paraId="5C7C522E" w14:textId="77777777" w:rsidR="0008009C" w:rsidRDefault="0008009C">
            <w:pPr>
              <w:rPr>
                <w:rFonts w:ascii="宋体"/>
                <w:vanish/>
              </w:rPr>
            </w:pPr>
          </w:p>
        </w:tc>
        <w:tc>
          <w:tcPr>
            <w:tcW w:w="0" w:type="auto"/>
            <w:shd w:val="clear" w:color="auto" w:fill="auto"/>
          </w:tcPr>
          <w:p w14:paraId="5C7C522F" w14:textId="77777777" w:rsidR="0008009C" w:rsidRDefault="0008009C">
            <w:pPr>
              <w:rPr>
                <w:rFonts w:ascii="宋体"/>
              </w:rPr>
            </w:pPr>
          </w:p>
        </w:tc>
        <w:tc>
          <w:tcPr>
            <w:tcW w:w="0" w:type="auto"/>
            <w:shd w:val="clear" w:color="auto" w:fill="auto"/>
          </w:tcPr>
          <w:p w14:paraId="5C7C5230" w14:textId="77777777" w:rsidR="0008009C" w:rsidRDefault="0008009C">
            <w:pPr>
              <w:rPr>
                <w:rFonts w:ascii="宋体"/>
              </w:rPr>
            </w:pPr>
          </w:p>
        </w:tc>
        <w:tc>
          <w:tcPr>
            <w:tcW w:w="0" w:type="auto"/>
            <w:shd w:val="clear" w:color="auto" w:fill="auto"/>
          </w:tcPr>
          <w:p w14:paraId="5C7C5231" w14:textId="77777777" w:rsidR="0008009C" w:rsidRDefault="0008009C">
            <w:pPr>
              <w:rPr>
                <w:rFonts w:ascii="宋体"/>
              </w:rPr>
            </w:pPr>
          </w:p>
        </w:tc>
        <w:tc>
          <w:tcPr>
            <w:tcW w:w="0" w:type="auto"/>
            <w:shd w:val="clear" w:color="auto" w:fill="auto"/>
          </w:tcPr>
          <w:p w14:paraId="5C7C5232" w14:textId="77777777" w:rsidR="0008009C" w:rsidRDefault="0008009C">
            <w:pPr>
              <w:rPr>
                <w:rFonts w:ascii="宋体"/>
              </w:rPr>
            </w:pPr>
          </w:p>
        </w:tc>
        <w:tc>
          <w:tcPr>
            <w:tcW w:w="0" w:type="auto"/>
            <w:shd w:val="clear" w:color="auto" w:fill="auto"/>
          </w:tcPr>
          <w:p w14:paraId="5C7C5233" w14:textId="77777777" w:rsidR="0008009C" w:rsidRDefault="0008009C">
            <w:pPr>
              <w:rPr>
                <w:rFonts w:ascii="宋体"/>
              </w:rPr>
            </w:pPr>
          </w:p>
        </w:tc>
        <w:tc>
          <w:tcPr>
            <w:tcW w:w="0" w:type="auto"/>
            <w:shd w:val="clear" w:color="auto" w:fill="auto"/>
          </w:tcPr>
          <w:p w14:paraId="5C7C5234" w14:textId="77777777" w:rsidR="0008009C" w:rsidRDefault="0008009C">
            <w:pPr>
              <w:rPr>
                <w:rFonts w:ascii="宋体"/>
              </w:rPr>
            </w:pPr>
          </w:p>
        </w:tc>
      </w:tr>
      <w:tr w:rsidR="0008009C" w14:paraId="5C7C523F" w14:textId="77777777">
        <w:tc>
          <w:tcPr>
            <w:tcW w:w="0" w:type="auto"/>
            <w:gridSpan w:val="3"/>
            <w:shd w:val="clear" w:color="auto" w:fill="auto"/>
            <w:tcMar>
              <w:top w:w="40" w:type="dxa"/>
              <w:left w:w="20" w:type="dxa"/>
              <w:bottom w:w="40" w:type="dxa"/>
              <w:right w:w="20" w:type="dxa"/>
            </w:tcMar>
            <w:vAlign w:val="bottom"/>
          </w:tcPr>
          <w:p w14:paraId="5C7C5236" w14:textId="77777777" w:rsidR="0008009C" w:rsidRDefault="00936FDF">
            <w:pPr>
              <w:ind w:hanging="180"/>
              <w:textAlignment w:val="bottom"/>
            </w:pPr>
            <w:r>
              <w:rPr>
                <w:rFonts w:ascii="Arial" w:eastAsia="宋体" w:hAnsi="Arial" w:cs="Arial"/>
                <w:b/>
                <w:bCs/>
                <w:color w:val="262626"/>
                <w:sz w:val="18"/>
                <w:szCs w:val="18"/>
              </w:rPr>
              <w:t>(In Millions, Except Per Share Amounts; Unaudited)</w:t>
            </w:r>
          </w:p>
        </w:tc>
        <w:tc>
          <w:tcPr>
            <w:tcW w:w="0" w:type="auto"/>
            <w:gridSpan w:val="3"/>
            <w:shd w:val="clear" w:color="auto" w:fill="auto"/>
            <w:tcMar>
              <w:top w:w="0" w:type="dxa"/>
              <w:left w:w="20" w:type="dxa"/>
              <w:bottom w:w="0" w:type="dxa"/>
              <w:right w:w="20" w:type="dxa"/>
            </w:tcMar>
          </w:tcPr>
          <w:p w14:paraId="5C7C5237"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238"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tcBorders>
              <w:top w:val="single" w:sz="8" w:space="0" w:color="0068B5"/>
            </w:tcBorders>
            <w:shd w:val="clear" w:color="auto" w:fill="auto"/>
            <w:tcMar>
              <w:top w:w="0" w:type="dxa"/>
              <w:left w:w="20" w:type="dxa"/>
              <w:bottom w:w="0" w:type="dxa"/>
              <w:right w:w="20" w:type="dxa"/>
            </w:tcMar>
          </w:tcPr>
          <w:p w14:paraId="5C7C5239"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23A" w14:textId="77777777" w:rsidR="0008009C" w:rsidRDefault="00936FDF">
            <w:pPr>
              <w:jc w:val="center"/>
              <w:textAlignment w:val="bottom"/>
            </w:pPr>
            <w:r>
              <w:rPr>
                <w:rFonts w:ascii="Arial" w:eastAsia="宋体" w:hAnsi="Arial" w:cs="Arial"/>
                <w:b/>
                <w:bCs/>
                <w:color w:val="262626"/>
                <w:sz w:val="18"/>
                <w:szCs w:val="18"/>
              </w:rPr>
              <w:t>Mar 28, 2020</w:t>
            </w:r>
          </w:p>
        </w:tc>
        <w:tc>
          <w:tcPr>
            <w:tcW w:w="0" w:type="auto"/>
            <w:shd w:val="clear" w:color="auto" w:fill="auto"/>
          </w:tcPr>
          <w:p w14:paraId="5C7C523B" w14:textId="77777777" w:rsidR="0008009C" w:rsidRDefault="0008009C">
            <w:pPr>
              <w:rPr>
                <w:rFonts w:ascii="宋体"/>
                <w:vanish/>
              </w:rPr>
            </w:pPr>
          </w:p>
        </w:tc>
        <w:tc>
          <w:tcPr>
            <w:tcW w:w="0" w:type="auto"/>
            <w:shd w:val="clear" w:color="auto" w:fill="auto"/>
          </w:tcPr>
          <w:p w14:paraId="5C7C523C" w14:textId="77777777" w:rsidR="0008009C" w:rsidRDefault="0008009C">
            <w:pPr>
              <w:rPr>
                <w:rFonts w:ascii="宋体"/>
                <w:vanish/>
              </w:rPr>
            </w:pPr>
          </w:p>
        </w:tc>
        <w:tc>
          <w:tcPr>
            <w:tcW w:w="0" w:type="auto"/>
            <w:gridSpan w:val="3"/>
            <w:shd w:val="clear" w:color="auto" w:fill="auto"/>
          </w:tcPr>
          <w:p w14:paraId="5C7C523D" w14:textId="77777777" w:rsidR="0008009C" w:rsidRDefault="0008009C">
            <w:pPr>
              <w:rPr>
                <w:rFonts w:ascii="宋体"/>
                <w:vanish/>
              </w:rPr>
            </w:pPr>
          </w:p>
        </w:tc>
        <w:tc>
          <w:tcPr>
            <w:tcW w:w="0" w:type="auto"/>
            <w:gridSpan w:val="3"/>
            <w:shd w:val="clear" w:color="auto" w:fill="auto"/>
          </w:tcPr>
          <w:p w14:paraId="5C7C523E" w14:textId="77777777" w:rsidR="0008009C" w:rsidRDefault="0008009C">
            <w:pPr>
              <w:rPr>
                <w:rFonts w:ascii="宋体"/>
                <w:vanish/>
              </w:rPr>
            </w:pPr>
          </w:p>
        </w:tc>
      </w:tr>
      <w:tr w:rsidR="0008009C" w14:paraId="5C7C524D"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5240" w14:textId="77777777" w:rsidR="0008009C" w:rsidRDefault="00936FDF">
            <w:pPr>
              <w:textAlignment w:val="top"/>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tcPr>
          <w:p w14:paraId="5C7C5241"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5242"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5243" w14:textId="77777777" w:rsidR="0008009C" w:rsidRDefault="00936FDF">
            <w:pPr>
              <w:jc w:val="right"/>
              <w:textAlignment w:val="bottom"/>
            </w:pPr>
            <w:r>
              <w:rPr>
                <w:rFonts w:ascii="Arial" w:eastAsia="宋体" w:hAnsi="Arial" w:cs="Arial"/>
                <w:b/>
                <w:bCs/>
                <w:color w:val="0068B5"/>
                <w:sz w:val="18"/>
                <w:szCs w:val="18"/>
              </w:rPr>
              <w:t>19,673</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524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245"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5246"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5247" w14:textId="77777777" w:rsidR="0008009C" w:rsidRDefault="00936FDF">
            <w:pPr>
              <w:jc w:val="right"/>
              <w:textAlignment w:val="bottom"/>
            </w:pPr>
            <w:r>
              <w:rPr>
                <w:rFonts w:ascii="Arial" w:eastAsia="宋体" w:hAnsi="Arial" w:cs="Arial"/>
                <w:b/>
                <w:bCs/>
                <w:color w:val="262626"/>
                <w:sz w:val="18"/>
                <w:szCs w:val="18"/>
              </w:rPr>
              <w:t>19,828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5248" w14:textId="77777777" w:rsidR="0008009C" w:rsidRDefault="0008009C">
            <w:pPr>
              <w:jc w:val="right"/>
              <w:rPr>
                <w:rFonts w:ascii="宋体"/>
              </w:rPr>
            </w:pPr>
          </w:p>
        </w:tc>
        <w:tc>
          <w:tcPr>
            <w:tcW w:w="0" w:type="auto"/>
            <w:shd w:val="clear" w:color="auto" w:fill="auto"/>
          </w:tcPr>
          <w:p w14:paraId="5C7C5249" w14:textId="77777777" w:rsidR="0008009C" w:rsidRDefault="0008009C">
            <w:pPr>
              <w:rPr>
                <w:rFonts w:ascii="宋体"/>
                <w:vanish/>
              </w:rPr>
            </w:pPr>
          </w:p>
        </w:tc>
        <w:tc>
          <w:tcPr>
            <w:tcW w:w="0" w:type="auto"/>
            <w:shd w:val="clear" w:color="auto" w:fill="auto"/>
          </w:tcPr>
          <w:p w14:paraId="5C7C524A" w14:textId="77777777" w:rsidR="0008009C" w:rsidRDefault="0008009C">
            <w:pPr>
              <w:rPr>
                <w:rFonts w:ascii="宋体"/>
                <w:vanish/>
              </w:rPr>
            </w:pPr>
          </w:p>
        </w:tc>
        <w:tc>
          <w:tcPr>
            <w:tcW w:w="0" w:type="auto"/>
            <w:gridSpan w:val="3"/>
            <w:shd w:val="clear" w:color="auto" w:fill="auto"/>
          </w:tcPr>
          <w:p w14:paraId="5C7C524B" w14:textId="77777777" w:rsidR="0008009C" w:rsidRDefault="0008009C">
            <w:pPr>
              <w:rPr>
                <w:rFonts w:ascii="宋体"/>
                <w:vanish/>
              </w:rPr>
            </w:pPr>
          </w:p>
        </w:tc>
        <w:tc>
          <w:tcPr>
            <w:tcW w:w="0" w:type="auto"/>
            <w:gridSpan w:val="3"/>
            <w:shd w:val="clear" w:color="auto" w:fill="auto"/>
          </w:tcPr>
          <w:p w14:paraId="5C7C524C" w14:textId="77777777" w:rsidR="0008009C" w:rsidRDefault="0008009C">
            <w:pPr>
              <w:rPr>
                <w:rFonts w:ascii="宋体"/>
                <w:vanish/>
              </w:rPr>
            </w:pPr>
          </w:p>
        </w:tc>
      </w:tr>
      <w:tr w:rsidR="0008009C" w14:paraId="5C7C5259" w14:textId="77777777">
        <w:tc>
          <w:tcPr>
            <w:tcW w:w="0" w:type="auto"/>
            <w:gridSpan w:val="3"/>
            <w:shd w:val="clear" w:color="auto" w:fill="auto"/>
            <w:tcMar>
              <w:top w:w="40" w:type="dxa"/>
              <w:left w:w="20" w:type="dxa"/>
              <w:bottom w:w="40" w:type="dxa"/>
              <w:right w:w="20" w:type="dxa"/>
            </w:tcMar>
          </w:tcPr>
          <w:p w14:paraId="5C7C524E" w14:textId="77777777" w:rsidR="0008009C" w:rsidRDefault="00936FDF">
            <w:pPr>
              <w:textAlignment w:val="top"/>
            </w:pPr>
            <w:r>
              <w:rPr>
                <w:rFonts w:ascii="Arial" w:eastAsia="宋体" w:hAnsi="Arial" w:cs="Arial"/>
                <w:color w:val="262626"/>
                <w:sz w:val="18"/>
                <w:szCs w:val="18"/>
              </w:rPr>
              <w:t>C</w:t>
            </w:r>
            <w:r>
              <w:rPr>
                <w:rFonts w:ascii="Arial" w:eastAsia="宋体" w:hAnsi="Arial" w:cs="Arial"/>
                <w:color w:val="262626"/>
                <w:sz w:val="18"/>
                <w:szCs w:val="18"/>
              </w:rPr>
              <w:t>ost of sales</w:t>
            </w:r>
          </w:p>
        </w:tc>
        <w:tc>
          <w:tcPr>
            <w:tcW w:w="0" w:type="auto"/>
            <w:gridSpan w:val="3"/>
            <w:shd w:val="clear" w:color="auto" w:fill="auto"/>
            <w:tcMar>
              <w:top w:w="0" w:type="dxa"/>
              <w:left w:w="20" w:type="dxa"/>
              <w:bottom w:w="0" w:type="dxa"/>
              <w:right w:w="20" w:type="dxa"/>
            </w:tcMar>
          </w:tcPr>
          <w:p w14:paraId="5C7C524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250" w14:textId="77777777" w:rsidR="0008009C" w:rsidRDefault="00936FDF">
            <w:pPr>
              <w:jc w:val="right"/>
              <w:textAlignment w:val="bottom"/>
            </w:pPr>
            <w:r>
              <w:rPr>
                <w:rFonts w:ascii="Arial" w:eastAsia="宋体" w:hAnsi="Arial" w:cs="Arial"/>
                <w:color w:val="0068B5"/>
                <w:sz w:val="18"/>
                <w:szCs w:val="18"/>
              </w:rPr>
              <w:t>8,819 </w:t>
            </w:r>
          </w:p>
        </w:tc>
        <w:tc>
          <w:tcPr>
            <w:tcW w:w="0" w:type="auto"/>
            <w:shd w:val="clear" w:color="auto" w:fill="auto"/>
            <w:tcMar>
              <w:top w:w="40" w:type="dxa"/>
              <w:left w:w="0" w:type="dxa"/>
              <w:bottom w:w="40" w:type="dxa"/>
              <w:right w:w="20" w:type="dxa"/>
            </w:tcMar>
            <w:vAlign w:val="bottom"/>
          </w:tcPr>
          <w:p w14:paraId="5C7C525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25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253" w14:textId="77777777" w:rsidR="0008009C" w:rsidRDefault="00936FDF">
            <w:pPr>
              <w:jc w:val="right"/>
              <w:textAlignment w:val="bottom"/>
            </w:pPr>
            <w:r>
              <w:rPr>
                <w:rFonts w:ascii="Arial" w:eastAsia="宋体" w:hAnsi="Arial" w:cs="Arial"/>
                <w:color w:val="262626"/>
                <w:sz w:val="18"/>
                <w:szCs w:val="18"/>
              </w:rPr>
              <w:t>7,812 </w:t>
            </w:r>
          </w:p>
        </w:tc>
        <w:tc>
          <w:tcPr>
            <w:tcW w:w="0" w:type="auto"/>
            <w:shd w:val="clear" w:color="auto" w:fill="auto"/>
            <w:tcMar>
              <w:top w:w="40" w:type="dxa"/>
              <w:left w:w="0" w:type="dxa"/>
              <w:bottom w:w="40" w:type="dxa"/>
              <w:right w:w="20" w:type="dxa"/>
            </w:tcMar>
            <w:vAlign w:val="bottom"/>
          </w:tcPr>
          <w:p w14:paraId="5C7C5254" w14:textId="77777777" w:rsidR="0008009C" w:rsidRDefault="0008009C">
            <w:pPr>
              <w:jc w:val="right"/>
              <w:rPr>
                <w:rFonts w:ascii="宋体"/>
              </w:rPr>
            </w:pPr>
          </w:p>
        </w:tc>
        <w:tc>
          <w:tcPr>
            <w:tcW w:w="0" w:type="auto"/>
            <w:shd w:val="clear" w:color="auto" w:fill="auto"/>
          </w:tcPr>
          <w:p w14:paraId="5C7C5255" w14:textId="77777777" w:rsidR="0008009C" w:rsidRDefault="0008009C">
            <w:pPr>
              <w:rPr>
                <w:rFonts w:ascii="宋体"/>
                <w:vanish/>
              </w:rPr>
            </w:pPr>
          </w:p>
        </w:tc>
        <w:tc>
          <w:tcPr>
            <w:tcW w:w="0" w:type="auto"/>
            <w:shd w:val="clear" w:color="auto" w:fill="auto"/>
          </w:tcPr>
          <w:p w14:paraId="5C7C5256" w14:textId="77777777" w:rsidR="0008009C" w:rsidRDefault="0008009C">
            <w:pPr>
              <w:rPr>
                <w:rFonts w:ascii="宋体"/>
                <w:vanish/>
              </w:rPr>
            </w:pPr>
          </w:p>
        </w:tc>
        <w:tc>
          <w:tcPr>
            <w:tcW w:w="0" w:type="auto"/>
            <w:gridSpan w:val="3"/>
            <w:shd w:val="clear" w:color="auto" w:fill="auto"/>
          </w:tcPr>
          <w:p w14:paraId="5C7C5257" w14:textId="77777777" w:rsidR="0008009C" w:rsidRDefault="0008009C">
            <w:pPr>
              <w:rPr>
                <w:rFonts w:ascii="宋体"/>
                <w:vanish/>
              </w:rPr>
            </w:pPr>
          </w:p>
        </w:tc>
        <w:tc>
          <w:tcPr>
            <w:tcW w:w="0" w:type="auto"/>
            <w:gridSpan w:val="3"/>
            <w:shd w:val="clear" w:color="auto" w:fill="auto"/>
          </w:tcPr>
          <w:p w14:paraId="5C7C5258" w14:textId="77777777" w:rsidR="0008009C" w:rsidRDefault="0008009C">
            <w:pPr>
              <w:rPr>
                <w:rFonts w:ascii="宋体"/>
                <w:vanish/>
              </w:rPr>
            </w:pPr>
          </w:p>
        </w:tc>
      </w:tr>
      <w:tr w:rsidR="0008009C" w14:paraId="5C7C5265" w14:textId="77777777">
        <w:tc>
          <w:tcPr>
            <w:tcW w:w="0" w:type="auto"/>
            <w:gridSpan w:val="3"/>
            <w:shd w:val="clear" w:color="auto" w:fill="auto"/>
            <w:tcMar>
              <w:top w:w="40" w:type="dxa"/>
              <w:left w:w="20" w:type="dxa"/>
              <w:bottom w:w="40" w:type="dxa"/>
              <w:right w:w="20" w:type="dxa"/>
            </w:tcMar>
          </w:tcPr>
          <w:p w14:paraId="5C7C525A" w14:textId="77777777" w:rsidR="0008009C" w:rsidRDefault="00936FDF">
            <w:pPr>
              <w:textAlignment w:val="top"/>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tcPr>
          <w:p w14:paraId="5C7C525B"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25C" w14:textId="77777777" w:rsidR="0008009C" w:rsidRDefault="00936FDF">
            <w:pPr>
              <w:jc w:val="right"/>
              <w:textAlignment w:val="bottom"/>
            </w:pPr>
            <w:r>
              <w:rPr>
                <w:rFonts w:ascii="Arial" w:eastAsia="宋体" w:hAnsi="Arial" w:cs="Arial"/>
                <w:b/>
                <w:bCs/>
                <w:color w:val="0068B5"/>
                <w:sz w:val="18"/>
                <w:szCs w:val="18"/>
              </w:rPr>
              <w:t>10,854</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25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25E"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25F" w14:textId="77777777" w:rsidR="0008009C" w:rsidRDefault="00936FDF">
            <w:pPr>
              <w:jc w:val="right"/>
              <w:textAlignment w:val="bottom"/>
            </w:pPr>
            <w:r>
              <w:rPr>
                <w:rFonts w:ascii="Arial" w:eastAsia="宋体" w:hAnsi="Arial" w:cs="Arial"/>
                <w:b/>
                <w:bCs/>
                <w:color w:val="262626"/>
                <w:sz w:val="18"/>
                <w:szCs w:val="18"/>
              </w:rPr>
              <w:t>12,016</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260" w14:textId="77777777" w:rsidR="0008009C" w:rsidRDefault="0008009C">
            <w:pPr>
              <w:jc w:val="right"/>
              <w:rPr>
                <w:rFonts w:ascii="宋体"/>
              </w:rPr>
            </w:pPr>
          </w:p>
        </w:tc>
        <w:tc>
          <w:tcPr>
            <w:tcW w:w="0" w:type="auto"/>
            <w:shd w:val="clear" w:color="auto" w:fill="auto"/>
          </w:tcPr>
          <w:p w14:paraId="5C7C5261" w14:textId="77777777" w:rsidR="0008009C" w:rsidRDefault="0008009C">
            <w:pPr>
              <w:rPr>
                <w:rFonts w:ascii="宋体"/>
                <w:vanish/>
              </w:rPr>
            </w:pPr>
          </w:p>
        </w:tc>
        <w:tc>
          <w:tcPr>
            <w:tcW w:w="0" w:type="auto"/>
            <w:shd w:val="clear" w:color="auto" w:fill="auto"/>
          </w:tcPr>
          <w:p w14:paraId="5C7C5262" w14:textId="77777777" w:rsidR="0008009C" w:rsidRDefault="0008009C">
            <w:pPr>
              <w:rPr>
                <w:rFonts w:ascii="宋体"/>
                <w:vanish/>
              </w:rPr>
            </w:pPr>
          </w:p>
        </w:tc>
        <w:tc>
          <w:tcPr>
            <w:tcW w:w="0" w:type="auto"/>
            <w:gridSpan w:val="3"/>
            <w:shd w:val="clear" w:color="auto" w:fill="auto"/>
          </w:tcPr>
          <w:p w14:paraId="5C7C5263" w14:textId="77777777" w:rsidR="0008009C" w:rsidRDefault="0008009C">
            <w:pPr>
              <w:rPr>
                <w:rFonts w:ascii="宋体"/>
                <w:vanish/>
              </w:rPr>
            </w:pPr>
          </w:p>
        </w:tc>
        <w:tc>
          <w:tcPr>
            <w:tcW w:w="0" w:type="auto"/>
            <w:gridSpan w:val="3"/>
            <w:shd w:val="clear" w:color="auto" w:fill="auto"/>
          </w:tcPr>
          <w:p w14:paraId="5C7C5264" w14:textId="77777777" w:rsidR="0008009C" w:rsidRDefault="0008009C">
            <w:pPr>
              <w:rPr>
                <w:rFonts w:ascii="宋体"/>
                <w:vanish/>
              </w:rPr>
            </w:pPr>
          </w:p>
        </w:tc>
      </w:tr>
      <w:tr w:rsidR="0008009C" w14:paraId="5C7C5271" w14:textId="77777777">
        <w:tc>
          <w:tcPr>
            <w:tcW w:w="0" w:type="auto"/>
            <w:gridSpan w:val="3"/>
            <w:shd w:val="clear" w:color="auto" w:fill="auto"/>
            <w:tcMar>
              <w:top w:w="40" w:type="dxa"/>
              <w:left w:w="20" w:type="dxa"/>
              <w:bottom w:w="40" w:type="dxa"/>
              <w:right w:w="20" w:type="dxa"/>
            </w:tcMar>
          </w:tcPr>
          <w:p w14:paraId="5C7C5266" w14:textId="77777777" w:rsidR="0008009C" w:rsidRDefault="00936FDF">
            <w:pPr>
              <w:textAlignment w:val="top"/>
            </w:pPr>
            <w:r>
              <w:rPr>
                <w:rFonts w:ascii="Arial" w:eastAsia="宋体" w:hAnsi="Arial" w:cs="Arial"/>
                <w:color w:val="262626"/>
                <w:sz w:val="18"/>
                <w:szCs w:val="18"/>
              </w:rPr>
              <w:t>Research and development</w:t>
            </w:r>
          </w:p>
        </w:tc>
        <w:tc>
          <w:tcPr>
            <w:tcW w:w="0" w:type="auto"/>
            <w:gridSpan w:val="3"/>
            <w:shd w:val="clear" w:color="auto" w:fill="auto"/>
            <w:tcMar>
              <w:top w:w="0" w:type="dxa"/>
              <w:left w:w="20" w:type="dxa"/>
              <w:bottom w:w="0" w:type="dxa"/>
              <w:right w:w="20" w:type="dxa"/>
            </w:tcMar>
          </w:tcPr>
          <w:p w14:paraId="5C7C5267"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268" w14:textId="77777777" w:rsidR="0008009C" w:rsidRDefault="00936FDF">
            <w:pPr>
              <w:jc w:val="right"/>
              <w:textAlignment w:val="bottom"/>
            </w:pPr>
            <w:r>
              <w:rPr>
                <w:rFonts w:ascii="Arial" w:eastAsia="宋体" w:hAnsi="Arial" w:cs="Arial"/>
                <w:color w:val="0068B5"/>
                <w:sz w:val="18"/>
                <w:szCs w:val="18"/>
              </w:rPr>
              <w:t>3,623 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26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26A"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26B" w14:textId="77777777" w:rsidR="0008009C" w:rsidRDefault="00936FDF">
            <w:pPr>
              <w:jc w:val="right"/>
              <w:textAlignment w:val="bottom"/>
            </w:pPr>
            <w:r>
              <w:rPr>
                <w:rFonts w:ascii="Arial" w:eastAsia="宋体" w:hAnsi="Arial" w:cs="Arial"/>
                <w:color w:val="262626"/>
                <w:sz w:val="18"/>
                <w:szCs w:val="18"/>
              </w:rPr>
              <w:t>3,275 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26C" w14:textId="77777777" w:rsidR="0008009C" w:rsidRDefault="0008009C">
            <w:pPr>
              <w:jc w:val="right"/>
              <w:rPr>
                <w:rFonts w:ascii="宋体"/>
              </w:rPr>
            </w:pPr>
          </w:p>
        </w:tc>
        <w:tc>
          <w:tcPr>
            <w:tcW w:w="0" w:type="auto"/>
            <w:shd w:val="clear" w:color="auto" w:fill="auto"/>
          </w:tcPr>
          <w:p w14:paraId="5C7C526D" w14:textId="77777777" w:rsidR="0008009C" w:rsidRDefault="0008009C">
            <w:pPr>
              <w:rPr>
                <w:rFonts w:ascii="宋体"/>
                <w:vanish/>
              </w:rPr>
            </w:pPr>
          </w:p>
        </w:tc>
        <w:tc>
          <w:tcPr>
            <w:tcW w:w="0" w:type="auto"/>
            <w:shd w:val="clear" w:color="auto" w:fill="auto"/>
          </w:tcPr>
          <w:p w14:paraId="5C7C526E" w14:textId="77777777" w:rsidR="0008009C" w:rsidRDefault="0008009C">
            <w:pPr>
              <w:rPr>
                <w:rFonts w:ascii="宋体"/>
                <w:vanish/>
              </w:rPr>
            </w:pPr>
          </w:p>
        </w:tc>
        <w:tc>
          <w:tcPr>
            <w:tcW w:w="0" w:type="auto"/>
            <w:gridSpan w:val="3"/>
            <w:shd w:val="clear" w:color="auto" w:fill="auto"/>
          </w:tcPr>
          <w:p w14:paraId="5C7C526F" w14:textId="77777777" w:rsidR="0008009C" w:rsidRDefault="0008009C">
            <w:pPr>
              <w:rPr>
                <w:rFonts w:ascii="宋体"/>
                <w:vanish/>
              </w:rPr>
            </w:pPr>
          </w:p>
        </w:tc>
        <w:tc>
          <w:tcPr>
            <w:tcW w:w="0" w:type="auto"/>
            <w:gridSpan w:val="3"/>
            <w:shd w:val="clear" w:color="auto" w:fill="auto"/>
          </w:tcPr>
          <w:p w14:paraId="5C7C5270" w14:textId="77777777" w:rsidR="0008009C" w:rsidRDefault="0008009C">
            <w:pPr>
              <w:rPr>
                <w:rFonts w:ascii="宋体"/>
                <w:vanish/>
              </w:rPr>
            </w:pPr>
          </w:p>
        </w:tc>
      </w:tr>
      <w:tr w:rsidR="0008009C" w14:paraId="5C7C527D" w14:textId="77777777">
        <w:tc>
          <w:tcPr>
            <w:tcW w:w="0" w:type="auto"/>
            <w:gridSpan w:val="3"/>
            <w:shd w:val="clear" w:color="auto" w:fill="auto"/>
            <w:tcMar>
              <w:top w:w="40" w:type="dxa"/>
              <w:left w:w="20" w:type="dxa"/>
              <w:bottom w:w="40" w:type="dxa"/>
              <w:right w:w="20" w:type="dxa"/>
            </w:tcMar>
          </w:tcPr>
          <w:p w14:paraId="5C7C5272" w14:textId="77777777" w:rsidR="0008009C" w:rsidRDefault="00936FDF">
            <w:pPr>
              <w:textAlignment w:val="top"/>
            </w:pPr>
            <w:r>
              <w:rPr>
                <w:rFonts w:ascii="Arial" w:eastAsia="宋体" w:hAnsi="Arial" w:cs="Arial"/>
                <w:color w:val="262626"/>
                <w:sz w:val="18"/>
                <w:szCs w:val="18"/>
              </w:rPr>
              <w:t>Marketing, general and administrative</w:t>
            </w:r>
          </w:p>
        </w:tc>
        <w:tc>
          <w:tcPr>
            <w:tcW w:w="0" w:type="auto"/>
            <w:gridSpan w:val="3"/>
            <w:shd w:val="clear" w:color="auto" w:fill="auto"/>
            <w:tcMar>
              <w:top w:w="0" w:type="dxa"/>
              <w:left w:w="20" w:type="dxa"/>
              <w:bottom w:w="0" w:type="dxa"/>
              <w:right w:w="20" w:type="dxa"/>
            </w:tcMar>
          </w:tcPr>
          <w:p w14:paraId="5C7C527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274" w14:textId="77777777" w:rsidR="0008009C" w:rsidRDefault="00936FDF">
            <w:pPr>
              <w:jc w:val="right"/>
              <w:textAlignment w:val="bottom"/>
            </w:pPr>
            <w:r>
              <w:rPr>
                <w:rFonts w:ascii="Arial" w:eastAsia="宋体" w:hAnsi="Arial" w:cs="Arial"/>
                <w:color w:val="0068B5"/>
                <w:sz w:val="18"/>
                <w:szCs w:val="18"/>
              </w:rPr>
              <w:t>1,328 </w:t>
            </w:r>
          </w:p>
        </w:tc>
        <w:tc>
          <w:tcPr>
            <w:tcW w:w="0" w:type="auto"/>
            <w:shd w:val="clear" w:color="auto" w:fill="auto"/>
            <w:tcMar>
              <w:top w:w="40" w:type="dxa"/>
              <w:left w:w="0" w:type="dxa"/>
              <w:bottom w:w="40" w:type="dxa"/>
              <w:right w:w="20" w:type="dxa"/>
            </w:tcMar>
            <w:vAlign w:val="bottom"/>
          </w:tcPr>
          <w:p w14:paraId="5C7C527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27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277" w14:textId="77777777" w:rsidR="0008009C" w:rsidRDefault="00936FDF">
            <w:pPr>
              <w:jc w:val="right"/>
              <w:textAlignment w:val="bottom"/>
            </w:pPr>
            <w:r>
              <w:rPr>
                <w:rFonts w:ascii="Arial" w:eastAsia="宋体" w:hAnsi="Arial" w:cs="Arial"/>
                <w:color w:val="262626"/>
                <w:sz w:val="18"/>
                <w:szCs w:val="18"/>
              </w:rPr>
              <w:t>1,541 </w:t>
            </w:r>
          </w:p>
        </w:tc>
        <w:tc>
          <w:tcPr>
            <w:tcW w:w="0" w:type="auto"/>
            <w:shd w:val="clear" w:color="auto" w:fill="auto"/>
            <w:tcMar>
              <w:top w:w="40" w:type="dxa"/>
              <w:left w:w="0" w:type="dxa"/>
              <w:bottom w:w="40" w:type="dxa"/>
              <w:right w:w="20" w:type="dxa"/>
            </w:tcMar>
            <w:vAlign w:val="bottom"/>
          </w:tcPr>
          <w:p w14:paraId="5C7C5278" w14:textId="77777777" w:rsidR="0008009C" w:rsidRDefault="0008009C">
            <w:pPr>
              <w:jc w:val="right"/>
              <w:rPr>
                <w:rFonts w:ascii="宋体"/>
              </w:rPr>
            </w:pPr>
          </w:p>
        </w:tc>
        <w:tc>
          <w:tcPr>
            <w:tcW w:w="0" w:type="auto"/>
            <w:shd w:val="clear" w:color="auto" w:fill="auto"/>
          </w:tcPr>
          <w:p w14:paraId="5C7C5279" w14:textId="77777777" w:rsidR="0008009C" w:rsidRDefault="0008009C">
            <w:pPr>
              <w:rPr>
                <w:rFonts w:ascii="宋体"/>
                <w:vanish/>
              </w:rPr>
            </w:pPr>
          </w:p>
        </w:tc>
        <w:tc>
          <w:tcPr>
            <w:tcW w:w="0" w:type="auto"/>
            <w:shd w:val="clear" w:color="auto" w:fill="auto"/>
          </w:tcPr>
          <w:p w14:paraId="5C7C527A" w14:textId="77777777" w:rsidR="0008009C" w:rsidRDefault="0008009C">
            <w:pPr>
              <w:rPr>
                <w:rFonts w:ascii="宋体"/>
                <w:vanish/>
              </w:rPr>
            </w:pPr>
          </w:p>
        </w:tc>
        <w:tc>
          <w:tcPr>
            <w:tcW w:w="0" w:type="auto"/>
            <w:gridSpan w:val="3"/>
            <w:shd w:val="clear" w:color="auto" w:fill="auto"/>
          </w:tcPr>
          <w:p w14:paraId="5C7C527B" w14:textId="77777777" w:rsidR="0008009C" w:rsidRDefault="0008009C">
            <w:pPr>
              <w:rPr>
                <w:rFonts w:ascii="宋体"/>
                <w:vanish/>
              </w:rPr>
            </w:pPr>
          </w:p>
        </w:tc>
        <w:tc>
          <w:tcPr>
            <w:tcW w:w="0" w:type="auto"/>
            <w:gridSpan w:val="3"/>
            <w:shd w:val="clear" w:color="auto" w:fill="auto"/>
          </w:tcPr>
          <w:p w14:paraId="5C7C527C" w14:textId="77777777" w:rsidR="0008009C" w:rsidRDefault="0008009C">
            <w:pPr>
              <w:rPr>
                <w:rFonts w:ascii="宋体"/>
                <w:vanish/>
              </w:rPr>
            </w:pPr>
          </w:p>
        </w:tc>
      </w:tr>
      <w:tr w:rsidR="0008009C" w14:paraId="5C7C5289" w14:textId="77777777">
        <w:tc>
          <w:tcPr>
            <w:tcW w:w="0" w:type="auto"/>
            <w:gridSpan w:val="3"/>
            <w:shd w:val="clear" w:color="auto" w:fill="auto"/>
            <w:tcMar>
              <w:top w:w="40" w:type="dxa"/>
              <w:left w:w="20" w:type="dxa"/>
              <w:bottom w:w="40" w:type="dxa"/>
              <w:right w:w="20" w:type="dxa"/>
            </w:tcMar>
          </w:tcPr>
          <w:p w14:paraId="5C7C527E" w14:textId="77777777" w:rsidR="0008009C" w:rsidRDefault="00936FDF">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tcPr>
          <w:p w14:paraId="5C7C527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280" w14:textId="77777777" w:rsidR="0008009C" w:rsidRDefault="00936FDF">
            <w:pPr>
              <w:jc w:val="right"/>
              <w:textAlignment w:val="bottom"/>
            </w:pPr>
            <w:r>
              <w:rPr>
                <w:rFonts w:ascii="Arial" w:eastAsia="宋体" w:hAnsi="Arial" w:cs="Arial"/>
                <w:color w:val="0068B5"/>
                <w:sz w:val="18"/>
                <w:szCs w:val="18"/>
              </w:rPr>
              <w:t>2,209 </w:t>
            </w:r>
          </w:p>
        </w:tc>
        <w:tc>
          <w:tcPr>
            <w:tcW w:w="0" w:type="auto"/>
            <w:shd w:val="clear" w:color="auto" w:fill="auto"/>
            <w:tcMar>
              <w:top w:w="40" w:type="dxa"/>
              <w:left w:w="0" w:type="dxa"/>
              <w:bottom w:w="40" w:type="dxa"/>
              <w:right w:w="20" w:type="dxa"/>
            </w:tcMar>
            <w:vAlign w:val="bottom"/>
          </w:tcPr>
          <w:p w14:paraId="5C7C528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28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283" w14:textId="77777777" w:rsidR="0008009C" w:rsidRDefault="00936FDF">
            <w:pPr>
              <w:jc w:val="right"/>
              <w:textAlignment w:val="bottom"/>
            </w:pPr>
            <w:r>
              <w:rPr>
                <w:rFonts w:ascii="Arial" w:eastAsia="宋体" w:hAnsi="Arial" w:cs="Arial"/>
                <w:color w:val="262626"/>
                <w:sz w:val="18"/>
                <w:szCs w:val="18"/>
              </w:rPr>
              <w:t>162 </w:t>
            </w:r>
          </w:p>
        </w:tc>
        <w:tc>
          <w:tcPr>
            <w:tcW w:w="0" w:type="auto"/>
            <w:shd w:val="clear" w:color="auto" w:fill="auto"/>
            <w:tcMar>
              <w:top w:w="40" w:type="dxa"/>
              <w:left w:w="0" w:type="dxa"/>
              <w:bottom w:w="40" w:type="dxa"/>
              <w:right w:w="20" w:type="dxa"/>
            </w:tcMar>
            <w:vAlign w:val="bottom"/>
          </w:tcPr>
          <w:p w14:paraId="5C7C5284" w14:textId="77777777" w:rsidR="0008009C" w:rsidRDefault="0008009C">
            <w:pPr>
              <w:jc w:val="right"/>
              <w:rPr>
                <w:rFonts w:ascii="宋体"/>
              </w:rPr>
            </w:pPr>
          </w:p>
        </w:tc>
        <w:tc>
          <w:tcPr>
            <w:tcW w:w="0" w:type="auto"/>
            <w:shd w:val="clear" w:color="auto" w:fill="auto"/>
          </w:tcPr>
          <w:p w14:paraId="5C7C5285" w14:textId="77777777" w:rsidR="0008009C" w:rsidRDefault="0008009C">
            <w:pPr>
              <w:rPr>
                <w:rFonts w:ascii="宋体"/>
                <w:vanish/>
              </w:rPr>
            </w:pPr>
          </w:p>
        </w:tc>
        <w:tc>
          <w:tcPr>
            <w:tcW w:w="0" w:type="auto"/>
            <w:shd w:val="clear" w:color="auto" w:fill="auto"/>
          </w:tcPr>
          <w:p w14:paraId="5C7C5286" w14:textId="77777777" w:rsidR="0008009C" w:rsidRDefault="0008009C">
            <w:pPr>
              <w:rPr>
                <w:rFonts w:ascii="宋体"/>
                <w:vanish/>
              </w:rPr>
            </w:pPr>
          </w:p>
        </w:tc>
        <w:tc>
          <w:tcPr>
            <w:tcW w:w="0" w:type="auto"/>
            <w:gridSpan w:val="3"/>
            <w:shd w:val="clear" w:color="auto" w:fill="auto"/>
          </w:tcPr>
          <w:p w14:paraId="5C7C5287" w14:textId="77777777" w:rsidR="0008009C" w:rsidRDefault="0008009C">
            <w:pPr>
              <w:rPr>
                <w:rFonts w:ascii="宋体"/>
                <w:vanish/>
              </w:rPr>
            </w:pPr>
          </w:p>
        </w:tc>
        <w:tc>
          <w:tcPr>
            <w:tcW w:w="0" w:type="auto"/>
            <w:gridSpan w:val="3"/>
            <w:shd w:val="clear" w:color="auto" w:fill="auto"/>
          </w:tcPr>
          <w:p w14:paraId="5C7C5288" w14:textId="77777777" w:rsidR="0008009C" w:rsidRDefault="0008009C">
            <w:pPr>
              <w:rPr>
                <w:rFonts w:ascii="宋体"/>
                <w:vanish/>
              </w:rPr>
            </w:pPr>
          </w:p>
        </w:tc>
      </w:tr>
      <w:tr w:rsidR="0008009C" w14:paraId="5C7C5295" w14:textId="77777777">
        <w:tc>
          <w:tcPr>
            <w:tcW w:w="0" w:type="auto"/>
            <w:gridSpan w:val="3"/>
            <w:shd w:val="clear" w:color="auto" w:fill="auto"/>
            <w:tcMar>
              <w:top w:w="40" w:type="dxa"/>
              <w:left w:w="20" w:type="dxa"/>
              <w:bottom w:w="40" w:type="dxa"/>
              <w:right w:w="20" w:type="dxa"/>
            </w:tcMar>
          </w:tcPr>
          <w:p w14:paraId="5C7C528A" w14:textId="77777777" w:rsidR="0008009C" w:rsidRDefault="00936FDF">
            <w:pPr>
              <w:textAlignment w:val="top"/>
            </w:pPr>
            <w:r>
              <w:rPr>
                <w:rFonts w:ascii="Arial" w:eastAsia="宋体" w:hAnsi="Arial" w:cs="Arial"/>
                <w:b/>
                <w:bCs/>
                <w:color w:val="262626"/>
                <w:sz w:val="18"/>
                <w:szCs w:val="18"/>
              </w:rPr>
              <w:t xml:space="preserve">Operating </w:t>
            </w:r>
            <w:r>
              <w:rPr>
                <w:rFonts w:ascii="Arial" w:eastAsia="宋体" w:hAnsi="Arial" w:cs="Arial"/>
                <w:b/>
                <w:bCs/>
                <w:color w:val="262626"/>
                <w:sz w:val="18"/>
                <w:szCs w:val="18"/>
              </w:rPr>
              <w:t>expenses</w:t>
            </w:r>
          </w:p>
        </w:tc>
        <w:tc>
          <w:tcPr>
            <w:tcW w:w="0" w:type="auto"/>
            <w:gridSpan w:val="3"/>
            <w:shd w:val="clear" w:color="auto" w:fill="auto"/>
            <w:tcMar>
              <w:top w:w="0" w:type="dxa"/>
              <w:left w:w="20" w:type="dxa"/>
              <w:bottom w:w="0" w:type="dxa"/>
              <w:right w:w="20" w:type="dxa"/>
            </w:tcMar>
          </w:tcPr>
          <w:p w14:paraId="5C7C528B"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28C" w14:textId="77777777" w:rsidR="0008009C" w:rsidRDefault="00936FDF">
            <w:pPr>
              <w:jc w:val="right"/>
              <w:textAlignment w:val="bottom"/>
            </w:pPr>
            <w:r>
              <w:rPr>
                <w:rFonts w:ascii="Arial" w:eastAsia="宋体" w:hAnsi="Arial" w:cs="Arial"/>
                <w:b/>
                <w:bCs/>
                <w:color w:val="0068B5"/>
                <w:sz w:val="18"/>
                <w:szCs w:val="18"/>
              </w:rPr>
              <w:t>7,160</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28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28E"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28F" w14:textId="77777777" w:rsidR="0008009C" w:rsidRDefault="00936FDF">
            <w:pPr>
              <w:jc w:val="right"/>
              <w:textAlignment w:val="bottom"/>
            </w:pPr>
            <w:r>
              <w:rPr>
                <w:rFonts w:ascii="Arial" w:eastAsia="宋体" w:hAnsi="Arial" w:cs="Arial"/>
                <w:b/>
                <w:bCs/>
                <w:color w:val="262626"/>
                <w:sz w:val="18"/>
                <w:szCs w:val="18"/>
              </w:rPr>
              <w:t>4,978</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290" w14:textId="77777777" w:rsidR="0008009C" w:rsidRDefault="0008009C">
            <w:pPr>
              <w:jc w:val="right"/>
              <w:rPr>
                <w:rFonts w:ascii="宋体"/>
              </w:rPr>
            </w:pPr>
          </w:p>
        </w:tc>
        <w:tc>
          <w:tcPr>
            <w:tcW w:w="0" w:type="auto"/>
            <w:shd w:val="clear" w:color="auto" w:fill="auto"/>
          </w:tcPr>
          <w:p w14:paraId="5C7C5291" w14:textId="77777777" w:rsidR="0008009C" w:rsidRDefault="0008009C">
            <w:pPr>
              <w:rPr>
                <w:rFonts w:ascii="宋体"/>
                <w:vanish/>
              </w:rPr>
            </w:pPr>
          </w:p>
        </w:tc>
        <w:tc>
          <w:tcPr>
            <w:tcW w:w="0" w:type="auto"/>
            <w:shd w:val="clear" w:color="auto" w:fill="auto"/>
          </w:tcPr>
          <w:p w14:paraId="5C7C5292" w14:textId="77777777" w:rsidR="0008009C" w:rsidRDefault="0008009C">
            <w:pPr>
              <w:rPr>
                <w:rFonts w:ascii="宋体"/>
                <w:vanish/>
              </w:rPr>
            </w:pPr>
          </w:p>
        </w:tc>
        <w:tc>
          <w:tcPr>
            <w:tcW w:w="0" w:type="auto"/>
            <w:gridSpan w:val="3"/>
            <w:shd w:val="clear" w:color="auto" w:fill="auto"/>
          </w:tcPr>
          <w:p w14:paraId="5C7C5293" w14:textId="77777777" w:rsidR="0008009C" w:rsidRDefault="0008009C">
            <w:pPr>
              <w:rPr>
                <w:rFonts w:ascii="宋体"/>
                <w:vanish/>
              </w:rPr>
            </w:pPr>
          </w:p>
        </w:tc>
        <w:tc>
          <w:tcPr>
            <w:tcW w:w="0" w:type="auto"/>
            <w:gridSpan w:val="3"/>
            <w:shd w:val="clear" w:color="auto" w:fill="auto"/>
          </w:tcPr>
          <w:p w14:paraId="5C7C5294" w14:textId="77777777" w:rsidR="0008009C" w:rsidRDefault="0008009C">
            <w:pPr>
              <w:rPr>
                <w:rFonts w:ascii="宋体"/>
                <w:vanish/>
              </w:rPr>
            </w:pPr>
          </w:p>
        </w:tc>
      </w:tr>
      <w:tr w:rsidR="0008009C" w14:paraId="5C7C52A1" w14:textId="77777777">
        <w:tc>
          <w:tcPr>
            <w:tcW w:w="0" w:type="auto"/>
            <w:gridSpan w:val="3"/>
            <w:shd w:val="clear" w:color="auto" w:fill="auto"/>
            <w:tcMar>
              <w:top w:w="40" w:type="dxa"/>
              <w:left w:w="20" w:type="dxa"/>
              <w:bottom w:w="40" w:type="dxa"/>
              <w:right w:w="20" w:type="dxa"/>
            </w:tcMar>
          </w:tcPr>
          <w:p w14:paraId="5C7C5296" w14:textId="77777777" w:rsidR="0008009C" w:rsidRDefault="00936FDF">
            <w:pPr>
              <w:textAlignment w:val="top"/>
            </w:pP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tcPr>
          <w:p w14:paraId="5C7C5297"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298" w14:textId="77777777" w:rsidR="0008009C" w:rsidRDefault="00936FDF">
            <w:pPr>
              <w:jc w:val="right"/>
              <w:textAlignment w:val="bottom"/>
            </w:pPr>
            <w:r>
              <w:rPr>
                <w:rFonts w:ascii="Arial" w:eastAsia="宋体" w:hAnsi="Arial" w:cs="Arial"/>
                <w:b/>
                <w:bCs/>
                <w:color w:val="0068B5"/>
                <w:sz w:val="18"/>
                <w:szCs w:val="18"/>
              </w:rPr>
              <w:t>3,694</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29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29A"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29B" w14:textId="77777777" w:rsidR="0008009C" w:rsidRDefault="00936FDF">
            <w:pPr>
              <w:jc w:val="right"/>
              <w:textAlignment w:val="bottom"/>
            </w:pPr>
            <w:r>
              <w:rPr>
                <w:rFonts w:ascii="Arial" w:eastAsia="宋体" w:hAnsi="Arial" w:cs="Arial"/>
                <w:b/>
                <w:bCs/>
                <w:color w:val="262626"/>
                <w:sz w:val="18"/>
                <w:szCs w:val="18"/>
              </w:rPr>
              <w:t>7,038</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29C" w14:textId="77777777" w:rsidR="0008009C" w:rsidRDefault="0008009C">
            <w:pPr>
              <w:jc w:val="right"/>
              <w:rPr>
                <w:rFonts w:ascii="宋体"/>
              </w:rPr>
            </w:pPr>
          </w:p>
        </w:tc>
        <w:tc>
          <w:tcPr>
            <w:tcW w:w="0" w:type="auto"/>
            <w:shd w:val="clear" w:color="auto" w:fill="auto"/>
          </w:tcPr>
          <w:p w14:paraId="5C7C529D" w14:textId="77777777" w:rsidR="0008009C" w:rsidRDefault="0008009C">
            <w:pPr>
              <w:rPr>
                <w:rFonts w:ascii="宋体"/>
                <w:vanish/>
              </w:rPr>
            </w:pPr>
          </w:p>
        </w:tc>
        <w:tc>
          <w:tcPr>
            <w:tcW w:w="0" w:type="auto"/>
            <w:shd w:val="clear" w:color="auto" w:fill="auto"/>
          </w:tcPr>
          <w:p w14:paraId="5C7C529E" w14:textId="77777777" w:rsidR="0008009C" w:rsidRDefault="0008009C">
            <w:pPr>
              <w:rPr>
                <w:rFonts w:ascii="宋体"/>
                <w:vanish/>
              </w:rPr>
            </w:pPr>
          </w:p>
        </w:tc>
        <w:tc>
          <w:tcPr>
            <w:tcW w:w="0" w:type="auto"/>
            <w:gridSpan w:val="3"/>
            <w:shd w:val="clear" w:color="auto" w:fill="auto"/>
          </w:tcPr>
          <w:p w14:paraId="5C7C529F" w14:textId="77777777" w:rsidR="0008009C" w:rsidRDefault="0008009C">
            <w:pPr>
              <w:rPr>
                <w:rFonts w:ascii="宋体"/>
                <w:vanish/>
              </w:rPr>
            </w:pPr>
          </w:p>
        </w:tc>
        <w:tc>
          <w:tcPr>
            <w:tcW w:w="0" w:type="auto"/>
            <w:gridSpan w:val="3"/>
            <w:shd w:val="clear" w:color="auto" w:fill="auto"/>
          </w:tcPr>
          <w:p w14:paraId="5C7C52A0" w14:textId="77777777" w:rsidR="0008009C" w:rsidRDefault="0008009C">
            <w:pPr>
              <w:rPr>
                <w:rFonts w:ascii="宋体"/>
                <w:vanish/>
              </w:rPr>
            </w:pPr>
          </w:p>
        </w:tc>
      </w:tr>
      <w:tr w:rsidR="0008009C" w14:paraId="5C7C52AD" w14:textId="77777777">
        <w:tc>
          <w:tcPr>
            <w:tcW w:w="0" w:type="auto"/>
            <w:gridSpan w:val="3"/>
            <w:shd w:val="clear" w:color="auto" w:fill="auto"/>
            <w:tcMar>
              <w:top w:w="40" w:type="dxa"/>
              <w:left w:w="20" w:type="dxa"/>
              <w:bottom w:w="40" w:type="dxa"/>
              <w:right w:w="20" w:type="dxa"/>
            </w:tcMar>
          </w:tcPr>
          <w:p w14:paraId="5C7C52A2" w14:textId="77777777" w:rsidR="0008009C" w:rsidRDefault="00936FDF">
            <w:pPr>
              <w:textAlignment w:val="top"/>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tcPr>
          <w:p w14:paraId="5C7C52A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2A4" w14:textId="77777777" w:rsidR="0008009C" w:rsidRDefault="00936FDF">
            <w:pPr>
              <w:jc w:val="right"/>
              <w:textAlignment w:val="bottom"/>
            </w:pPr>
            <w:r>
              <w:rPr>
                <w:rFonts w:ascii="Arial" w:eastAsia="宋体" w:hAnsi="Arial" w:cs="Arial"/>
                <w:color w:val="0068B5"/>
                <w:sz w:val="18"/>
                <w:szCs w:val="18"/>
              </w:rPr>
              <w:t>368 </w:t>
            </w:r>
          </w:p>
        </w:tc>
        <w:tc>
          <w:tcPr>
            <w:tcW w:w="0" w:type="auto"/>
            <w:shd w:val="clear" w:color="auto" w:fill="auto"/>
            <w:tcMar>
              <w:top w:w="40" w:type="dxa"/>
              <w:left w:w="0" w:type="dxa"/>
              <w:bottom w:w="40" w:type="dxa"/>
              <w:right w:w="20" w:type="dxa"/>
            </w:tcMar>
            <w:vAlign w:val="bottom"/>
          </w:tcPr>
          <w:p w14:paraId="5C7C52A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2A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2A7" w14:textId="77777777" w:rsidR="0008009C" w:rsidRDefault="00936FDF">
            <w:pPr>
              <w:jc w:val="right"/>
              <w:textAlignment w:val="bottom"/>
            </w:pPr>
            <w:r>
              <w:rPr>
                <w:rFonts w:ascii="Arial" w:eastAsia="宋体" w:hAnsi="Arial" w:cs="Arial"/>
                <w:color w:val="262626"/>
                <w:sz w:val="18"/>
                <w:szCs w:val="18"/>
              </w:rPr>
              <w:t>(111)</w:t>
            </w:r>
          </w:p>
        </w:tc>
        <w:tc>
          <w:tcPr>
            <w:tcW w:w="0" w:type="auto"/>
            <w:shd w:val="clear" w:color="auto" w:fill="auto"/>
            <w:tcMar>
              <w:top w:w="40" w:type="dxa"/>
              <w:left w:w="0" w:type="dxa"/>
              <w:bottom w:w="40" w:type="dxa"/>
              <w:right w:w="20" w:type="dxa"/>
            </w:tcMar>
            <w:vAlign w:val="bottom"/>
          </w:tcPr>
          <w:p w14:paraId="5C7C52A8" w14:textId="77777777" w:rsidR="0008009C" w:rsidRDefault="0008009C">
            <w:pPr>
              <w:jc w:val="right"/>
              <w:rPr>
                <w:rFonts w:ascii="宋体"/>
              </w:rPr>
            </w:pPr>
          </w:p>
        </w:tc>
        <w:tc>
          <w:tcPr>
            <w:tcW w:w="0" w:type="auto"/>
            <w:shd w:val="clear" w:color="auto" w:fill="auto"/>
          </w:tcPr>
          <w:p w14:paraId="5C7C52A9" w14:textId="77777777" w:rsidR="0008009C" w:rsidRDefault="0008009C">
            <w:pPr>
              <w:rPr>
                <w:rFonts w:ascii="宋体"/>
                <w:vanish/>
              </w:rPr>
            </w:pPr>
          </w:p>
        </w:tc>
        <w:tc>
          <w:tcPr>
            <w:tcW w:w="0" w:type="auto"/>
            <w:shd w:val="clear" w:color="auto" w:fill="auto"/>
          </w:tcPr>
          <w:p w14:paraId="5C7C52AA" w14:textId="77777777" w:rsidR="0008009C" w:rsidRDefault="0008009C">
            <w:pPr>
              <w:rPr>
                <w:rFonts w:ascii="宋体"/>
                <w:vanish/>
              </w:rPr>
            </w:pPr>
          </w:p>
        </w:tc>
        <w:tc>
          <w:tcPr>
            <w:tcW w:w="0" w:type="auto"/>
            <w:gridSpan w:val="3"/>
            <w:shd w:val="clear" w:color="auto" w:fill="auto"/>
          </w:tcPr>
          <w:p w14:paraId="5C7C52AB" w14:textId="77777777" w:rsidR="0008009C" w:rsidRDefault="0008009C">
            <w:pPr>
              <w:rPr>
                <w:rFonts w:ascii="宋体"/>
                <w:vanish/>
              </w:rPr>
            </w:pPr>
          </w:p>
        </w:tc>
        <w:tc>
          <w:tcPr>
            <w:tcW w:w="0" w:type="auto"/>
            <w:gridSpan w:val="3"/>
            <w:shd w:val="clear" w:color="auto" w:fill="auto"/>
          </w:tcPr>
          <w:p w14:paraId="5C7C52AC" w14:textId="77777777" w:rsidR="0008009C" w:rsidRDefault="0008009C">
            <w:pPr>
              <w:rPr>
                <w:rFonts w:ascii="宋体"/>
                <w:vanish/>
              </w:rPr>
            </w:pPr>
          </w:p>
        </w:tc>
      </w:tr>
      <w:tr w:rsidR="0008009C" w14:paraId="5C7C52B9" w14:textId="77777777">
        <w:tc>
          <w:tcPr>
            <w:tcW w:w="0" w:type="auto"/>
            <w:gridSpan w:val="3"/>
            <w:shd w:val="clear" w:color="auto" w:fill="auto"/>
            <w:tcMar>
              <w:top w:w="40" w:type="dxa"/>
              <w:left w:w="20" w:type="dxa"/>
              <w:bottom w:w="40" w:type="dxa"/>
              <w:right w:w="20" w:type="dxa"/>
            </w:tcMar>
          </w:tcPr>
          <w:p w14:paraId="5C7C52AE" w14:textId="77777777" w:rsidR="0008009C" w:rsidRDefault="00936FDF">
            <w:pPr>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tcPr>
          <w:p w14:paraId="5C7C52A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2B0" w14:textId="77777777" w:rsidR="0008009C" w:rsidRDefault="00936FDF">
            <w:pPr>
              <w:jc w:val="right"/>
              <w:textAlignment w:val="bottom"/>
            </w:pPr>
            <w:r>
              <w:rPr>
                <w:rFonts w:ascii="Arial" w:eastAsia="宋体" w:hAnsi="Arial" w:cs="Arial"/>
                <w:color w:val="0068B5"/>
                <w:sz w:val="18"/>
                <w:szCs w:val="18"/>
              </w:rPr>
              <w:t>(156)</w:t>
            </w:r>
          </w:p>
        </w:tc>
        <w:tc>
          <w:tcPr>
            <w:tcW w:w="0" w:type="auto"/>
            <w:shd w:val="clear" w:color="auto" w:fill="auto"/>
            <w:tcMar>
              <w:top w:w="40" w:type="dxa"/>
              <w:left w:w="0" w:type="dxa"/>
              <w:bottom w:w="40" w:type="dxa"/>
              <w:right w:w="20" w:type="dxa"/>
            </w:tcMar>
            <w:vAlign w:val="bottom"/>
          </w:tcPr>
          <w:p w14:paraId="5C7C52B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2B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2B3" w14:textId="77777777" w:rsidR="0008009C" w:rsidRDefault="00936FDF">
            <w:pPr>
              <w:jc w:val="right"/>
              <w:textAlignment w:val="bottom"/>
            </w:pPr>
            <w:r>
              <w:rPr>
                <w:rFonts w:ascii="Arial" w:eastAsia="宋体" w:hAnsi="Arial" w:cs="Arial"/>
                <w:color w:val="262626"/>
                <w:sz w:val="18"/>
                <w:szCs w:val="18"/>
              </w:rPr>
              <w:t>(313)</w:t>
            </w:r>
          </w:p>
        </w:tc>
        <w:tc>
          <w:tcPr>
            <w:tcW w:w="0" w:type="auto"/>
            <w:shd w:val="clear" w:color="auto" w:fill="auto"/>
            <w:tcMar>
              <w:top w:w="40" w:type="dxa"/>
              <w:left w:w="0" w:type="dxa"/>
              <w:bottom w:w="40" w:type="dxa"/>
              <w:right w:w="20" w:type="dxa"/>
            </w:tcMar>
            <w:vAlign w:val="bottom"/>
          </w:tcPr>
          <w:p w14:paraId="5C7C52B4" w14:textId="77777777" w:rsidR="0008009C" w:rsidRDefault="0008009C">
            <w:pPr>
              <w:jc w:val="right"/>
              <w:rPr>
                <w:rFonts w:ascii="宋体"/>
              </w:rPr>
            </w:pPr>
          </w:p>
        </w:tc>
        <w:tc>
          <w:tcPr>
            <w:tcW w:w="0" w:type="auto"/>
            <w:shd w:val="clear" w:color="auto" w:fill="auto"/>
          </w:tcPr>
          <w:p w14:paraId="5C7C52B5" w14:textId="77777777" w:rsidR="0008009C" w:rsidRDefault="0008009C">
            <w:pPr>
              <w:rPr>
                <w:rFonts w:ascii="宋体"/>
                <w:vanish/>
              </w:rPr>
            </w:pPr>
          </w:p>
        </w:tc>
        <w:tc>
          <w:tcPr>
            <w:tcW w:w="0" w:type="auto"/>
            <w:shd w:val="clear" w:color="auto" w:fill="auto"/>
          </w:tcPr>
          <w:p w14:paraId="5C7C52B6" w14:textId="77777777" w:rsidR="0008009C" w:rsidRDefault="0008009C">
            <w:pPr>
              <w:rPr>
                <w:rFonts w:ascii="宋体"/>
                <w:vanish/>
              </w:rPr>
            </w:pPr>
          </w:p>
        </w:tc>
        <w:tc>
          <w:tcPr>
            <w:tcW w:w="0" w:type="auto"/>
            <w:gridSpan w:val="3"/>
            <w:shd w:val="clear" w:color="auto" w:fill="auto"/>
          </w:tcPr>
          <w:p w14:paraId="5C7C52B7" w14:textId="77777777" w:rsidR="0008009C" w:rsidRDefault="0008009C">
            <w:pPr>
              <w:rPr>
                <w:rFonts w:ascii="宋体"/>
                <w:vanish/>
              </w:rPr>
            </w:pPr>
          </w:p>
        </w:tc>
        <w:tc>
          <w:tcPr>
            <w:tcW w:w="0" w:type="auto"/>
            <w:gridSpan w:val="3"/>
            <w:shd w:val="clear" w:color="auto" w:fill="auto"/>
          </w:tcPr>
          <w:p w14:paraId="5C7C52B8" w14:textId="77777777" w:rsidR="0008009C" w:rsidRDefault="0008009C">
            <w:pPr>
              <w:rPr>
                <w:rFonts w:ascii="宋体"/>
                <w:vanish/>
              </w:rPr>
            </w:pPr>
          </w:p>
        </w:tc>
      </w:tr>
      <w:tr w:rsidR="0008009C" w14:paraId="5C7C52C5" w14:textId="77777777">
        <w:tc>
          <w:tcPr>
            <w:tcW w:w="0" w:type="auto"/>
            <w:gridSpan w:val="3"/>
            <w:shd w:val="clear" w:color="auto" w:fill="auto"/>
            <w:tcMar>
              <w:top w:w="40" w:type="dxa"/>
              <w:left w:w="20" w:type="dxa"/>
              <w:bottom w:w="40" w:type="dxa"/>
              <w:right w:w="20" w:type="dxa"/>
            </w:tcMar>
          </w:tcPr>
          <w:p w14:paraId="5C7C52BA" w14:textId="77777777" w:rsidR="0008009C" w:rsidRDefault="00936FDF">
            <w:pPr>
              <w:textAlignment w:val="top"/>
            </w:pPr>
            <w:r>
              <w:rPr>
                <w:rFonts w:ascii="Arial" w:eastAsia="宋体" w:hAnsi="Arial" w:cs="Arial"/>
                <w:b/>
                <w:bCs/>
                <w:color w:val="262626"/>
                <w:sz w:val="18"/>
                <w:szCs w:val="18"/>
              </w:rPr>
              <w:t>Income before taxes</w:t>
            </w:r>
          </w:p>
        </w:tc>
        <w:tc>
          <w:tcPr>
            <w:tcW w:w="0" w:type="auto"/>
            <w:gridSpan w:val="3"/>
            <w:shd w:val="clear" w:color="auto" w:fill="auto"/>
            <w:tcMar>
              <w:top w:w="0" w:type="dxa"/>
              <w:left w:w="20" w:type="dxa"/>
              <w:bottom w:w="0" w:type="dxa"/>
              <w:right w:w="20" w:type="dxa"/>
            </w:tcMar>
          </w:tcPr>
          <w:p w14:paraId="5C7C52BB"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2BC" w14:textId="77777777" w:rsidR="0008009C" w:rsidRDefault="00936FDF">
            <w:pPr>
              <w:jc w:val="right"/>
              <w:textAlignment w:val="bottom"/>
            </w:pPr>
            <w:r>
              <w:rPr>
                <w:rFonts w:ascii="Arial" w:eastAsia="宋体" w:hAnsi="Arial" w:cs="Arial"/>
                <w:b/>
                <w:bCs/>
                <w:color w:val="0068B5"/>
                <w:sz w:val="18"/>
                <w:szCs w:val="18"/>
              </w:rPr>
              <w:t>3,906</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2B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2BE"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2BF" w14:textId="77777777" w:rsidR="0008009C" w:rsidRDefault="00936FDF">
            <w:pPr>
              <w:jc w:val="right"/>
              <w:textAlignment w:val="bottom"/>
            </w:pPr>
            <w:r>
              <w:rPr>
                <w:rFonts w:ascii="Arial" w:eastAsia="宋体" w:hAnsi="Arial" w:cs="Arial"/>
                <w:b/>
                <w:bCs/>
                <w:color w:val="262626"/>
                <w:sz w:val="18"/>
                <w:szCs w:val="18"/>
              </w:rPr>
              <w:t>6,614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2C0" w14:textId="77777777" w:rsidR="0008009C" w:rsidRDefault="0008009C">
            <w:pPr>
              <w:jc w:val="right"/>
              <w:rPr>
                <w:rFonts w:ascii="宋体"/>
              </w:rPr>
            </w:pPr>
          </w:p>
        </w:tc>
        <w:tc>
          <w:tcPr>
            <w:tcW w:w="0" w:type="auto"/>
            <w:shd w:val="clear" w:color="auto" w:fill="auto"/>
          </w:tcPr>
          <w:p w14:paraId="5C7C52C1" w14:textId="77777777" w:rsidR="0008009C" w:rsidRDefault="0008009C">
            <w:pPr>
              <w:rPr>
                <w:rFonts w:ascii="宋体"/>
                <w:vanish/>
              </w:rPr>
            </w:pPr>
          </w:p>
        </w:tc>
        <w:tc>
          <w:tcPr>
            <w:tcW w:w="0" w:type="auto"/>
            <w:shd w:val="clear" w:color="auto" w:fill="auto"/>
          </w:tcPr>
          <w:p w14:paraId="5C7C52C2" w14:textId="77777777" w:rsidR="0008009C" w:rsidRDefault="0008009C">
            <w:pPr>
              <w:rPr>
                <w:rFonts w:ascii="宋体"/>
                <w:vanish/>
              </w:rPr>
            </w:pPr>
          </w:p>
        </w:tc>
        <w:tc>
          <w:tcPr>
            <w:tcW w:w="0" w:type="auto"/>
            <w:gridSpan w:val="3"/>
            <w:shd w:val="clear" w:color="auto" w:fill="auto"/>
          </w:tcPr>
          <w:p w14:paraId="5C7C52C3" w14:textId="77777777" w:rsidR="0008009C" w:rsidRDefault="0008009C">
            <w:pPr>
              <w:rPr>
                <w:rFonts w:ascii="宋体"/>
                <w:vanish/>
              </w:rPr>
            </w:pPr>
          </w:p>
        </w:tc>
        <w:tc>
          <w:tcPr>
            <w:tcW w:w="0" w:type="auto"/>
            <w:gridSpan w:val="3"/>
            <w:shd w:val="clear" w:color="auto" w:fill="auto"/>
          </w:tcPr>
          <w:p w14:paraId="5C7C52C4" w14:textId="77777777" w:rsidR="0008009C" w:rsidRDefault="0008009C">
            <w:pPr>
              <w:rPr>
                <w:rFonts w:ascii="宋体"/>
                <w:vanish/>
              </w:rPr>
            </w:pPr>
          </w:p>
        </w:tc>
      </w:tr>
      <w:tr w:rsidR="0008009C" w14:paraId="5C7C52D1" w14:textId="77777777">
        <w:tc>
          <w:tcPr>
            <w:tcW w:w="0" w:type="auto"/>
            <w:gridSpan w:val="3"/>
            <w:shd w:val="clear" w:color="auto" w:fill="auto"/>
            <w:tcMar>
              <w:top w:w="40" w:type="dxa"/>
              <w:left w:w="20" w:type="dxa"/>
              <w:bottom w:w="40" w:type="dxa"/>
              <w:right w:w="20" w:type="dxa"/>
            </w:tcMar>
          </w:tcPr>
          <w:p w14:paraId="5C7C52C6" w14:textId="77777777" w:rsidR="0008009C" w:rsidRDefault="00936FDF">
            <w:pPr>
              <w:textAlignment w:val="top"/>
            </w:pPr>
            <w:r>
              <w:rPr>
                <w:rFonts w:ascii="Arial" w:eastAsia="宋体" w:hAnsi="Arial" w:cs="Arial"/>
                <w:color w:val="262626"/>
                <w:sz w:val="18"/>
                <w:szCs w:val="18"/>
              </w:rPr>
              <w:t>Provision for taxes</w:t>
            </w:r>
          </w:p>
        </w:tc>
        <w:tc>
          <w:tcPr>
            <w:tcW w:w="0" w:type="auto"/>
            <w:gridSpan w:val="3"/>
            <w:shd w:val="clear" w:color="auto" w:fill="auto"/>
            <w:tcMar>
              <w:top w:w="0" w:type="dxa"/>
              <w:left w:w="20" w:type="dxa"/>
              <w:bottom w:w="0" w:type="dxa"/>
              <w:right w:w="20" w:type="dxa"/>
            </w:tcMar>
          </w:tcPr>
          <w:p w14:paraId="5C7C52C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2C8" w14:textId="77777777" w:rsidR="0008009C" w:rsidRDefault="00936FDF">
            <w:pPr>
              <w:jc w:val="right"/>
              <w:textAlignment w:val="bottom"/>
            </w:pPr>
            <w:r>
              <w:rPr>
                <w:rFonts w:ascii="Arial" w:eastAsia="宋体" w:hAnsi="Arial" w:cs="Arial"/>
                <w:color w:val="0068B5"/>
                <w:sz w:val="18"/>
                <w:szCs w:val="18"/>
              </w:rPr>
              <w:t>545 </w:t>
            </w:r>
          </w:p>
        </w:tc>
        <w:tc>
          <w:tcPr>
            <w:tcW w:w="0" w:type="auto"/>
            <w:shd w:val="clear" w:color="auto" w:fill="auto"/>
            <w:tcMar>
              <w:top w:w="40" w:type="dxa"/>
              <w:left w:w="0" w:type="dxa"/>
              <w:bottom w:w="40" w:type="dxa"/>
              <w:right w:w="20" w:type="dxa"/>
            </w:tcMar>
            <w:vAlign w:val="bottom"/>
          </w:tcPr>
          <w:p w14:paraId="5C7C52C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2C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2CB" w14:textId="77777777" w:rsidR="0008009C" w:rsidRDefault="00936FDF">
            <w:pPr>
              <w:jc w:val="right"/>
              <w:textAlignment w:val="bottom"/>
            </w:pPr>
            <w:r>
              <w:rPr>
                <w:rFonts w:ascii="Arial" w:eastAsia="宋体" w:hAnsi="Arial" w:cs="Arial"/>
                <w:color w:val="262626"/>
                <w:sz w:val="18"/>
                <w:szCs w:val="18"/>
              </w:rPr>
              <w:t>953 </w:t>
            </w:r>
          </w:p>
        </w:tc>
        <w:tc>
          <w:tcPr>
            <w:tcW w:w="0" w:type="auto"/>
            <w:shd w:val="clear" w:color="auto" w:fill="auto"/>
            <w:tcMar>
              <w:top w:w="40" w:type="dxa"/>
              <w:left w:w="0" w:type="dxa"/>
              <w:bottom w:w="40" w:type="dxa"/>
              <w:right w:w="20" w:type="dxa"/>
            </w:tcMar>
            <w:vAlign w:val="bottom"/>
          </w:tcPr>
          <w:p w14:paraId="5C7C52CC" w14:textId="77777777" w:rsidR="0008009C" w:rsidRDefault="0008009C">
            <w:pPr>
              <w:jc w:val="right"/>
              <w:rPr>
                <w:rFonts w:ascii="宋体"/>
              </w:rPr>
            </w:pPr>
          </w:p>
        </w:tc>
        <w:tc>
          <w:tcPr>
            <w:tcW w:w="0" w:type="auto"/>
            <w:shd w:val="clear" w:color="auto" w:fill="auto"/>
          </w:tcPr>
          <w:p w14:paraId="5C7C52CD" w14:textId="77777777" w:rsidR="0008009C" w:rsidRDefault="0008009C">
            <w:pPr>
              <w:rPr>
                <w:rFonts w:ascii="宋体"/>
                <w:vanish/>
              </w:rPr>
            </w:pPr>
          </w:p>
        </w:tc>
        <w:tc>
          <w:tcPr>
            <w:tcW w:w="0" w:type="auto"/>
            <w:shd w:val="clear" w:color="auto" w:fill="auto"/>
          </w:tcPr>
          <w:p w14:paraId="5C7C52CE" w14:textId="77777777" w:rsidR="0008009C" w:rsidRDefault="0008009C">
            <w:pPr>
              <w:rPr>
                <w:rFonts w:ascii="宋体"/>
                <w:vanish/>
              </w:rPr>
            </w:pPr>
          </w:p>
        </w:tc>
        <w:tc>
          <w:tcPr>
            <w:tcW w:w="0" w:type="auto"/>
            <w:gridSpan w:val="3"/>
            <w:shd w:val="clear" w:color="auto" w:fill="auto"/>
          </w:tcPr>
          <w:p w14:paraId="5C7C52CF" w14:textId="77777777" w:rsidR="0008009C" w:rsidRDefault="0008009C">
            <w:pPr>
              <w:rPr>
                <w:rFonts w:ascii="宋体"/>
                <w:vanish/>
              </w:rPr>
            </w:pPr>
          </w:p>
        </w:tc>
        <w:tc>
          <w:tcPr>
            <w:tcW w:w="0" w:type="auto"/>
            <w:gridSpan w:val="3"/>
            <w:shd w:val="clear" w:color="auto" w:fill="auto"/>
          </w:tcPr>
          <w:p w14:paraId="5C7C52D0" w14:textId="77777777" w:rsidR="0008009C" w:rsidRDefault="0008009C">
            <w:pPr>
              <w:rPr>
                <w:rFonts w:ascii="宋体"/>
                <w:vanish/>
              </w:rPr>
            </w:pPr>
          </w:p>
        </w:tc>
      </w:tr>
      <w:tr w:rsidR="0008009C" w14:paraId="5C7C52DF" w14:textId="77777777">
        <w:tc>
          <w:tcPr>
            <w:tcW w:w="0" w:type="auto"/>
            <w:gridSpan w:val="3"/>
            <w:shd w:val="clear" w:color="auto" w:fill="auto"/>
            <w:tcMar>
              <w:top w:w="40" w:type="dxa"/>
              <w:left w:w="20" w:type="dxa"/>
              <w:bottom w:w="40" w:type="dxa"/>
              <w:right w:w="20" w:type="dxa"/>
            </w:tcMar>
          </w:tcPr>
          <w:p w14:paraId="5C7C52D2" w14:textId="77777777" w:rsidR="0008009C" w:rsidRDefault="00936FDF">
            <w:pPr>
              <w:textAlignment w:val="top"/>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tcPr>
          <w:p w14:paraId="5C7C52D3"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52D4"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52D5" w14:textId="77777777" w:rsidR="0008009C" w:rsidRDefault="00936FDF">
            <w:pPr>
              <w:jc w:val="right"/>
              <w:textAlignment w:val="bottom"/>
            </w:pPr>
            <w:r>
              <w:rPr>
                <w:rFonts w:ascii="Arial" w:eastAsia="宋体" w:hAnsi="Arial" w:cs="Arial"/>
                <w:b/>
                <w:bCs/>
                <w:color w:val="0068B5"/>
                <w:sz w:val="18"/>
                <w:szCs w:val="18"/>
              </w:rPr>
              <w:t>3,361</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2D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2D7"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52D8"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52D9" w14:textId="77777777" w:rsidR="0008009C" w:rsidRDefault="00936FDF">
            <w:pPr>
              <w:jc w:val="right"/>
              <w:textAlignment w:val="bottom"/>
            </w:pPr>
            <w:r>
              <w:rPr>
                <w:rFonts w:ascii="Arial" w:eastAsia="宋体" w:hAnsi="Arial" w:cs="Arial"/>
                <w:b/>
                <w:bCs/>
                <w:color w:val="262626"/>
                <w:sz w:val="18"/>
                <w:szCs w:val="18"/>
              </w:rPr>
              <w:t>5,661</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2DA" w14:textId="77777777" w:rsidR="0008009C" w:rsidRDefault="0008009C">
            <w:pPr>
              <w:jc w:val="right"/>
              <w:rPr>
                <w:rFonts w:ascii="宋体"/>
              </w:rPr>
            </w:pPr>
          </w:p>
        </w:tc>
        <w:tc>
          <w:tcPr>
            <w:tcW w:w="0" w:type="auto"/>
            <w:shd w:val="clear" w:color="auto" w:fill="auto"/>
          </w:tcPr>
          <w:p w14:paraId="5C7C52DB" w14:textId="77777777" w:rsidR="0008009C" w:rsidRDefault="0008009C">
            <w:pPr>
              <w:rPr>
                <w:rFonts w:ascii="宋体"/>
                <w:vanish/>
              </w:rPr>
            </w:pPr>
          </w:p>
        </w:tc>
        <w:tc>
          <w:tcPr>
            <w:tcW w:w="0" w:type="auto"/>
            <w:shd w:val="clear" w:color="auto" w:fill="auto"/>
          </w:tcPr>
          <w:p w14:paraId="5C7C52DC" w14:textId="77777777" w:rsidR="0008009C" w:rsidRDefault="0008009C">
            <w:pPr>
              <w:rPr>
                <w:rFonts w:ascii="宋体"/>
                <w:vanish/>
              </w:rPr>
            </w:pPr>
          </w:p>
        </w:tc>
        <w:tc>
          <w:tcPr>
            <w:tcW w:w="0" w:type="auto"/>
            <w:gridSpan w:val="3"/>
            <w:shd w:val="clear" w:color="auto" w:fill="auto"/>
          </w:tcPr>
          <w:p w14:paraId="5C7C52DD" w14:textId="77777777" w:rsidR="0008009C" w:rsidRDefault="0008009C">
            <w:pPr>
              <w:rPr>
                <w:rFonts w:ascii="宋体"/>
                <w:vanish/>
              </w:rPr>
            </w:pPr>
          </w:p>
        </w:tc>
        <w:tc>
          <w:tcPr>
            <w:tcW w:w="0" w:type="auto"/>
            <w:gridSpan w:val="3"/>
            <w:shd w:val="clear" w:color="auto" w:fill="auto"/>
          </w:tcPr>
          <w:p w14:paraId="5C7C52DE" w14:textId="77777777" w:rsidR="0008009C" w:rsidRDefault="0008009C">
            <w:pPr>
              <w:rPr>
                <w:rFonts w:ascii="宋体"/>
                <w:vanish/>
              </w:rPr>
            </w:pPr>
          </w:p>
        </w:tc>
      </w:tr>
      <w:tr w:rsidR="0008009C" w14:paraId="5C7C52ED" w14:textId="77777777">
        <w:tc>
          <w:tcPr>
            <w:tcW w:w="0" w:type="auto"/>
            <w:gridSpan w:val="3"/>
            <w:shd w:val="clear" w:color="auto" w:fill="auto"/>
            <w:tcMar>
              <w:top w:w="40" w:type="dxa"/>
              <w:left w:w="20" w:type="dxa"/>
              <w:bottom w:w="40" w:type="dxa"/>
              <w:right w:w="20" w:type="dxa"/>
            </w:tcMar>
          </w:tcPr>
          <w:p w14:paraId="5C7C52E0" w14:textId="77777777" w:rsidR="0008009C" w:rsidRDefault="00936FDF">
            <w:pPr>
              <w:textAlignment w:val="top"/>
            </w:pPr>
            <w:r>
              <w:rPr>
                <w:rFonts w:ascii="Arial" w:eastAsia="宋体" w:hAnsi="Arial" w:cs="Arial"/>
                <w:b/>
                <w:bCs/>
                <w:color w:val="262626"/>
                <w:sz w:val="18"/>
                <w:szCs w:val="18"/>
              </w:rPr>
              <w:t>Earnings</w:t>
            </w:r>
            <w:r>
              <w:rPr>
                <w:rFonts w:ascii="Arial" w:eastAsia="宋体" w:hAnsi="Arial" w:cs="Arial"/>
                <w:b/>
                <w:bCs/>
                <w:color w:val="262626"/>
                <w:sz w:val="18"/>
                <w:szCs w:val="18"/>
              </w:rPr>
              <w:t xml:space="preserve"> per share—basic</w:t>
            </w:r>
          </w:p>
        </w:tc>
        <w:tc>
          <w:tcPr>
            <w:tcW w:w="0" w:type="auto"/>
            <w:gridSpan w:val="3"/>
            <w:shd w:val="clear" w:color="auto" w:fill="auto"/>
            <w:tcMar>
              <w:top w:w="0" w:type="dxa"/>
              <w:left w:w="20" w:type="dxa"/>
              <w:bottom w:w="0" w:type="dxa"/>
              <w:right w:w="20" w:type="dxa"/>
            </w:tcMar>
          </w:tcPr>
          <w:p w14:paraId="5C7C52E1" w14:textId="77777777" w:rsidR="0008009C" w:rsidRDefault="0008009C">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5C7C52E2" w14:textId="77777777" w:rsidR="0008009C" w:rsidRDefault="00936FDF">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5C7C52E3" w14:textId="77777777" w:rsidR="0008009C" w:rsidRDefault="00936FDF">
            <w:pPr>
              <w:jc w:val="right"/>
              <w:textAlignment w:val="bottom"/>
            </w:pPr>
            <w:r>
              <w:rPr>
                <w:rFonts w:ascii="Arial" w:eastAsia="宋体" w:hAnsi="Arial" w:cs="Arial"/>
                <w:b/>
                <w:bCs/>
                <w:color w:val="0068B5"/>
                <w:sz w:val="18"/>
                <w:szCs w:val="18"/>
              </w:rPr>
              <w:t>0.83</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5C7C52E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2E5" w14:textId="77777777" w:rsidR="0008009C" w:rsidRDefault="0008009C">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5C7C52E6" w14:textId="77777777" w:rsidR="0008009C" w:rsidRDefault="00936FDF">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5C7C52E7" w14:textId="77777777" w:rsidR="0008009C" w:rsidRDefault="00936FDF">
            <w:pPr>
              <w:jc w:val="right"/>
              <w:textAlignment w:val="bottom"/>
            </w:pPr>
            <w:r>
              <w:rPr>
                <w:rFonts w:ascii="Arial" w:eastAsia="宋体" w:hAnsi="Arial" w:cs="Arial"/>
                <w:b/>
                <w:bCs/>
                <w:color w:val="262626"/>
                <w:sz w:val="18"/>
                <w:szCs w:val="18"/>
              </w:rPr>
              <w:t>1.33</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5C7C52E8" w14:textId="77777777" w:rsidR="0008009C" w:rsidRDefault="0008009C">
            <w:pPr>
              <w:jc w:val="right"/>
              <w:rPr>
                <w:rFonts w:ascii="宋体"/>
              </w:rPr>
            </w:pPr>
          </w:p>
        </w:tc>
        <w:tc>
          <w:tcPr>
            <w:tcW w:w="0" w:type="auto"/>
            <w:shd w:val="clear" w:color="auto" w:fill="auto"/>
          </w:tcPr>
          <w:p w14:paraId="5C7C52E9" w14:textId="77777777" w:rsidR="0008009C" w:rsidRDefault="0008009C">
            <w:pPr>
              <w:rPr>
                <w:rFonts w:ascii="宋体"/>
                <w:vanish/>
              </w:rPr>
            </w:pPr>
          </w:p>
        </w:tc>
        <w:tc>
          <w:tcPr>
            <w:tcW w:w="0" w:type="auto"/>
            <w:shd w:val="clear" w:color="auto" w:fill="auto"/>
          </w:tcPr>
          <w:p w14:paraId="5C7C52EA" w14:textId="77777777" w:rsidR="0008009C" w:rsidRDefault="0008009C">
            <w:pPr>
              <w:rPr>
                <w:rFonts w:ascii="宋体"/>
                <w:vanish/>
              </w:rPr>
            </w:pPr>
          </w:p>
        </w:tc>
        <w:tc>
          <w:tcPr>
            <w:tcW w:w="0" w:type="auto"/>
            <w:gridSpan w:val="3"/>
            <w:shd w:val="clear" w:color="auto" w:fill="auto"/>
          </w:tcPr>
          <w:p w14:paraId="5C7C52EB" w14:textId="77777777" w:rsidR="0008009C" w:rsidRDefault="0008009C">
            <w:pPr>
              <w:rPr>
                <w:rFonts w:ascii="宋体"/>
                <w:vanish/>
              </w:rPr>
            </w:pPr>
          </w:p>
        </w:tc>
        <w:tc>
          <w:tcPr>
            <w:tcW w:w="0" w:type="auto"/>
            <w:gridSpan w:val="3"/>
            <w:shd w:val="clear" w:color="auto" w:fill="auto"/>
          </w:tcPr>
          <w:p w14:paraId="5C7C52EC" w14:textId="77777777" w:rsidR="0008009C" w:rsidRDefault="0008009C">
            <w:pPr>
              <w:rPr>
                <w:rFonts w:ascii="宋体"/>
                <w:vanish/>
              </w:rPr>
            </w:pPr>
          </w:p>
        </w:tc>
      </w:tr>
      <w:tr w:rsidR="0008009C" w14:paraId="5C7C52FB" w14:textId="77777777">
        <w:tc>
          <w:tcPr>
            <w:tcW w:w="0" w:type="auto"/>
            <w:gridSpan w:val="3"/>
            <w:shd w:val="clear" w:color="auto" w:fill="auto"/>
            <w:tcMar>
              <w:top w:w="40" w:type="dxa"/>
              <w:left w:w="20" w:type="dxa"/>
              <w:bottom w:w="40" w:type="dxa"/>
              <w:right w:w="20" w:type="dxa"/>
            </w:tcMar>
          </w:tcPr>
          <w:p w14:paraId="5C7C52EE" w14:textId="77777777" w:rsidR="0008009C" w:rsidRDefault="00936FDF">
            <w:pPr>
              <w:textAlignment w:val="top"/>
            </w:pPr>
            <w:r>
              <w:rPr>
                <w:rFonts w:ascii="Arial" w:eastAsia="宋体" w:hAnsi="Arial" w:cs="Arial"/>
                <w:b/>
                <w:bCs/>
                <w:color w:val="262626"/>
                <w:sz w:val="18"/>
                <w:szCs w:val="18"/>
              </w:rPr>
              <w:t>Earnings</w:t>
            </w:r>
            <w:r>
              <w:rPr>
                <w:rFonts w:ascii="Arial" w:eastAsia="宋体" w:hAnsi="Arial" w:cs="Arial"/>
                <w:b/>
                <w:bCs/>
                <w:color w:val="262626"/>
                <w:sz w:val="18"/>
                <w:szCs w:val="18"/>
              </w:rPr>
              <w:t xml:space="preserve"> per share—diluted</w:t>
            </w:r>
          </w:p>
        </w:tc>
        <w:tc>
          <w:tcPr>
            <w:tcW w:w="0" w:type="auto"/>
            <w:gridSpan w:val="3"/>
            <w:shd w:val="clear" w:color="auto" w:fill="auto"/>
            <w:tcMar>
              <w:top w:w="0" w:type="dxa"/>
              <w:left w:w="20" w:type="dxa"/>
              <w:bottom w:w="0" w:type="dxa"/>
              <w:right w:w="20" w:type="dxa"/>
            </w:tcMar>
          </w:tcPr>
          <w:p w14:paraId="5C7C52EF" w14:textId="77777777" w:rsidR="0008009C" w:rsidRDefault="0008009C">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5C7C52F0" w14:textId="77777777" w:rsidR="0008009C" w:rsidRDefault="00936FDF">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5C7C52F1" w14:textId="77777777" w:rsidR="0008009C" w:rsidRDefault="00936FDF">
            <w:pPr>
              <w:jc w:val="right"/>
              <w:textAlignment w:val="bottom"/>
            </w:pPr>
            <w:r>
              <w:rPr>
                <w:rFonts w:ascii="Arial" w:eastAsia="宋体" w:hAnsi="Arial" w:cs="Arial"/>
                <w:b/>
                <w:bCs/>
                <w:color w:val="0068B5"/>
                <w:sz w:val="18"/>
                <w:szCs w:val="18"/>
              </w:rPr>
              <w:t>0.82</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5C7C52F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2F3" w14:textId="77777777" w:rsidR="0008009C" w:rsidRDefault="0008009C">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5C7C52F4" w14:textId="77777777" w:rsidR="0008009C" w:rsidRDefault="00936FDF">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5C7C52F5" w14:textId="77777777" w:rsidR="0008009C" w:rsidRDefault="00936FDF">
            <w:pPr>
              <w:jc w:val="right"/>
              <w:textAlignment w:val="bottom"/>
            </w:pPr>
            <w:r>
              <w:rPr>
                <w:rFonts w:ascii="Arial" w:eastAsia="宋体" w:hAnsi="Arial" w:cs="Arial"/>
                <w:b/>
                <w:bCs/>
                <w:color w:val="262626"/>
                <w:sz w:val="18"/>
                <w:szCs w:val="18"/>
              </w:rPr>
              <w:t>1.31</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5C7C52F6" w14:textId="77777777" w:rsidR="0008009C" w:rsidRDefault="0008009C">
            <w:pPr>
              <w:jc w:val="right"/>
              <w:rPr>
                <w:rFonts w:ascii="宋体"/>
              </w:rPr>
            </w:pPr>
          </w:p>
        </w:tc>
        <w:tc>
          <w:tcPr>
            <w:tcW w:w="0" w:type="auto"/>
            <w:shd w:val="clear" w:color="auto" w:fill="auto"/>
          </w:tcPr>
          <w:p w14:paraId="5C7C52F7" w14:textId="77777777" w:rsidR="0008009C" w:rsidRDefault="0008009C">
            <w:pPr>
              <w:rPr>
                <w:rFonts w:ascii="宋体"/>
                <w:vanish/>
              </w:rPr>
            </w:pPr>
          </w:p>
        </w:tc>
        <w:tc>
          <w:tcPr>
            <w:tcW w:w="0" w:type="auto"/>
            <w:shd w:val="clear" w:color="auto" w:fill="auto"/>
          </w:tcPr>
          <w:p w14:paraId="5C7C52F8" w14:textId="77777777" w:rsidR="0008009C" w:rsidRDefault="0008009C">
            <w:pPr>
              <w:rPr>
                <w:rFonts w:ascii="宋体"/>
                <w:vanish/>
              </w:rPr>
            </w:pPr>
          </w:p>
        </w:tc>
        <w:tc>
          <w:tcPr>
            <w:tcW w:w="0" w:type="auto"/>
            <w:gridSpan w:val="3"/>
            <w:shd w:val="clear" w:color="auto" w:fill="auto"/>
          </w:tcPr>
          <w:p w14:paraId="5C7C52F9" w14:textId="77777777" w:rsidR="0008009C" w:rsidRDefault="0008009C">
            <w:pPr>
              <w:rPr>
                <w:rFonts w:ascii="宋体"/>
                <w:vanish/>
              </w:rPr>
            </w:pPr>
          </w:p>
        </w:tc>
        <w:tc>
          <w:tcPr>
            <w:tcW w:w="0" w:type="auto"/>
            <w:gridSpan w:val="3"/>
            <w:shd w:val="clear" w:color="auto" w:fill="auto"/>
          </w:tcPr>
          <w:p w14:paraId="5C7C52FA" w14:textId="77777777" w:rsidR="0008009C" w:rsidRDefault="0008009C">
            <w:pPr>
              <w:rPr>
                <w:rFonts w:ascii="宋体"/>
                <w:vanish/>
              </w:rPr>
            </w:pPr>
          </w:p>
        </w:tc>
      </w:tr>
      <w:tr w:rsidR="0008009C" w14:paraId="5C7C5305" w14:textId="77777777">
        <w:trPr>
          <w:hidden/>
        </w:trPr>
        <w:tc>
          <w:tcPr>
            <w:tcW w:w="0" w:type="auto"/>
            <w:gridSpan w:val="3"/>
            <w:shd w:val="clear" w:color="auto" w:fill="auto"/>
          </w:tcPr>
          <w:p w14:paraId="5C7C52FC" w14:textId="77777777" w:rsidR="0008009C" w:rsidRDefault="0008009C">
            <w:pPr>
              <w:rPr>
                <w:rFonts w:ascii="宋体"/>
                <w:vanish/>
              </w:rPr>
            </w:pPr>
          </w:p>
        </w:tc>
        <w:tc>
          <w:tcPr>
            <w:tcW w:w="0" w:type="auto"/>
            <w:gridSpan w:val="3"/>
            <w:shd w:val="clear" w:color="auto" w:fill="auto"/>
          </w:tcPr>
          <w:p w14:paraId="5C7C52FD" w14:textId="77777777" w:rsidR="0008009C" w:rsidRDefault="0008009C">
            <w:pPr>
              <w:rPr>
                <w:rFonts w:ascii="宋体"/>
                <w:vanish/>
              </w:rPr>
            </w:pPr>
          </w:p>
        </w:tc>
        <w:tc>
          <w:tcPr>
            <w:tcW w:w="0" w:type="auto"/>
            <w:gridSpan w:val="3"/>
            <w:shd w:val="clear" w:color="auto" w:fill="auto"/>
          </w:tcPr>
          <w:p w14:paraId="5C7C52FE" w14:textId="77777777" w:rsidR="0008009C" w:rsidRDefault="0008009C">
            <w:pPr>
              <w:rPr>
                <w:rFonts w:ascii="宋体"/>
                <w:vanish/>
              </w:rPr>
            </w:pPr>
          </w:p>
        </w:tc>
        <w:tc>
          <w:tcPr>
            <w:tcW w:w="0" w:type="auto"/>
            <w:gridSpan w:val="3"/>
            <w:shd w:val="clear" w:color="auto" w:fill="auto"/>
          </w:tcPr>
          <w:p w14:paraId="5C7C52FF" w14:textId="77777777" w:rsidR="0008009C" w:rsidRDefault="0008009C">
            <w:pPr>
              <w:rPr>
                <w:rFonts w:ascii="宋体"/>
                <w:vanish/>
              </w:rPr>
            </w:pPr>
          </w:p>
        </w:tc>
        <w:tc>
          <w:tcPr>
            <w:tcW w:w="0" w:type="auto"/>
            <w:gridSpan w:val="3"/>
            <w:shd w:val="clear" w:color="auto" w:fill="auto"/>
          </w:tcPr>
          <w:p w14:paraId="5C7C5300" w14:textId="77777777" w:rsidR="0008009C" w:rsidRDefault="0008009C">
            <w:pPr>
              <w:rPr>
                <w:rFonts w:ascii="宋体"/>
                <w:vanish/>
              </w:rPr>
            </w:pPr>
          </w:p>
        </w:tc>
        <w:tc>
          <w:tcPr>
            <w:tcW w:w="0" w:type="auto"/>
            <w:shd w:val="clear" w:color="auto" w:fill="auto"/>
          </w:tcPr>
          <w:p w14:paraId="5C7C5301" w14:textId="77777777" w:rsidR="0008009C" w:rsidRDefault="0008009C">
            <w:pPr>
              <w:rPr>
                <w:rFonts w:ascii="宋体"/>
                <w:vanish/>
              </w:rPr>
            </w:pPr>
          </w:p>
        </w:tc>
        <w:tc>
          <w:tcPr>
            <w:tcW w:w="0" w:type="auto"/>
            <w:shd w:val="clear" w:color="auto" w:fill="auto"/>
          </w:tcPr>
          <w:p w14:paraId="5C7C5302" w14:textId="77777777" w:rsidR="0008009C" w:rsidRDefault="0008009C">
            <w:pPr>
              <w:rPr>
                <w:rFonts w:ascii="宋体"/>
                <w:vanish/>
              </w:rPr>
            </w:pPr>
          </w:p>
        </w:tc>
        <w:tc>
          <w:tcPr>
            <w:tcW w:w="0" w:type="auto"/>
            <w:gridSpan w:val="3"/>
            <w:shd w:val="clear" w:color="auto" w:fill="auto"/>
          </w:tcPr>
          <w:p w14:paraId="5C7C5303" w14:textId="77777777" w:rsidR="0008009C" w:rsidRDefault="0008009C">
            <w:pPr>
              <w:rPr>
                <w:rFonts w:ascii="宋体"/>
                <w:vanish/>
              </w:rPr>
            </w:pPr>
          </w:p>
        </w:tc>
        <w:tc>
          <w:tcPr>
            <w:tcW w:w="0" w:type="auto"/>
            <w:gridSpan w:val="3"/>
            <w:shd w:val="clear" w:color="auto" w:fill="auto"/>
          </w:tcPr>
          <w:p w14:paraId="5C7C5304" w14:textId="77777777" w:rsidR="0008009C" w:rsidRDefault="0008009C">
            <w:pPr>
              <w:rPr>
                <w:rFonts w:ascii="宋体"/>
                <w:vanish/>
              </w:rPr>
            </w:pPr>
          </w:p>
        </w:tc>
      </w:tr>
      <w:tr w:rsidR="0008009C" w14:paraId="5C7C530F" w14:textId="77777777">
        <w:tc>
          <w:tcPr>
            <w:tcW w:w="0" w:type="auto"/>
            <w:gridSpan w:val="3"/>
            <w:shd w:val="clear" w:color="auto" w:fill="auto"/>
            <w:tcMar>
              <w:top w:w="40" w:type="dxa"/>
              <w:left w:w="20" w:type="dxa"/>
              <w:bottom w:w="40" w:type="dxa"/>
              <w:right w:w="20" w:type="dxa"/>
            </w:tcMar>
          </w:tcPr>
          <w:p w14:paraId="5C7C5306" w14:textId="77777777" w:rsidR="0008009C" w:rsidRDefault="00936FDF">
            <w:pPr>
              <w:textAlignment w:val="top"/>
            </w:pPr>
            <w:r>
              <w:rPr>
                <w:rFonts w:ascii="Arial" w:eastAsia="宋体" w:hAnsi="Arial" w:cs="Arial"/>
                <w:color w:val="262626"/>
                <w:sz w:val="18"/>
                <w:szCs w:val="18"/>
              </w:rPr>
              <w:t>Weighted average shares of common stock outstanding:</w:t>
            </w:r>
          </w:p>
        </w:tc>
        <w:tc>
          <w:tcPr>
            <w:tcW w:w="0" w:type="auto"/>
            <w:gridSpan w:val="3"/>
            <w:shd w:val="clear" w:color="auto" w:fill="auto"/>
            <w:tcMar>
              <w:top w:w="0" w:type="dxa"/>
              <w:left w:w="20" w:type="dxa"/>
              <w:bottom w:w="0" w:type="dxa"/>
              <w:right w:w="20" w:type="dxa"/>
            </w:tcMar>
          </w:tcPr>
          <w:p w14:paraId="5C7C5307"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530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309"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530A" w14:textId="77777777" w:rsidR="0008009C" w:rsidRDefault="0008009C">
            <w:pPr>
              <w:rPr>
                <w:rFonts w:ascii="宋体"/>
              </w:rPr>
            </w:pPr>
          </w:p>
        </w:tc>
        <w:tc>
          <w:tcPr>
            <w:tcW w:w="0" w:type="auto"/>
            <w:shd w:val="clear" w:color="auto" w:fill="auto"/>
          </w:tcPr>
          <w:p w14:paraId="5C7C530B" w14:textId="77777777" w:rsidR="0008009C" w:rsidRDefault="0008009C">
            <w:pPr>
              <w:rPr>
                <w:rFonts w:ascii="宋体"/>
                <w:vanish/>
              </w:rPr>
            </w:pPr>
          </w:p>
        </w:tc>
        <w:tc>
          <w:tcPr>
            <w:tcW w:w="0" w:type="auto"/>
            <w:shd w:val="clear" w:color="auto" w:fill="auto"/>
          </w:tcPr>
          <w:p w14:paraId="5C7C530C" w14:textId="77777777" w:rsidR="0008009C" w:rsidRDefault="0008009C">
            <w:pPr>
              <w:rPr>
                <w:rFonts w:ascii="宋体"/>
                <w:vanish/>
              </w:rPr>
            </w:pPr>
          </w:p>
        </w:tc>
        <w:tc>
          <w:tcPr>
            <w:tcW w:w="0" w:type="auto"/>
            <w:gridSpan w:val="3"/>
            <w:shd w:val="clear" w:color="auto" w:fill="auto"/>
          </w:tcPr>
          <w:p w14:paraId="5C7C530D" w14:textId="77777777" w:rsidR="0008009C" w:rsidRDefault="0008009C">
            <w:pPr>
              <w:rPr>
                <w:rFonts w:ascii="宋体"/>
                <w:vanish/>
              </w:rPr>
            </w:pPr>
          </w:p>
        </w:tc>
        <w:tc>
          <w:tcPr>
            <w:tcW w:w="0" w:type="auto"/>
            <w:gridSpan w:val="3"/>
            <w:shd w:val="clear" w:color="auto" w:fill="auto"/>
          </w:tcPr>
          <w:p w14:paraId="5C7C530E" w14:textId="77777777" w:rsidR="0008009C" w:rsidRDefault="0008009C">
            <w:pPr>
              <w:rPr>
                <w:rFonts w:ascii="宋体"/>
                <w:vanish/>
              </w:rPr>
            </w:pPr>
          </w:p>
        </w:tc>
      </w:tr>
      <w:tr w:rsidR="0008009C" w14:paraId="5C7C531B" w14:textId="77777777">
        <w:tc>
          <w:tcPr>
            <w:tcW w:w="0" w:type="auto"/>
            <w:gridSpan w:val="3"/>
            <w:shd w:val="clear" w:color="auto" w:fill="auto"/>
            <w:tcMar>
              <w:top w:w="40" w:type="dxa"/>
              <w:left w:w="185" w:type="dxa"/>
              <w:bottom w:w="40" w:type="dxa"/>
              <w:right w:w="20" w:type="dxa"/>
            </w:tcMar>
          </w:tcPr>
          <w:p w14:paraId="5C7C5310" w14:textId="77777777" w:rsidR="0008009C" w:rsidRDefault="00936FDF">
            <w:pPr>
              <w:textAlignment w:val="top"/>
            </w:pPr>
            <w:r>
              <w:rPr>
                <w:rFonts w:ascii="Arial" w:eastAsia="宋体" w:hAnsi="Arial" w:cs="Arial"/>
                <w:b/>
                <w:bCs/>
                <w:color w:val="262626"/>
                <w:sz w:val="18"/>
                <w:szCs w:val="18"/>
              </w:rPr>
              <w:t>Basic</w:t>
            </w:r>
          </w:p>
        </w:tc>
        <w:tc>
          <w:tcPr>
            <w:tcW w:w="0" w:type="auto"/>
            <w:gridSpan w:val="3"/>
            <w:shd w:val="clear" w:color="auto" w:fill="auto"/>
            <w:tcMar>
              <w:top w:w="0" w:type="dxa"/>
              <w:left w:w="20" w:type="dxa"/>
              <w:bottom w:w="0" w:type="dxa"/>
              <w:right w:w="20" w:type="dxa"/>
            </w:tcMar>
          </w:tcPr>
          <w:p w14:paraId="5C7C531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312" w14:textId="77777777" w:rsidR="0008009C" w:rsidRDefault="00936FDF">
            <w:pPr>
              <w:jc w:val="right"/>
              <w:textAlignment w:val="bottom"/>
            </w:pPr>
            <w:r>
              <w:rPr>
                <w:rFonts w:ascii="Arial" w:eastAsia="宋体" w:hAnsi="Arial" w:cs="Arial"/>
                <w:b/>
                <w:bCs/>
                <w:color w:val="0068B5"/>
                <w:sz w:val="18"/>
                <w:szCs w:val="18"/>
              </w:rPr>
              <w:t>4,056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31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31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315" w14:textId="77777777" w:rsidR="0008009C" w:rsidRDefault="00936FDF">
            <w:pPr>
              <w:jc w:val="right"/>
              <w:textAlignment w:val="bottom"/>
            </w:pPr>
            <w:r>
              <w:rPr>
                <w:rFonts w:ascii="Arial" w:eastAsia="宋体" w:hAnsi="Arial" w:cs="Arial"/>
                <w:b/>
                <w:bCs/>
                <w:color w:val="262626"/>
                <w:sz w:val="18"/>
                <w:szCs w:val="18"/>
              </w:rPr>
              <w:t>4,266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316" w14:textId="77777777" w:rsidR="0008009C" w:rsidRDefault="0008009C">
            <w:pPr>
              <w:jc w:val="right"/>
              <w:rPr>
                <w:rFonts w:ascii="宋体"/>
              </w:rPr>
            </w:pPr>
          </w:p>
        </w:tc>
        <w:tc>
          <w:tcPr>
            <w:tcW w:w="0" w:type="auto"/>
            <w:shd w:val="clear" w:color="auto" w:fill="auto"/>
          </w:tcPr>
          <w:p w14:paraId="5C7C5317" w14:textId="77777777" w:rsidR="0008009C" w:rsidRDefault="0008009C">
            <w:pPr>
              <w:rPr>
                <w:rFonts w:ascii="宋体"/>
                <w:vanish/>
              </w:rPr>
            </w:pPr>
          </w:p>
        </w:tc>
        <w:tc>
          <w:tcPr>
            <w:tcW w:w="0" w:type="auto"/>
            <w:shd w:val="clear" w:color="auto" w:fill="auto"/>
          </w:tcPr>
          <w:p w14:paraId="5C7C5318" w14:textId="77777777" w:rsidR="0008009C" w:rsidRDefault="0008009C">
            <w:pPr>
              <w:rPr>
                <w:rFonts w:ascii="宋体"/>
                <w:vanish/>
              </w:rPr>
            </w:pPr>
          </w:p>
        </w:tc>
        <w:tc>
          <w:tcPr>
            <w:tcW w:w="0" w:type="auto"/>
            <w:gridSpan w:val="3"/>
            <w:shd w:val="clear" w:color="auto" w:fill="auto"/>
          </w:tcPr>
          <w:p w14:paraId="5C7C5319" w14:textId="77777777" w:rsidR="0008009C" w:rsidRDefault="0008009C">
            <w:pPr>
              <w:rPr>
                <w:rFonts w:ascii="宋体"/>
                <w:vanish/>
              </w:rPr>
            </w:pPr>
          </w:p>
        </w:tc>
        <w:tc>
          <w:tcPr>
            <w:tcW w:w="0" w:type="auto"/>
            <w:gridSpan w:val="3"/>
            <w:shd w:val="clear" w:color="auto" w:fill="auto"/>
          </w:tcPr>
          <w:p w14:paraId="5C7C531A" w14:textId="77777777" w:rsidR="0008009C" w:rsidRDefault="0008009C">
            <w:pPr>
              <w:rPr>
                <w:rFonts w:ascii="宋体"/>
                <w:vanish/>
              </w:rPr>
            </w:pPr>
          </w:p>
        </w:tc>
      </w:tr>
      <w:tr w:rsidR="0008009C" w14:paraId="5C7C5327" w14:textId="77777777">
        <w:tc>
          <w:tcPr>
            <w:tcW w:w="0" w:type="auto"/>
            <w:gridSpan w:val="3"/>
            <w:shd w:val="clear" w:color="auto" w:fill="auto"/>
            <w:tcMar>
              <w:top w:w="40" w:type="dxa"/>
              <w:left w:w="185" w:type="dxa"/>
              <w:bottom w:w="40" w:type="dxa"/>
              <w:right w:w="20" w:type="dxa"/>
            </w:tcMar>
          </w:tcPr>
          <w:p w14:paraId="5C7C531C" w14:textId="77777777" w:rsidR="0008009C" w:rsidRDefault="00936FDF">
            <w:pPr>
              <w:textAlignment w:val="top"/>
            </w:pPr>
            <w:r>
              <w:rPr>
                <w:rFonts w:ascii="Arial" w:eastAsia="宋体" w:hAnsi="Arial" w:cs="Arial"/>
                <w:b/>
                <w:bCs/>
                <w:color w:val="262626"/>
                <w:sz w:val="18"/>
                <w:szCs w:val="18"/>
              </w:rPr>
              <w:t>Diluted</w:t>
            </w:r>
          </w:p>
        </w:tc>
        <w:tc>
          <w:tcPr>
            <w:tcW w:w="0" w:type="auto"/>
            <w:gridSpan w:val="3"/>
            <w:shd w:val="clear" w:color="auto" w:fill="auto"/>
            <w:tcMar>
              <w:top w:w="0" w:type="dxa"/>
              <w:left w:w="20" w:type="dxa"/>
              <w:bottom w:w="0" w:type="dxa"/>
              <w:right w:w="20" w:type="dxa"/>
            </w:tcMar>
          </w:tcPr>
          <w:p w14:paraId="5C7C531D" w14:textId="77777777" w:rsidR="0008009C" w:rsidRDefault="0008009C">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5C7C531E" w14:textId="77777777" w:rsidR="0008009C" w:rsidRDefault="00936FDF">
            <w:pPr>
              <w:jc w:val="right"/>
              <w:textAlignment w:val="bottom"/>
            </w:pPr>
            <w:r>
              <w:rPr>
                <w:rFonts w:ascii="Arial" w:eastAsia="宋体" w:hAnsi="Arial" w:cs="Arial"/>
                <w:b/>
                <w:bCs/>
                <w:color w:val="0068B5"/>
                <w:sz w:val="18"/>
                <w:szCs w:val="18"/>
              </w:rPr>
              <w:t>4,096</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5C7C531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320" w14:textId="77777777" w:rsidR="0008009C" w:rsidRDefault="0008009C">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5C7C5321" w14:textId="77777777" w:rsidR="0008009C" w:rsidRDefault="00936FDF">
            <w:pPr>
              <w:jc w:val="right"/>
              <w:textAlignment w:val="bottom"/>
            </w:pPr>
            <w:r>
              <w:rPr>
                <w:rFonts w:ascii="Arial" w:eastAsia="宋体" w:hAnsi="Arial" w:cs="Arial"/>
                <w:b/>
                <w:bCs/>
                <w:color w:val="262626"/>
                <w:sz w:val="18"/>
                <w:szCs w:val="18"/>
              </w:rPr>
              <w:t>4,312</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5C7C5322" w14:textId="77777777" w:rsidR="0008009C" w:rsidRDefault="0008009C">
            <w:pPr>
              <w:jc w:val="right"/>
              <w:rPr>
                <w:rFonts w:ascii="宋体"/>
              </w:rPr>
            </w:pPr>
          </w:p>
        </w:tc>
        <w:tc>
          <w:tcPr>
            <w:tcW w:w="0" w:type="auto"/>
            <w:shd w:val="clear" w:color="auto" w:fill="auto"/>
          </w:tcPr>
          <w:p w14:paraId="5C7C5323" w14:textId="77777777" w:rsidR="0008009C" w:rsidRDefault="0008009C">
            <w:pPr>
              <w:rPr>
                <w:rFonts w:ascii="宋体"/>
                <w:vanish/>
              </w:rPr>
            </w:pPr>
          </w:p>
        </w:tc>
        <w:tc>
          <w:tcPr>
            <w:tcW w:w="0" w:type="auto"/>
            <w:shd w:val="clear" w:color="auto" w:fill="auto"/>
          </w:tcPr>
          <w:p w14:paraId="5C7C5324" w14:textId="77777777" w:rsidR="0008009C" w:rsidRDefault="0008009C">
            <w:pPr>
              <w:rPr>
                <w:rFonts w:ascii="宋体"/>
                <w:vanish/>
              </w:rPr>
            </w:pPr>
          </w:p>
        </w:tc>
        <w:tc>
          <w:tcPr>
            <w:tcW w:w="0" w:type="auto"/>
            <w:gridSpan w:val="3"/>
            <w:shd w:val="clear" w:color="auto" w:fill="auto"/>
          </w:tcPr>
          <w:p w14:paraId="5C7C5325" w14:textId="77777777" w:rsidR="0008009C" w:rsidRDefault="0008009C">
            <w:pPr>
              <w:rPr>
                <w:rFonts w:ascii="宋体"/>
                <w:vanish/>
              </w:rPr>
            </w:pPr>
          </w:p>
        </w:tc>
        <w:tc>
          <w:tcPr>
            <w:tcW w:w="0" w:type="auto"/>
            <w:gridSpan w:val="3"/>
            <w:shd w:val="clear" w:color="auto" w:fill="auto"/>
          </w:tcPr>
          <w:p w14:paraId="5C7C5326" w14:textId="77777777" w:rsidR="0008009C" w:rsidRDefault="0008009C">
            <w:pPr>
              <w:rPr>
                <w:rFonts w:ascii="宋体"/>
                <w:vanish/>
              </w:rPr>
            </w:pPr>
          </w:p>
        </w:tc>
      </w:tr>
    </w:tbl>
    <w:p w14:paraId="5C7C5328" w14:textId="77777777" w:rsidR="0008009C" w:rsidRDefault="00936FDF">
      <w:pPr>
        <w:spacing w:before="180" w:after="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60"/>
        <w:gridCol w:w="3917"/>
        <w:gridCol w:w="36"/>
        <w:gridCol w:w="60"/>
        <w:gridCol w:w="1969"/>
        <w:gridCol w:w="36"/>
      </w:tblGrid>
      <w:tr w:rsidR="0008009C" w14:paraId="5C7C5335" w14:textId="77777777">
        <w:tc>
          <w:tcPr>
            <w:tcW w:w="50" w:type="pct"/>
            <w:shd w:val="clear" w:color="auto" w:fill="auto"/>
            <w:vAlign w:val="bottom"/>
          </w:tcPr>
          <w:p w14:paraId="5C7C5329" w14:textId="77777777" w:rsidR="0008009C" w:rsidRDefault="0008009C">
            <w:pPr>
              <w:rPr>
                <w:rFonts w:ascii="宋体"/>
              </w:rPr>
            </w:pPr>
          </w:p>
        </w:tc>
        <w:tc>
          <w:tcPr>
            <w:tcW w:w="238" w:type="pct"/>
            <w:shd w:val="clear" w:color="auto" w:fill="auto"/>
            <w:vAlign w:val="bottom"/>
          </w:tcPr>
          <w:p w14:paraId="5C7C532A" w14:textId="77777777" w:rsidR="0008009C" w:rsidRDefault="0008009C">
            <w:pPr>
              <w:rPr>
                <w:rFonts w:ascii="宋体"/>
              </w:rPr>
            </w:pPr>
          </w:p>
        </w:tc>
        <w:tc>
          <w:tcPr>
            <w:tcW w:w="5" w:type="pct"/>
            <w:shd w:val="clear" w:color="auto" w:fill="auto"/>
            <w:vAlign w:val="bottom"/>
          </w:tcPr>
          <w:p w14:paraId="5C7C532B" w14:textId="77777777" w:rsidR="0008009C" w:rsidRDefault="0008009C">
            <w:pPr>
              <w:rPr>
                <w:rFonts w:ascii="宋体"/>
              </w:rPr>
            </w:pPr>
          </w:p>
        </w:tc>
        <w:tc>
          <w:tcPr>
            <w:tcW w:w="50" w:type="pct"/>
            <w:shd w:val="clear" w:color="auto" w:fill="auto"/>
            <w:vAlign w:val="bottom"/>
          </w:tcPr>
          <w:p w14:paraId="5C7C532C" w14:textId="77777777" w:rsidR="0008009C" w:rsidRDefault="0008009C">
            <w:pPr>
              <w:rPr>
                <w:rFonts w:ascii="宋体"/>
              </w:rPr>
            </w:pPr>
          </w:p>
        </w:tc>
        <w:tc>
          <w:tcPr>
            <w:tcW w:w="983" w:type="pct"/>
            <w:shd w:val="clear" w:color="auto" w:fill="auto"/>
            <w:vAlign w:val="bottom"/>
          </w:tcPr>
          <w:p w14:paraId="5C7C532D" w14:textId="77777777" w:rsidR="0008009C" w:rsidRDefault="0008009C">
            <w:pPr>
              <w:rPr>
                <w:rFonts w:ascii="宋体"/>
              </w:rPr>
            </w:pPr>
          </w:p>
        </w:tc>
        <w:tc>
          <w:tcPr>
            <w:tcW w:w="5" w:type="pct"/>
            <w:shd w:val="clear" w:color="auto" w:fill="auto"/>
            <w:vAlign w:val="bottom"/>
          </w:tcPr>
          <w:p w14:paraId="5C7C532E" w14:textId="77777777" w:rsidR="0008009C" w:rsidRDefault="0008009C">
            <w:pPr>
              <w:rPr>
                <w:rFonts w:ascii="宋体"/>
              </w:rPr>
            </w:pPr>
          </w:p>
        </w:tc>
        <w:tc>
          <w:tcPr>
            <w:tcW w:w="50" w:type="pct"/>
            <w:shd w:val="clear" w:color="auto" w:fill="auto"/>
            <w:vAlign w:val="bottom"/>
          </w:tcPr>
          <w:p w14:paraId="5C7C532F" w14:textId="77777777" w:rsidR="0008009C" w:rsidRDefault="0008009C">
            <w:pPr>
              <w:rPr>
                <w:rFonts w:ascii="宋体"/>
              </w:rPr>
            </w:pPr>
          </w:p>
        </w:tc>
        <w:tc>
          <w:tcPr>
            <w:tcW w:w="2363" w:type="pct"/>
            <w:shd w:val="clear" w:color="auto" w:fill="auto"/>
            <w:vAlign w:val="bottom"/>
          </w:tcPr>
          <w:p w14:paraId="5C7C5330" w14:textId="77777777" w:rsidR="0008009C" w:rsidRDefault="0008009C">
            <w:pPr>
              <w:rPr>
                <w:rFonts w:ascii="宋体"/>
              </w:rPr>
            </w:pPr>
          </w:p>
        </w:tc>
        <w:tc>
          <w:tcPr>
            <w:tcW w:w="5" w:type="pct"/>
            <w:shd w:val="clear" w:color="auto" w:fill="auto"/>
            <w:vAlign w:val="bottom"/>
          </w:tcPr>
          <w:p w14:paraId="5C7C5331" w14:textId="77777777" w:rsidR="0008009C" w:rsidRDefault="0008009C">
            <w:pPr>
              <w:rPr>
                <w:rFonts w:ascii="宋体"/>
              </w:rPr>
            </w:pPr>
          </w:p>
        </w:tc>
        <w:tc>
          <w:tcPr>
            <w:tcW w:w="50" w:type="pct"/>
            <w:shd w:val="clear" w:color="auto" w:fill="auto"/>
            <w:vAlign w:val="bottom"/>
          </w:tcPr>
          <w:p w14:paraId="5C7C5332" w14:textId="77777777" w:rsidR="0008009C" w:rsidRDefault="0008009C">
            <w:pPr>
              <w:rPr>
                <w:rFonts w:ascii="宋体"/>
              </w:rPr>
            </w:pPr>
          </w:p>
        </w:tc>
        <w:tc>
          <w:tcPr>
            <w:tcW w:w="1195" w:type="pct"/>
            <w:shd w:val="clear" w:color="auto" w:fill="auto"/>
            <w:vAlign w:val="bottom"/>
          </w:tcPr>
          <w:p w14:paraId="5C7C5333" w14:textId="77777777" w:rsidR="0008009C" w:rsidRDefault="0008009C">
            <w:pPr>
              <w:rPr>
                <w:rFonts w:ascii="宋体"/>
              </w:rPr>
            </w:pPr>
          </w:p>
        </w:tc>
        <w:tc>
          <w:tcPr>
            <w:tcW w:w="5" w:type="pct"/>
            <w:shd w:val="clear" w:color="auto" w:fill="auto"/>
            <w:vAlign w:val="bottom"/>
          </w:tcPr>
          <w:p w14:paraId="5C7C5334" w14:textId="77777777" w:rsidR="0008009C" w:rsidRDefault="0008009C">
            <w:pPr>
              <w:rPr>
                <w:rFonts w:ascii="宋体"/>
              </w:rPr>
            </w:pPr>
          </w:p>
        </w:tc>
      </w:tr>
      <w:tr w:rsidR="0008009C" w14:paraId="5C7C533A"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5336"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CF3" wp14:editId="5C7C7CF4">
                  <wp:extent cx="304800" cy="304800"/>
                  <wp:effectExtent l="0" t="0" r="0" b="0"/>
                  <wp:docPr id="6" name="图片 45"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5"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337"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5338" w14:textId="77777777" w:rsidR="0008009C" w:rsidRDefault="00936FDF">
            <w:pPr>
              <w:textAlignment w:val="center"/>
            </w:pPr>
            <w:r>
              <w:rPr>
                <w:rFonts w:ascii="Arial" w:eastAsia="宋体" w:hAnsi="Arial" w:cs="Arial"/>
                <w:color w:val="262626"/>
                <w:sz w:val="16"/>
                <w:szCs w:val="16"/>
              </w:rPr>
              <w:t>  Consolidated Condensed Statements of Income</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339" w14:textId="77777777" w:rsidR="0008009C" w:rsidRDefault="00936FDF">
            <w:pPr>
              <w:jc w:val="right"/>
              <w:textAlignment w:val="center"/>
            </w:pPr>
            <w:r>
              <w:rPr>
                <w:rFonts w:ascii="Arial" w:eastAsia="宋体" w:hAnsi="Arial" w:cs="Arial"/>
                <w:color w:val="262626"/>
                <w:sz w:val="16"/>
                <w:szCs w:val="16"/>
              </w:rPr>
              <w:t>3</w:t>
            </w:r>
          </w:p>
        </w:tc>
      </w:tr>
    </w:tbl>
    <w:p w14:paraId="5C7C533B" w14:textId="77777777" w:rsidR="0008009C" w:rsidRDefault="00936FDF">
      <w:r>
        <w:pict w14:anchorId="5C7C7CF5">
          <v:rect id="_x0000_i1029" style="width:415.3pt;height:1.5pt" o:hralign="center" o:hrstd="t" o:hr="t" fillcolor="#a0a0a0" stroked="f"/>
        </w:pict>
      </w:r>
    </w:p>
    <w:p w14:paraId="5C7C533C" w14:textId="77777777" w:rsidR="0008009C" w:rsidRDefault="00936FDF">
      <w:pPr>
        <w:spacing w:after="180"/>
        <w:jc w:val="right"/>
      </w:pPr>
      <w:hyperlink r:id="rId29" w:anchor="i3a00378f6cc84b1c9cfc83239548ad53_7" w:history="1">
        <w:r>
          <w:rPr>
            <w:rStyle w:val="a5"/>
            <w:rFonts w:ascii="Arial" w:eastAsia="宋体" w:hAnsi="Arial" w:cs="Arial"/>
            <w:b/>
            <w:bCs/>
            <w:sz w:val="16"/>
            <w:szCs w:val="16"/>
          </w:rPr>
          <w:t>Table of Contents</w:t>
        </w:r>
      </w:hyperlink>
    </w:p>
    <w:p w14:paraId="5C7C533D" w14:textId="77777777" w:rsidR="0008009C" w:rsidRDefault="0008009C">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8009C" w14:paraId="5C7C5344" w14:textId="77777777">
        <w:tc>
          <w:tcPr>
            <w:tcW w:w="50" w:type="pct"/>
            <w:shd w:val="clear" w:color="auto" w:fill="auto"/>
          </w:tcPr>
          <w:p w14:paraId="5C7C533E" w14:textId="77777777" w:rsidR="0008009C" w:rsidRDefault="0008009C">
            <w:pPr>
              <w:rPr>
                <w:rFonts w:ascii="宋体"/>
              </w:rPr>
            </w:pPr>
          </w:p>
        </w:tc>
        <w:tc>
          <w:tcPr>
            <w:tcW w:w="4870" w:type="pct"/>
            <w:shd w:val="clear" w:color="auto" w:fill="auto"/>
          </w:tcPr>
          <w:p w14:paraId="5C7C533F" w14:textId="77777777" w:rsidR="0008009C" w:rsidRDefault="0008009C">
            <w:pPr>
              <w:rPr>
                <w:rFonts w:ascii="宋体"/>
              </w:rPr>
            </w:pPr>
          </w:p>
        </w:tc>
        <w:tc>
          <w:tcPr>
            <w:tcW w:w="5" w:type="pct"/>
            <w:shd w:val="clear" w:color="auto" w:fill="auto"/>
          </w:tcPr>
          <w:p w14:paraId="5C7C5340" w14:textId="77777777" w:rsidR="0008009C" w:rsidRDefault="0008009C">
            <w:pPr>
              <w:rPr>
                <w:rFonts w:ascii="宋体"/>
              </w:rPr>
            </w:pPr>
          </w:p>
        </w:tc>
        <w:tc>
          <w:tcPr>
            <w:tcW w:w="5" w:type="pct"/>
            <w:shd w:val="clear" w:color="auto" w:fill="auto"/>
          </w:tcPr>
          <w:p w14:paraId="5C7C5341" w14:textId="77777777" w:rsidR="0008009C" w:rsidRDefault="0008009C">
            <w:pPr>
              <w:rPr>
                <w:rFonts w:ascii="宋体"/>
              </w:rPr>
            </w:pPr>
          </w:p>
        </w:tc>
        <w:tc>
          <w:tcPr>
            <w:tcW w:w="64" w:type="pct"/>
            <w:shd w:val="clear" w:color="auto" w:fill="auto"/>
          </w:tcPr>
          <w:p w14:paraId="5C7C5342" w14:textId="77777777" w:rsidR="0008009C" w:rsidRDefault="0008009C">
            <w:pPr>
              <w:rPr>
                <w:rFonts w:ascii="宋体"/>
              </w:rPr>
            </w:pPr>
          </w:p>
        </w:tc>
        <w:tc>
          <w:tcPr>
            <w:tcW w:w="5" w:type="pct"/>
            <w:shd w:val="clear" w:color="auto" w:fill="auto"/>
          </w:tcPr>
          <w:p w14:paraId="5C7C5343" w14:textId="77777777" w:rsidR="0008009C" w:rsidRDefault="0008009C">
            <w:pPr>
              <w:rPr>
                <w:rFonts w:ascii="宋体"/>
              </w:rPr>
            </w:pPr>
          </w:p>
        </w:tc>
      </w:tr>
      <w:tr w:rsidR="0008009C" w14:paraId="5C7C5347" w14:textId="77777777">
        <w:tc>
          <w:tcPr>
            <w:tcW w:w="0" w:type="auto"/>
            <w:gridSpan w:val="3"/>
            <w:shd w:val="clear" w:color="auto" w:fill="004A86"/>
            <w:tcMar>
              <w:top w:w="40" w:type="dxa"/>
              <w:left w:w="20" w:type="dxa"/>
              <w:bottom w:w="40" w:type="dxa"/>
              <w:right w:w="20" w:type="dxa"/>
            </w:tcMar>
            <w:vAlign w:val="center"/>
          </w:tcPr>
          <w:p w14:paraId="5C7C5345" w14:textId="77777777" w:rsidR="0008009C" w:rsidRDefault="00936FDF">
            <w:pPr>
              <w:textAlignment w:val="center"/>
            </w:pPr>
            <w:r>
              <w:rPr>
                <w:rFonts w:ascii="Arial" w:eastAsia="宋体" w:hAnsi="Arial" w:cs="Arial"/>
                <w:color w:val="FFFFFF"/>
                <w:sz w:val="36"/>
                <w:szCs w:val="36"/>
              </w:rPr>
              <w:t>Consolidated Condensed Statements of Comprehensive Income</w:t>
            </w:r>
          </w:p>
        </w:tc>
        <w:tc>
          <w:tcPr>
            <w:tcW w:w="0" w:type="auto"/>
            <w:gridSpan w:val="3"/>
            <w:shd w:val="clear" w:color="auto" w:fill="auto"/>
            <w:tcMar>
              <w:top w:w="0" w:type="dxa"/>
              <w:left w:w="20" w:type="dxa"/>
              <w:bottom w:w="0" w:type="dxa"/>
              <w:right w:w="20" w:type="dxa"/>
            </w:tcMar>
          </w:tcPr>
          <w:p w14:paraId="5C7C5346" w14:textId="77777777" w:rsidR="0008009C" w:rsidRDefault="0008009C">
            <w:pPr>
              <w:rPr>
                <w:rFonts w:ascii="宋体"/>
              </w:rPr>
            </w:pPr>
          </w:p>
        </w:tc>
      </w:tr>
      <w:tr w:rsidR="0008009C" w14:paraId="5C7C534A" w14:textId="77777777">
        <w:trPr>
          <w:trHeight w:val="160"/>
        </w:trPr>
        <w:tc>
          <w:tcPr>
            <w:tcW w:w="0" w:type="auto"/>
            <w:gridSpan w:val="3"/>
            <w:shd w:val="clear" w:color="auto" w:fill="auto"/>
            <w:tcMar>
              <w:top w:w="0" w:type="dxa"/>
              <w:left w:w="20" w:type="dxa"/>
              <w:bottom w:w="0" w:type="dxa"/>
              <w:right w:w="20" w:type="dxa"/>
            </w:tcMar>
          </w:tcPr>
          <w:p w14:paraId="5C7C5348" w14:textId="77777777" w:rsidR="0008009C" w:rsidRDefault="0008009C">
            <w:pPr>
              <w:rPr>
                <w:rFonts w:ascii="宋体"/>
              </w:rPr>
            </w:pPr>
          </w:p>
        </w:tc>
        <w:tc>
          <w:tcPr>
            <w:tcW w:w="0" w:type="auto"/>
            <w:gridSpan w:val="3"/>
            <w:shd w:val="clear" w:color="auto" w:fill="00A3F6"/>
            <w:tcMar>
              <w:top w:w="0" w:type="dxa"/>
              <w:left w:w="20" w:type="dxa"/>
              <w:bottom w:w="0" w:type="dxa"/>
              <w:right w:w="20" w:type="dxa"/>
            </w:tcMar>
          </w:tcPr>
          <w:p w14:paraId="5C7C5349" w14:textId="77777777" w:rsidR="0008009C" w:rsidRDefault="0008009C">
            <w:pPr>
              <w:rPr>
                <w:rFonts w:ascii="宋体"/>
              </w:rPr>
            </w:pPr>
          </w:p>
        </w:tc>
      </w:tr>
    </w:tbl>
    <w:p w14:paraId="5C7C534B"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831"/>
        <w:gridCol w:w="38"/>
        <w:gridCol w:w="36"/>
        <w:gridCol w:w="36"/>
        <w:gridCol w:w="36"/>
        <w:gridCol w:w="122"/>
        <w:gridCol w:w="804"/>
        <w:gridCol w:w="37"/>
        <w:gridCol w:w="37"/>
        <w:gridCol w:w="36"/>
        <w:gridCol w:w="36"/>
        <w:gridCol w:w="121"/>
        <w:gridCol w:w="803"/>
        <w:gridCol w:w="36"/>
        <w:gridCol w:w="36"/>
        <w:gridCol w:w="36"/>
        <w:gridCol w:w="36"/>
        <w:gridCol w:w="36"/>
        <w:gridCol w:w="36"/>
        <w:gridCol w:w="36"/>
        <w:gridCol w:w="36"/>
        <w:gridCol w:w="36"/>
      </w:tblGrid>
      <w:tr w:rsidR="0008009C" w14:paraId="5C7C535F" w14:textId="77777777">
        <w:tc>
          <w:tcPr>
            <w:tcW w:w="50" w:type="pct"/>
            <w:shd w:val="clear" w:color="auto" w:fill="auto"/>
          </w:tcPr>
          <w:p w14:paraId="5C7C534C" w14:textId="77777777" w:rsidR="0008009C" w:rsidRDefault="0008009C">
            <w:pPr>
              <w:rPr>
                <w:rFonts w:ascii="宋体"/>
              </w:rPr>
            </w:pPr>
          </w:p>
        </w:tc>
        <w:tc>
          <w:tcPr>
            <w:tcW w:w="3688" w:type="pct"/>
            <w:shd w:val="clear" w:color="auto" w:fill="auto"/>
          </w:tcPr>
          <w:p w14:paraId="5C7C534D" w14:textId="77777777" w:rsidR="0008009C" w:rsidRDefault="0008009C">
            <w:pPr>
              <w:rPr>
                <w:rFonts w:ascii="宋体"/>
              </w:rPr>
            </w:pPr>
          </w:p>
        </w:tc>
        <w:tc>
          <w:tcPr>
            <w:tcW w:w="5" w:type="pct"/>
            <w:shd w:val="clear" w:color="auto" w:fill="auto"/>
          </w:tcPr>
          <w:p w14:paraId="5C7C534E" w14:textId="77777777" w:rsidR="0008009C" w:rsidRDefault="0008009C">
            <w:pPr>
              <w:rPr>
                <w:rFonts w:ascii="宋体"/>
              </w:rPr>
            </w:pPr>
          </w:p>
        </w:tc>
        <w:tc>
          <w:tcPr>
            <w:tcW w:w="5" w:type="pct"/>
            <w:shd w:val="clear" w:color="auto" w:fill="auto"/>
          </w:tcPr>
          <w:p w14:paraId="5C7C534F" w14:textId="77777777" w:rsidR="0008009C" w:rsidRDefault="0008009C">
            <w:pPr>
              <w:rPr>
                <w:rFonts w:ascii="宋体"/>
              </w:rPr>
            </w:pPr>
          </w:p>
        </w:tc>
        <w:tc>
          <w:tcPr>
            <w:tcW w:w="24" w:type="pct"/>
            <w:shd w:val="clear" w:color="auto" w:fill="auto"/>
          </w:tcPr>
          <w:p w14:paraId="5C7C5350" w14:textId="77777777" w:rsidR="0008009C" w:rsidRDefault="0008009C">
            <w:pPr>
              <w:rPr>
                <w:rFonts w:ascii="宋体"/>
              </w:rPr>
            </w:pPr>
          </w:p>
        </w:tc>
        <w:tc>
          <w:tcPr>
            <w:tcW w:w="5" w:type="pct"/>
            <w:shd w:val="clear" w:color="auto" w:fill="auto"/>
          </w:tcPr>
          <w:p w14:paraId="5C7C5351" w14:textId="77777777" w:rsidR="0008009C" w:rsidRDefault="0008009C">
            <w:pPr>
              <w:rPr>
                <w:rFonts w:ascii="宋体"/>
              </w:rPr>
            </w:pPr>
          </w:p>
        </w:tc>
        <w:tc>
          <w:tcPr>
            <w:tcW w:w="50" w:type="pct"/>
            <w:shd w:val="clear" w:color="auto" w:fill="auto"/>
          </w:tcPr>
          <w:p w14:paraId="5C7C5352" w14:textId="77777777" w:rsidR="0008009C" w:rsidRDefault="0008009C">
            <w:pPr>
              <w:rPr>
                <w:rFonts w:ascii="宋体"/>
              </w:rPr>
            </w:pPr>
          </w:p>
        </w:tc>
        <w:tc>
          <w:tcPr>
            <w:tcW w:w="539" w:type="pct"/>
            <w:shd w:val="clear" w:color="auto" w:fill="auto"/>
          </w:tcPr>
          <w:p w14:paraId="5C7C5353" w14:textId="77777777" w:rsidR="0008009C" w:rsidRDefault="0008009C">
            <w:pPr>
              <w:rPr>
                <w:rFonts w:ascii="宋体"/>
              </w:rPr>
            </w:pPr>
          </w:p>
        </w:tc>
        <w:tc>
          <w:tcPr>
            <w:tcW w:w="5" w:type="pct"/>
            <w:shd w:val="clear" w:color="auto" w:fill="auto"/>
          </w:tcPr>
          <w:p w14:paraId="5C7C5354" w14:textId="77777777" w:rsidR="0008009C" w:rsidRDefault="0008009C">
            <w:pPr>
              <w:rPr>
                <w:rFonts w:ascii="宋体"/>
              </w:rPr>
            </w:pPr>
          </w:p>
        </w:tc>
        <w:tc>
          <w:tcPr>
            <w:tcW w:w="5" w:type="pct"/>
            <w:shd w:val="clear" w:color="auto" w:fill="auto"/>
          </w:tcPr>
          <w:p w14:paraId="5C7C5355" w14:textId="77777777" w:rsidR="0008009C" w:rsidRDefault="0008009C">
            <w:pPr>
              <w:rPr>
                <w:rFonts w:ascii="宋体"/>
              </w:rPr>
            </w:pPr>
          </w:p>
        </w:tc>
        <w:tc>
          <w:tcPr>
            <w:tcW w:w="24" w:type="pct"/>
            <w:shd w:val="clear" w:color="auto" w:fill="auto"/>
          </w:tcPr>
          <w:p w14:paraId="5C7C5356" w14:textId="77777777" w:rsidR="0008009C" w:rsidRDefault="0008009C">
            <w:pPr>
              <w:rPr>
                <w:rFonts w:ascii="宋体"/>
              </w:rPr>
            </w:pPr>
          </w:p>
        </w:tc>
        <w:tc>
          <w:tcPr>
            <w:tcW w:w="5" w:type="pct"/>
            <w:shd w:val="clear" w:color="auto" w:fill="auto"/>
          </w:tcPr>
          <w:p w14:paraId="5C7C5357" w14:textId="77777777" w:rsidR="0008009C" w:rsidRDefault="0008009C">
            <w:pPr>
              <w:rPr>
                <w:rFonts w:ascii="宋体"/>
              </w:rPr>
            </w:pPr>
          </w:p>
        </w:tc>
        <w:tc>
          <w:tcPr>
            <w:tcW w:w="50" w:type="pct"/>
            <w:shd w:val="clear" w:color="auto" w:fill="auto"/>
          </w:tcPr>
          <w:p w14:paraId="5C7C5358" w14:textId="77777777" w:rsidR="0008009C" w:rsidRDefault="0008009C">
            <w:pPr>
              <w:rPr>
                <w:rFonts w:ascii="宋体"/>
              </w:rPr>
            </w:pPr>
          </w:p>
        </w:tc>
        <w:tc>
          <w:tcPr>
            <w:tcW w:w="539" w:type="pct"/>
            <w:shd w:val="clear" w:color="auto" w:fill="auto"/>
          </w:tcPr>
          <w:p w14:paraId="5C7C5359" w14:textId="77777777" w:rsidR="0008009C" w:rsidRDefault="0008009C">
            <w:pPr>
              <w:rPr>
                <w:rFonts w:ascii="宋体"/>
              </w:rPr>
            </w:pPr>
          </w:p>
        </w:tc>
        <w:tc>
          <w:tcPr>
            <w:tcW w:w="5" w:type="pct"/>
            <w:shd w:val="clear" w:color="auto" w:fill="auto"/>
          </w:tcPr>
          <w:p w14:paraId="5C7C535A" w14:textId="77777777" w:rsidR="0008009C" w:rsidRDefault="0008009C">
            <w:pPr>
              <w:rPr>
                <w:rFonts w:ascii="宋体"/>
              </w:rPr>
            </w:pPr>
          </w:p>
        </w:tc>
        <w:tc>
          <w:tcPr>
            <w:tcW w:w="0" w:type="auto"/>
            <w:shd w:val="clear" w:color="auto" w:fill="auto"/>
          </w:tcPr>
          <w:p w14:paraId="5C7C535B" w14:textId="77777777" w:rsidR="0008009C" w:rsidRDefault="0008009C">
            <w:pPr>
              <w:rPr>
                <w:rFonts w:ascii="宋体"/>
                <w:vanish/>
              </w:rPr>
            </w:pPr>
          </w:p>
        </w:tc>
        <w:tc>
          <w:tcPr>
            <w:tcW w:w="0" w:type="auto"/>
            <w:shd w:val="clear" w:color="auto" w:fill="auto"/>
          </w:tcPr>
          <w:p w14:paraId="5C7C535C" w14:textId="77777777" w:rsidR="0008009C" w:rsidRDefault="0008009C">
            <w:pPr>
              <w:rPr>
                <w:rFonts w:ascii="宋体"/>
                <w:vanish/>
              </w:rPr>
            </w:pPr>
          </w:p>
        </w:tc>
        <w:tc>
          <w:tcPr>
            <w:tcW w:w="0" w:type="auto"/>
            <w:gridSpan w:val="3"/>
            <w:shd w:val="clear" w:color="auto" w:fill="auto"/>
          </w:tcPr>
          <w:p w14:paraId="5C7C535D" w14:textId="77777777" w:rsidR="0008009C" w:rsidRDefault="0008009C">
            <w:pPr>
              <w:rPr>
                <w:rFonts w:ascii="宋体"/>
                <w:vanish/>
              </w:rPr>
            </w:pPr>
          </w:p>
        </w:tc>
        <w:tc>
          <w:tcPr>
            <w:tcW w:w="0" w:type="auto"/>
            <w:gridSpan w:val="3"/>
            <w:shd w:val="clear" w:color="auto" w:fill="auto"/>
          </w:tcPr>
          <w:p w14:paraId="5C7C535E" w14:textId="77777777" w:rsidR="0008009C" w:rsidRDefault="0008009C">
            <w:pPr>
              <w:rPr>
                <w:rFonts w:ascii="宋体"/>
                <w:vanish/>
              </w:rPr>
            </w:pPr>
          </w:p>
        </w:tc>
      </w:tr>
      <w:tr w:rsidR="0008009C" w14:paraId="5C7C536B" w14:textId="77777777">
        <w:tc>
          <w:tcPr>
            <w:tcW w:w="0" w:type="auto"/>
            <w:gridSpan w:val="3"/>
            <w:shd w:val="clear" w:color="auto" w:fill="auto"/>
            <w:tcMar>
              <w:top w:w="0" w:type="dxa"/>
              <w:left w:w="20" w:type="dxa"/>
              <w:bottom w:w="0" w:type="dxa"/>
              <w:right w:w="20" w:type="dxa"/>
            </w:tcMar>
          </w:tcPr>
          <w:p w14:paraId="5C7C536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361"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center"/>
          </w:tcPr>
          <w:p w14:paraId="5C7C5362" w14:textId="77777777" w:rsidR="0008009C" w:rsidRDefault="00936FDF">
            <w:pPr>
              <w:jc w:val="center"/>
              <w:textAlignment w:val="center"/>
            </w:pPr>
            <w:r>
              <w:rPr>
                <w:rFonts w:ascii="Arial" w:eastAsia="宋体" w:hAnsi="Arial" w:cs="Arial"/>
                <w:b/>
                <w:bCs/>
                <w:color w:val="262626"/>
                <w:sz w:val="18"/>
                <w:szCs w:val="18"/>
              </w:rPr>
              <w:t>Three Months Ended</w:t>
            </w:r>
          </w:p>
        </w:tc>
        <w:tc>
          <w:tcPr>
            <w:tcW w:w="0" w:type="auto"/>
            <w:shd w:val="clear" w:color="auto" w:fill="auto"/>
          </w:tcPr>
          <w:p w14:paraId="5C7C5363" w14:textId="77777777" w:rsidR="0008009C" w:rsidRDefault="0008009C">
            <w:pPr>
              <w:rPr>
                <w:rFonts w:ascii="宋体"/>
                <w:vanish/>
              </w:rPr>
            </w:pPr>
          </w:p>
        </w:tc>
        <w:tc>
          <w:tcPr>
            <w:tcW w:w="0" w:type="auto"/>
            <w:shd w:val="clear" w:color="auto" w:fill="auto"/>
          </w:tcPr>
          <w:p w14:paraId="5C7C5364" w14:textId="77777777" w:rsidR="0008009C" w:rsidRDefault="0008009C">
            <w:pPr>
              <w:rPr>
                <w:rFonts w:ascii="宋体"/>
                <w:vanish/>
              </w:rPr>
            </w:pPr>
          </w:p>
        </w:tc>
        <w:tc>
          <w:tcPr>
            <w:tcW w:w="0" w:type="auto"/>
            <w:shd w:val="clear" w:color="auto" w:fill="auto"/>
          </w:tcPr>
          <w:p w14:paraId="5C7C5365" w14:textId="77777777" w:rsidR="0008009C" w:rsidRDefault="0008009C">
            <w:pPr>
              <w:rPr>
                <w:rFonts w:ascii="宋体"/>
              </w:rPr>
            </w:pPr>
          </w:p>
        </w:tc>
        <w:tc>
          <w:tcPr>
            <w:tcW w:w="0" w:type="auto"/>
            <w:shd w:val="clear" w:color="auto" w:fill="auto"/>
          </w:tcPr>
          <w:p w14:paraId="5C7C5366" w14:textId="77777777" w:rsidR="0008009C" w:rsidRDefault="0008009C">
            <w:pPr>
              <w:rPr>
                <w:rFonts w:ascii="宋体"/>
              </w:rPr>
            </w:pPr>
          </w:p>
        </w:tc>
        <w:tc>
          <w:tcPr>
            <w:tcW w:w="0" w:type="auto"/>
            <w:shd w:val="clear" w:color="auto" w:fill="auto"/>
          </w:tcPr>
          <w:p w14:paraId="5C7C5367" w14:textId="77777777" w:rsidR="0008009C" w:rsidRDefault="0008009C">
            <w:pPr>
              <w:rPr>
                <w:rFonts w:ascii="宋体"/>
              </w:rPr>
            </w:pPr>
          </w:p>
        </w:tc>
        <w:tc>
          <w:tcPr>
            <w:tcW w:w="0" w:type="auto"/>
            <w:shd w:val="clear" w:color="auto" w:fill="auto"/>
          </w:tcPr>
          <w:p w14:paraId="5C7C5368" w14:textId="77777777" w:rsidR="0008009C" w:rsidRDefault="0008009C">
            <w:pPr>
              <w:rPr>
                <w:rFonts w:ascii="宋体"/>
              </w:rPr>
            </w:pPr>
          </w:p>
        </w:tc>
        <w:tc>
          <w:tcPr>
            <w:tcW w:w="0" w:type="auto"/>
            <w:shd w:val="clear" w:color="auto" w:fill="auto"/>
          </w:tcPr>
          <w:p w14:paraId="5C7C5369" w14:textId="77777777" w:rsidR="0008009C" w:rsidRDefault="0008009C">
            <w:pPr>
              <w:rPr>
                <w:rFonts w:ascii="宋体"/>
              </w:rPr>
            </w:pPr>
          </w:p>
        </w:tc>
        <w:tc>
          <w:tcPr>
            <w:tcW w:w="0" w:type="auto"/>
            <w:shd w:val="clear" w:color="auto" w:fill="auto"/>
          </w:tcPr>
          <w:p w14:paraId="5C7C536A" w14:textId="77777777" w:rsidR="0008009C" w:rsidRDefault="0008009C">
            <w:pPr>
              <w:rPr>
                <w:rFonts w:ascii="宋体"/>
              </w:rPr>
            </w:pPr>
          </w:p>
        </w:tc>
      </w:tr>
      <w:tr w:rsidR="0008009C" w14:paraId="5C7C5375" w14:textId="77777777">
        <w:tc>
          <w:tcPr>
            <w:tcW w:w="0" w:type="auto"/>
            <w:gridSpan w:val="3"/>
            <w:shd w:val="clear" w:color="auto" w:fill="auto"/>
            <w:tcMar>
              <w:top w:w="40" w:type="dxa"/>
              <w:left w:w="20" w:type="dxa"/>
              <w:bottom w:w="40" w:type="dxa"/>
              <w:right w:w="20" w:type="dxa"/>
            </w:tcMar>
            <w:vAlign w:val="bottom"/>
          </w:tcPr>
          <w:p w14:paraId="5C7C536C" w14:textId="77777777" w:rsidR="0008009C" w:rsidRDefault="00936FDF">
            <w:pPr>
              <w:ind w:hanging="180"/>
              <w:textAlignment w:val="bottom"/>
            </w:pPr>
            <w:r>
              <w:rPr>
                <w:rFonts w:ascii="Arial" w:eastAsia="宋体" w:hAnsi="Arial" w:cs="Arial"/>
                <w:b/>
                <w:bCs/>
                <w:color w:val="262626"/>
                <w:sz w:val="18"/>
                <w:szCs w:val="18"/>
              </w:rPr>
              <w:t>(In Millions; Unaudited)</w:t>
            </w:r>
          </w:p>
        </w:tc>
        <w:tc>
          <w:tcPr>
            <w:tcW w:w="0" w:type="auto"/>
            <w:gridSpan w:val="3"/>
            <w:shd w:val="clear" w:color="auto" w:fill="auto"/>
            <w:tcMar>
              <w:top w:w="0" w:type="dxa"/>
              <w:left w:w="20" w:type="dxa"/>
              <w:bottom w:w="0" w:type="dxa"/>
              <w:right w:w="20" w:type="dxa"/>
            </w:tcMar>
          </w:tcPr>
          <w:p w14:paraId="5C7C536D"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36E"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tcBorders>
              <w:top w:val="single" w:sz="8" w:space="0" w:color="0068B5"/>
            </w:tcBorders>
            <w:shd w:val="clear" w:color="auto" w:fill="auto"/>
            <w:tcMar>
              <w:top w:w="0" w:type="dxa"/>
              <w:left w:w="20" w:type="dxa"/>
              <w:bottom w:w="0" w:type="dxa"/>
              <w:right w:w="20" w:type="dxa"/>
            </w:tcMar>
          </w:tcPr>
          <w:p w14:paraId="5C7C536F"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370" w14:textId="77777777" w:rsidR="0008009C" w:rsidRDefault="00936FDF">
            <w:pPr>
              <w:jc w:val="center"/>
              <w:textAlignment w:val="bottom"/>
            </w:pPr>
            <w:r>
              <w:rPr>
                <w:rFonts w:ascii="Arial" w:eastAsia="宋体" w:hAnsi="Arial" w:cs="Arial"/>
                <w:b/>
                <w:bCs/>
                <w:color w:val="262626"/>
                <w:sz w:val="18"/>
                <w:szCs w:val="18"/>
              </w:rPr>
              <w:t>Mar 28, 2020</w:t>
            </w:r>
          </w:p>
        </w:tc>
        <w:tc>
          <w:tcPr>
            <w:tcW w:w="0" w:type="auto"/>
            <w:shd w:val="clear" w:color="auto" w:fill="auto"/>
          </w:tcPr>
          <w:p w14:paraId="5C7C5371" w14:textId="77777777" w:rsidR="0008009C" w:rsidRDefault="0008009C">
            <w:pPr>
              <w:rPr>
                <w:rFonts w:ascii="宋体"/>
                <w:vanish/>
              </w:rPr>
            </w:pPr>
          </w:p>
        </w:tc>
        <w:tc>
          <w:tcPr>
            <w:tcW w:w="0" w:type="auto"/>
            <w:shd w:val="clear" w:color="auto" w:fill="auto"/>
          </w:tcPr>
          <w:p w14:paraId="5C7C5372" w14:textId="77777777" w:rsidR="0008009C" w:rsidRDefault="0008009C">
            <w:pPr>
              <w:rPr>
                <w:rFonts w:ascii="宋体"/>
                <w:vanish/>
              </w:rPr>
            </w:pPr>
          </w:p>
        </w:tc>
        <w:tc>
          <w:tcPr>
            <w:tcW w:w="0" w:type="auto"/>
            <w:gridSpan w:val="3"/>
            <w:shd w:val="clear" w:color="auto" w:fill="auto"/>
          </w:tcPr>
          <w:p w14:paraId="5C7C5373" w14:textId="77777777" w:rsidR="0008009C" w:rsidRDefault="0008009C">
            <w:pPr>
              <w:rPr>
                <w:rFonts w:ascii="宋体"/>
                <w:vanish/>
              </w:rPr>
            </w:pPr>
          </w:p>
        </w:tc>
        <w:tc>
          <w:tcPr>
            <w:tcW w:w="0" w:type="auto"/>
            <w:gridSpan w:val="3"/>
            <w:shd w:val="clear" w:color="auto" w:fill="auto"/>
          </w:tcPr>
          <w:p w14:paraId="5C7C5374" w14:textId="77777777" w:rsidR="0008009C" w:rsidRDefault="0008009C">
            <w:pPr>
              <w:rPr>
                <w:rFonts w:ascii="宋体"/>
                <w:vanish/>
              </w:rPr>
            </w:pPr>
          </w:p>
        </w:tc>
      </w:tr>
      <w:tr w:rsidR="0008009C" w14:paraId="5C7C5383"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5376" w14:textId="77777777" w:rsidR="0008009C" w:rsidRDefault="00936FDF">
            <w:pPr>
              <w:textAlignment w:val="top"/>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tcPr>
          <w:p w14:paraId="5C7C5377"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5378"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5379" w14:textId="77777777" w:rsidR="0008009C" w:rsidRDefault="00936FDF">
            <w:pPr>
              <w:jc w:val="right"/>
              <w:textAlignment w:val="bottom"/>
            </w:pPr>
            <w:r>
              <w:rPr>
                <w:rFonts w:ascii="Arial" w:eastAsia="宋体" w:hAnsi="Arial" w:cs="Arial"/>
                <w:b/>
                <w:bCs/>
                <w:color w:val="0068B5"/>
                <w:sz w:val="18"/>
                <w:szCs w:val="18"/>
              </w:rPr>
              <w:t>3,361</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537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37B"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537C"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537D" w14:textId="77777777" w:rsidR="0008009C" w:rsidRDefault="00936FDF">
            <w:pPr>
              <w:jc w:val="right"/>
              <w:textAlignment w:val="bottom"/>
            </w:pPr>
            <w:r>
              <w:rPr>
                <w:rFonts w:ascii="Arial" w:eastAsia="宋体" w:hAnsi="Arial" w:cs="Arial"/>
                <w:b/>
                <w:bCs/>
                <w:color w:val="262626"/>
                <w:sz w:val="18"/>
                <w:szCs w:val="18"/>
              </w:rPr>
              <w:t>5,661</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537E" w14:textId="77777777" w:rsidR="0008009C" w:rsidRDefault="0008009C">
            <w:pPr>
              <w:jc w:val="right"/>
              <w:rPr>
                <w:rFonts w:ascii="宋体"/>
              </w:rPr>
            </w:pPr>
          </w:p>
        </w:tc>
        <w:tc>
          <w:tcPr>
            <w:tcW w:w="0" w:type="auto"/>
            <w:shd w:val="clear" w:color="auto" w:fill="auto"/>
          </w:tcPr>
          <w:p w14:paraId="5C7C537F" w14:textId="77777777" w:rsidR="0008009C" w:rsidRDefault="0008009C">
            <w:pPr>
              <w:rPr>
                <w:rFonts w:ascii="宋体"/>
                <w:vanish/>
              </w:rPr>
            </w:pPr>
          </w:p>
        </w:tc>
        <w:tc>
          <w:tcPr>
            <w:tcW w:w="0" w:type="auto"/>
            <w:shd w:val="clear" w:color="auto" w:fill="auto"/>
          </w:tcPr>
          <w:p w14:paraId="5C7C5380" w14:textId="77777777" w:rsidR="0008009C" w:rsidRDefault="0008009C">
            <w:pPr>
              <w:rPr>
                <w:rFonts w:ascii="宋体"/>
                <w:vanish/>
              </w:rPr>
            </w:pPr>
          </w:p>
        </w:tc>
        <w:tc>
          <w:tcPr>
            <w:tcW w:w="0" w:type="auto"/>
            <w:gridSpan w:val="3"/>
            <w:shd w:val="clear" w:color="auto" w:fill="auto"/>
          </w:tcPr>
          <w:p w14:paraId="5C7C5381" w14:textId="77777777" w:rsidR="0008009C" w:rsidRDefault="0008009C">
            <w:pPr>
              <w:rPr>
                <w:rFonts w:ascii="宋体"/>
                <w:vanish/>
              </w:rPr>
            </w:pPr>
          </w:p>
        </w:tc>
        <w:tc>
          <w:tcPr>
            <w:tcW w:w="0" w:type="auto"/>
            <w:gridSpan w:val="3"/>
            <w:shd w:val="clear" w:color="auto" w:fill="auto"/>
          </w:tcPr>
          <w:p w14:paraId="5C7C5382" w14:textId="77777777" w:rsidR="0008009C" w:rsidRDefault="0008009C">
            <w:pPr>
              <w:rPr>
                <w:rFonts w:ascii="宋体"/>
                <w:vanish/>
              </w:rPr>
            </w:pPr>
          </w:p>
        </w:tc>
      </w:tr>
      <w:tr w:rsidR="0008009C" w14:paraId="5C7C538D" w14:textId="77777777">
        <w:tc>
          <w:tcPr>
            <w:tcW w:w="0" w:type="auto"/>
            <w:gridSpan w:val="3"/>
            <w:shd w:val="clear" w:color="auto" w:fill="auto"/>
            <w:tcMar>
              <w:top w:w="40" w:type="dxa"/>
              <w:left w:w="20" w:type="dxa"/>
              <w:bottom w:w="40" w:type="dxa"/>
              <w:right w:w="20" w:type="dxa"/>
            </w:tcMar>
          </w:tcPr>
          <w:p w14:paraId="5C7C5384" w14:textId="77777777" w:rsidR="0008009C" w:rsidRDefault="00936FDF">
            <w:pPr>
              <w:textAlignment w:val="top"/>
            </w:pPr>
            <w:r>
              <w:rPr>
                <w:rFonts w:ascii="Arial" w:eastAsia="宋体" w:hAnsi="Arial" w:cs="Arial"/>
                <w:color w:val="262626"/>
                <w:sz w:val="18"/>
                <w:szCs w:val="18"/>
              </w:rPr>
              <w:t>C</w:t>
            </w:r>
            <w:r>
              <w:rPr>
                <w:rFonts w:ascii="Arial" w:eastAsia="宋体" w:hAnsi="Arial" w:cs="Arial"/>
                <w:color w:val="262626"/>
                <w:sz w:val="18"/>
                <w:szCs w:val="18"/>
              </w:rPr>
              <w:t>hanges in other comprehensive income, net of tax:</w:t>
            </w:r>
          </w:p>
        </w:tc>
        <w:tc>
          <w:tcPr>
            <w:tcW w:w="0" w:type="auto"/>
            <w:gridSpan w:val="3"/>
            <w:shd w:val="clear" w:color="auto" w:fill="auto"/>
            <w:tcMar>
              <w:top w:w="0" w:type="dxa"/>
              <w:left w:w="20" w:type="dxa"/>
              <w:bottom w:w="0" w:type="dxa"/>
              <w:right w:w="20" w:type="dxa"/>
            </w:tcMar>
          </w:tcPr>
          <w:p w14:paraId="5C7C5385" w14:textId="77777777" w:rsidR="0008009C" w:rsidRDefault="0008009C">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5C7C538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387" w14:textId="77777777" w:rsidR="0008009C" w:rsidRDefault="0008009C">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5C7C5388" w14:textId="77777777" w:rsidR="0008009C" w:rsidRDefault="0008009C">
            <w:pPr>
              <w:rPr>
                <w:rFonts w:ascii="宋体"/>
              </w:rPr>
            </w:pPr>
          </w:p>
        </w:tc>
        <w:tc>
          <w:tcPr>
            <w:tcW w:w="0" w:type="auto"/>
            <w:shd w:val="clear" w:color="auto" w:fill="auto"/>
          </w:tcPr>
          <w:p w14:paraId="5C7C5389" w14:textId="77777777" w:rsidR="0008009C" w:rsidRDefault="0008009C">
            <w:pPr>
              <w:rPr>
                <w:rFonts w:ascii="宋体"/>
                <w:vanish/>
              </w:rPr>
            </w:pPr>
          </w:p>
        </w:tc>
        <w:tc>
          <w:tcPr>
            <w:tcW w:w="0" w:type="auto"/>
            <w:shd w:val="clear" w:color="auto" w:fill="auto"/>
          </w:tcPr>
          <w:p w14:paraId="5C7C538A" w14:textId="77777777" w:rsidR="0008009C" w:rsidRDefault="0008009C">
            <w:pPr>
              <w:rPr>
                <w:rFonts w:ascii="宋体"/>
                <w:vanish/>
              </w:rPr>
            </w:pPr>
          </w:p>
        </w:tc>
        <w:tc>
          <w:tcPr>
            <w:tcW w:w="0" w:type="auto"/>
            <w:gridSpan w:val="3"/>
            <w:shd w:val="clear" w:color="auto" w:fill="auto"/>
          </w:tcPr>
          <w:p w14:paraId="5C7C538B" w14:textId="77777777" w:rsidR="0008009C" w:rsidRDefault="0008009C">
            <w:pPr>
              <w:rPr>
                <w:rFonts w:ascii="宋体"/>
                <w:vanish/>
              </w:rPr>
            </w:pPr>
          </w:p>
        </w:tc>
        <w:tc>
          <w:tcPr>
            <w:tcW w:w="0" w:type="auto"/>
            <w:gridSpan w:val="3"/>
            <w:shd w:val="clear" w:color="auto" w:fill="auto"/>
          </w:tcPr>
          <w:p w14:paraId="5C7C538C" w14:textId="77777777" w:rsidR="0008009C" w:rsidRDefault="0008009C">
            <w:pPr>
              <w:rPr>
                <w:rFonts w:ascii="宋体"/>
                <w:vanish/>
              </w:rPr>
            </w:pPr>
          </w:p>
        </w:tc>
      </w:tr>
      <w:tr w:rsidR="0008009C" w14:paraId="5C7C5397" w14:textId="77777777">
        <w:trPr>
          <w:hidden/>
        </w:trPr>
        <w:tc>
          <w:tcPr>
            <w:tcW w:w="0" w:type="auto"/>
            <w:gridSpan w:val="3"/>
            <w:shd w:val="clear" w:color="auto" w:fill="auto"/>
          </w:tcPr>
          <w:p w14:paraId="5C7C538E" w14:textId="77777777" w:rsidR="0008009C" w:rsidRDefault="0008009C">
            <w:pPr>
              <w:rPr>
                <w:rFonts w:ascii="宋体"/>
                <w:vanish/>
              </w:rPr>
            </w:pPr>
          </w:p>
        </w:tc>
        <w:tc>
          <w:tcPr>
            <w:tcW w:w="0" w:type="auto"/>
            <w:gridSpan w:val="3"/>
            <w:shd w:val="clear" w:color="auto" w:fill="auto"/>
          </w:tcPr>
          <w:p w14:paraId="5C7C538F" w14:textId="77777777" w:rsidR="0008009C" w:rsidRDefault="0008009C">
            <w:pPr>
              <w:rPr>
                <w:rFonts w:ascii="宋体"/>
                <w:vanish/>
              </w:rPr>
            </w:pPr>
          </w:p>
        </w:tc>
        <w:tc>
          <w:tcPr>
            <w:tcW w:w="0" w:type="auto"/>
            <w:gridSpan w:val="3"/>
            <w:shd w:val="clear" w:color="auto" w:fill="auto"/>
          </w:tcPr>
          <w:p w14:paraId="5C7C5390" w14:textId="77777777" w:rsidR="0008009C" w:rsidRDefault="0008009C">
            <w:pPr>
              <w:rPr>
                <w:rFonts w:ascii="宋体"/>
                <w:vanish/>
              </w:rPr>
            </w:pPr>
          </w:p>
        </w:tc>
        <w:tc>
          <w:tcPr>
            <w:tcW w:w="0" w:type="auto"/>
            <w:gridSpan w:val="3"/>
            <w:shd w:val="clear" w:color="auto" w:fill="auto"/>
          </w:tcPr>
          <w:p w14:paraId="5C7C5391" w14:textId="77777777" w:rsidR="0008009C" w:rsidRDefault="0008009C">
            <w:pPr>
              <w:rPr>
                <w:rFonts w:ascii="宋体"/>
                <w:vanish/>
              </w:rPr>
            </w:pPr>
          </w:p>
        </w:tc>
        <w:tc>
          <w:tcPr>
            <w:tcW w:w="0" w:type="auto"/>
            <w:gridSpan w:val="3"/>
            <w:shd w:val="clear" w:color="auto" w:fill="auto"/>
          </w:tcPr>
          <w:p w14:paraId="5C7C5392" w14:textId="77777777" w:rsidR="0008009C" w:rsidRDefault="0008009C">
            <w:pPr>
              <w:rPr>
                <w:rFonts w:ascii="宋体"/>
                <w:vanish/>
              </w:rPr>
            </w:pPr>
          </w:p>
        </w:tc>
        <w:tc>
          <w:tcPr>
            <w:tcW w:w="0" w:type="auto"/>
            <w:shd w:val="clear" w:color="auto" w:fill="auto"/>
          </w:tcPr>
          <w:p w14:paraId="5C7C5393" w14:textId="77777777" w:rsidR="0008009C" w:rsidRDefault="0008009C">
            <w:pPr>
              <w:rPr>
                <w:rFonts w:ascii="宋体"/>
                <w:vanish/>
              </w:rPr>
            </w:pPr>
          </w:p>
        </w:tc>
        <w:tc>
          <w:tcPr>
            <w:tcW w:w="0" w:type="auto"/>
            <w:shd w:val="clear" w:color="auto" w:fill="auto"/>
          </w:tcPr>
          <w:p w14:paraId="5C7C5394" w14:textId="77777777" w:rsidR="0008009C" w:rsidRDefault="0008009C">
            <w:pPr>
              <w:rPr>
                <w:rFonts w:ascii="宋体"/>
                <w:vanish/>
              </w:rPr>
            </w:pPr>
          </w:p>
        </w:tc>
        <w:tc>
          <w:tcPr>
            <w:tcW w:w="0" w:type="auto"/>
            <w:gridSpan w:val="3"/>
            <w:shd w:val="clear" w:color="auto" w:fill="auto"/>
          </w:tcPr>
          <w:p w14:paraId="5C7C5395" w14:textId="77777777" w:rsidR="0008009C" w:rsidRDefault="0008009C">
            <w:pPr>
              <w:rPr>
                <w:rFonts w:ascii="宋体"/>
                <w:vanish/>
              </w:rPr>
            </w:pPr>
          </w:p>
        </w:tc>
        <w:tc>
          <w:tcPr>
            <w:tcW w:w="0" w:type="auto"/>
            <w:gridSpan w:val="3"/>
            <w:shd w:val="clear" w:color="auto" w:fill="auto"/>
          </w:tcPr>
          <w:p w14:paraId="5C7C5396" w14:textId="77777777" w:rsidR="0008009C" w:rsidRDefault="0008009C">
            <w:pPr>
              <w:rPr>
                <w:rFonts w:ascii="宋体"/>
                <w:vanish/>
              </w:rPr>
            </w:pPr>
          </w:p>
        </w:tc>
      </w:tr>
      <w:tr w:rsidR="0008009C" w14:paraId="5C7C53A1" w14:textId="77777777">
        <w:trPr>
          <w:hidden/>
        </w:trPr>
        <w:tc>
          <w:tcPr>
            <w:tcW w:w="0" w:type="auto"/>
            <w:gridSpan w:val="3"/>
            <w:shd w:val="clear" w:color="auto" w:fill="auto"/>
          </w:tcPr>
          <w:p w14:paraId="5C7C5398" w14:textId="77777777" w:rsidR="0008009C" w:rsidRDefault="0008009C">
            <w:pPr>
              <w:rPr>
                <w:rFonts w:ascii="宋体"/>
                <w:vanish/>
              </w:rPr>
            </w:pPr>
          </w:p>
        </w:tc>
        <w:tc>
          <w:tcPr>
            <w:tcW w:w="0" w:type="auto"/>
            <w:gridSpan w:val="3"/>
            <w:shd w:val="clear" w:color="auto" w:fill="auto"/>
          </w:tcPr>
          <w:p w14:paraId="5C7C5399" w14:textId="77777777" w:rsidR="0008009C" w:rsidRDefault="0008009C">
            <w:pPr>
              <w:rPr>
                <w:rFonts w:ascii="宋体"/>
                <w:vanish/>
              </w:rPr>
            </w:pPr>
          </w:p>
        </w:tc>
        <w:tc>
          <w:tcPr>
            <w:tcW w:w="0" w:type="auto"/>
            <w:gridSpan w:val="3"/>
            <w:shd w:val="clear" w:color="auto" w:fill="auto"/>
          </w:tcPr>
          <w:p w14:paraId="5C7C539A" w14:textId="77777777" w:rsidR="0008009C" w:rsidRDefault="0008009C">
            <w:pPr>
              <w:rPr>
                <w:rFonts w:ascii="宋体"/>
                <w:vanish/>
              </w:rPr>
            </w:pPr>
          </w:p>
        </w:tc>
        <w:tc>
          <w:tcPr>
            <w:tcW w:w="0" w:type="auto"/>
            <w:gridSpan w:val="3"/>
            <w:shd w:val="clear" w:color="auto" w:fill="auto"/>
          </w:tcPr>
          <w:p w14:paraId="5C7C539B" w14:textId="77777777" w:rsidR="0008009C" w:rsidRDefault="0008009C">
            <w:pPr>
              <w:rPr>
                <w:rFonts w:ascii="宋体"/>
                <w:vanish/>
              </w:rPr>
            </w:pPr>
          </w:p>
        </w:tc>
        <w:tc>
          <w:tcPr>
            <w:tcW w:w="0" w:type="auto"/>
            <w:gridSpan w:val="3"/>
            <w:shd w:val="clear" w:color="auto" w:fill="auto"/>
          </w:tcPr>
          <w:p w14:paraId="5C7C539C" w14:textId="77777777" w:rsidR="0008009C" w:rsidRDefault="0008009C">
            <w:pPr>
              <w:rPr>
                <w:rFonts w:ascii="宋体"/>
                <w:vanish/>
              </w:rPr>
            </w:pPr>
          </w:p>
        </w:tc>
        <w:tc>
          <w:tcPr>
            <w:tcW w:w="0" w:type="auto"/>
            <w:shd w:val="clear" w:color="auto" w:fill="auto"/>
          </w:tcPr>
          <w:p w14:paraId="5C7C539D" w14:textId="77777777" w:rsidR="0008009C" w:rsidRDefault="0008009C">
            <w:pPr>
              <w:rPr>
                <w:rFonts w:ascii="宋体"/>
                <w:vanish/>
              </w:rPr>
            </w:pPr>
          </w:p>
        </w:tc>
        <w:tc>
          <w:tcPr>
            <w:tcW w:w="0" w:type="auto"/>
            <w:shd w:val="clear" w:color="auto" w:fill="auto"/>
          </w:tcPr>
          <w:p w14:paraId="5C7C539E" w14:textId="77777777" w:rsidR="0008009C" w:rsidRDefault="0008009C">
            <w:pPr>
              <w:rPr>
                <w:rFonts w:ascii="宋体"/>
                <w:vanish/>
              </w:rPr>
            </w:pPr>
          </w:p>
        </w:tc>
        <w:tc>
          <w:tcPr>
            <w:tcW w:w="0" w:type="auto"/>
            <w:gridSpan w:val="3"/>
            <w:shd w:val="clear" w:color="auto" w:fill="auto"/>
          </w:tcPr>
          <w:p w14:paraId="5C7C539F" w14:textId="77777777" w:rsidR="0008009C" w:rsidRDefault="0008009C">
            <w:pPr>
              <w:rPr>
                <w:rFonts w:ascii="宋体"/>
                <w:vanish/>
              </w:rPr>
            </w:pPr>
          </w:p>
        </w:tc>
        <w:tc>
          <w:tcPr>
            <w:tcW w:w="0" w:type="auto"/>
            <w:gridSpan w:val="3"/>
            <w:shd w:val="clear" w:color="auto" w:fill="auto"/>
          </w:tcPr>
          <w:p w14:paraId="5C7C53A0" w14:textId="77777777" w:rsidR="0008009C" w:rsidRDefault="0008009C">
            <w:pPr>
              <w:rPr>
                <w:rFonts w:ascii="宋体"/>
                <w:vanish/>
              </w:rPr>
            </w:pPr>
          </w:p>
        </w:tc>
      </w:tr>
      <w:tr w:rsidR="0008009C" w14:paraId="5C7C53AD" w14:textId="77777777">
        <w:tc>
          <w:tcPr>
            <w:tcW w:w="0" w:type="auto"/>
            <w:gridSpan w:val="3"/>
            <w:shd w:val="clear" w:color="auto" w:fill="auto"/>
            <w:tcMar>
              <w:top w:w="40" w:type="dxa"/>
              <w:left w:w="140" w:type="dxa"/>
              <w:bottom w:w="40" w:type="dxa"/>
              <w:right w:w="20" w:type="dxa"/>
            </w:tcMar>
          </w:tcPr>
          <w:p w14:paraId="5C7C53A2" w14:textId="77777777" w:rsidR="0008009C" w:rsidRDefault="00936FDF">
            <w:pPr>
              <w:textAlignment w:val="top"/>
            </w:pPr>
            <w:r>
              <w:rPr>
                <w:rFonts w:ascii="Arial" w:eastAsia="宋体" w:hAnsi="Arial" w:cs="Arial"/>
                <w:color w:val="262626"/>
                <w:sz w:val="18"/>
                <w:szCs w:val="18"/>
              </w:rPr>
              <w:t>Net unrealized holding gains (losses) on derivatives</w:t>
            </w:r>
          </w:p>
        </w:tc>
        <w:tc>
          <w:tcPr>
            <w:tcW w:w="0" w:type="auto"/>
            <w:gridSpan w:val="3"/>
            <w:shd w:val="clear" w:color="auto" w:fill="auto"/>
            <w:tcMar>
              <w:top w:w="0" w:type="dxa"/>
              <w:left w:w="20" w:type="dxa"/>
              <w:bottom w:w="0" w:type="dxa"/>
              <w:right w:w="20" w:type="dxa"/>
            </w:tcMar>
          </w:tcPr>
          <w:p w14:paraId="5C7C53A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3A4" w14:textId="77777777" w:rsidR="0008009C" w:rsidRDefault="00936FDF">
            <w:pPr>
              <w:jc w:val="right"/>
              <w:textAlignment w:val="bottom"/>
            </w:pPr>
            <w:r>
              <w:rPr>
                <w:rFonts w:ascii="Arial" w:eastAsia="宋体" w:hAnsi="Arial" w:cs="Arial"/>
                <w:color w:val="0068B5"/>
                <w:sz w:val="18"/>
                <w:szCs w:val="18"/>
              </w:rPr>
              <w:t>(350)</w:t>
            </w:r>
          </w:p>
        </w:tc>
        <w:tc>
          <w:tcPr>
            <w:tcW w:w="0" w:type="auto"/>
            <w:shd w:val="clear" w:color="auto" w:fill="auto"/>
            <w:tcMar>
              <w:top w:w="40" w:type="dxa"/>
              <w:left w:w="0" w:type="dxa"/>
              <w:bottom w:w="40" w:type="dxa"/>
              <w:right w:w="20" w:type="dxa"/>
            </w:tcMar>
            <w:vAlign w:val="bottom"/>
          </w:tcPr>
          <w:p w14:paraId="5C7C53A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3A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3A7" w14:textId="77777777" w:rsidR="0008009C" w:rsidRDefault="00936FDF">
            <w:pPr>
              <w:jc w:val="right"/>
              <w:textAlignment w:val="bottom"/>
            </w:pPr>
            <w:r>
              <w:rPr>
                <w:rFonts w:ascii="Arial" w:eastAsia="宋体" w:hAnsi="Arial" w:cs="Arial"/>
                <w:color w:val="262626"/>
                <w:sz w:val="18"/>
                <w:szCs w:val="18"/>
              </w:rPr>
              <w:t>(268)</w:t>
            </w:r>
          </w:p>
        </w:tc>
        <w:tc>
          <w:tcPr>
            <w:tcW w:w="0" w:type="auto"/>
            <w:shd w:val="clear" w:color="auto" w:fill="auto"/>
            <w:tcMar>
              <w:top w:w="40" w:type="dxa"/>
              <w:left w:w="0" w:type="dxa"/>
              <w:bottom w:w="40" w:type="dxa"/>
              <w:right w:w="20" w:type="dxa"/>
            </w:tcMar>
            <w:vAlign w:val="bottom"/>
          </w:tcPr>
          <w:p w14:paraId="5C7C53A8" w14:textId="77777777" w:rsidR="0008009C" w:rsidRDefault="0008009C">
            <w:pPr>
              <w:jc w:val="right"/>
              <w:rPr>
                <w:rFonts w:ascii="宋体"/>
              </w:rPr>
            </w:pPr>
          </w:p>
        </w:tc>
        <w:tc>
          <w:tcPr>
            <w:tcW w:w="0" w:type="auto"/>
            <w:shd w:val="clear" w:color="auto" w:fill="auto"/>
          </w:tcPr>
          <w:p w14:paraId="5C7C53A9" w14:textId="77777777" w:rsidR="0008009C" w:rsidRDefault="0008009C">
            <w:pPr>
              <w:rPr>
                <w:rFonts w:ascii="宋体"/>
                <w:vanish/>
              </w:rPr>
            </w:pPr>
          </w:p>
        </w:tc>
        <w:tc>
          <w:tcPr>
            <w:tcW w:w="0" w:type="auto"/>
            <w:shd w:val="clear" w:color="auto" w:fill="auto"/>
          </w:tcPr>
          <w:p w14:paraId="5C7C53AA" w14:textId="77777777" w:rsidR="0008009C" w:rsidRDefault="0008009C">
            <w:pPr>
              <w:rPr>
                <w:rFonts w:ascii="宋体"/>
                <w:vanish/>
              </w:rPr>
            </w:pPr>
          </w:p>
        </w:tc>
        <w:tc>
          <w:tcPr>
            <w:tcW w:w="0" w:type="auto"/>
            <w:gridSpan w:val="3"/>
            <w:shd w:val="clear" w:color="auto" w:fill="auto"/>
          </w:tcPr>
          <w:p w14:paraId="5C7C53AB" w14:textId="77777777" w:rsidR="0008009C" w:rsidRDefault="0008009C">
            <w:pPr>
              <w:rPr>
                <w:rFonts w:ascii="宋体"/>
                <w:vanish/>
              </w:rPr>
            </w:pPr>
          </w:p>
        </w:tc>
        <w:tc>
          <w:tcPr>
            <w:tcW w:w="0" w:type="auto"/>
            <w:gridSpan w:val="3"/>
            <w:shd w:val="clear" w:color="auto" w:fill="auto"/>
          </w:tcPr>
          <w:p w14:paraId="5C7C53AC" w14:textId="77777777" w:rsidR="0008009C" w:rsidRDefault="0008009C">
            <w:pPr>
              <w:rPr>
                <w:rFonts w:ascii="宋体"/>
                <w:vanish/>
              </w:rPr>
            </w:pPr>
          </w:p>
        </w:tc>
      </w:tr>
      <w:tr w:rsidR="0008009C" w14:paraId="5C7C53B9" w14:textId="77777777">
        <w:tc>
          <w:tcPr>
            <w:tcW w:w="0" w:type="auto"/>
            <w:gridSpan w:val="3"/>
            <w:shd w:val="clear" w:color="auto" w:fill="auto"/>
            <w:tcMar>
              <w:top w:w="40" w:type="dxa"/>
              <w:left w:w="140" w:type="dxa"/>
              <w:bottom w:w="40" w:type="dxa"/>
              <w:right w:w="20" w:type="dxa"/>
            </w:tcMar>
          </w:tcPr>
          <w:p w14:paraId="5C7C53AE" w14:textId="77777777" w:rsidR="0008009C" w:rsidRDefault="00936FDF">
            <w:pPr>
              <w:textAlignment w:val="top"/>
            </w:pPr>
            <w:r>
              <w:rPr>
                <w:rFonts w:ascii="Arial" w:eastAsia="宋体" w:hAnsi="Arial" w:cs="Arial"/>
                <w:color w:val="262626"/>
                <w:sz w:val="18"/>
                <w:szCs w:val="18"/>
              </w:rPr>
              <w:t>Actuarial valuation and other pension benefits (expenses), net</w:t>
            </w:r>
          </w:p>
        </w:tc>
        <w:tc>
          <w:tcPr>
            <w:tcW w:w="0" w:type="auto"/>
            <w:gridSpan w:val="3"/>
            <w:shd w:val="clear" w:color="auto" w:fill="auto"/>
            <w:tcMar>
              <w:top w:w="0" w:type="dxa"/>
              <w:left w:w="20" w:type="dxa"/>
              <w:bottom w:w="0" w:type="dxa"/>
              <w:right w:w="20" w:type="dxa"/>
            </w:tcMar>
          </w:tcPr>
          <w:p w14:paraId="5C7C53A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3B0" w14:textId="77777777" w:rsidR="0008009C" w:rsidRDefault="00936FDF">
            <w:pPr>
              <w:jc w:val="right"/>
              <w:textAlignment w:val="bottom"/>
            </w:pPr>
            <w:r>
              <w:rPr>
                <w:rFonts w:ascii="Arial" w:eastAsia="宋体" w:hAnsi="Arial" w:cs="Arial"/>
                <w:color w:val="0068B5"/>
                <w:sz w:val="18"/>
                <w:szCs w:val="18"/>
              </w:rPr>
              <w:t>13 </w:t>
            </w:r>
          </w:p>
        </w:tc>
        <w:tc>
          <w:tcPr>
            <w:tcW w:w="0" w:type="auto"/>
            <w:shd w:val="clear" w:color="auto" w:fill="auto"/>
            <w:tcMar>
              <w:top w:w="40" w:type="dxa"/>
              <w:left w:w="0" w:type="dxa"/>
              <w:bottom w:w="40" w:type="dxa"/>
              <w:right w:w="20" w:type="dxa"/>
            </w:tcMar>
            <w:vAlign w:val="bottom"/>
          </w:tcPr>
          <w:p w14:paraId="5C7C53B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3B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3B3" w14:textId="77777777" w:rsidR="0008009C" w:rsidRDefault="00936FDF">
            <w:pPr>
              <w:jc w:val="right"/>
              <w:textAlignment w:val="bottom"/>
            </w:pPr>
            <w:r>
              <w:rPr>
                <w:rFonts w:ascii="Arial" w:eastAsia="宋体" w:hAnsi="Arial" w:cs="Arial"/>
                <w:color w:val="262626"/>
                <w:sz w:val="18"/>
                <w:szCs w:val="18"/>
              </w:rPr>
              <w:t>12 </w:t>
            </w:r>
          </w:p>
        </w:tc>
        <w:tc>
          <w:tcPr>
            <w:tcW w:w="0" w:type="auto"/>
            <w:shd w:val="clear" w:color="auto" w:fill="auto"/>
            <w:tcMar>
              <w:top w:w="40" w:type="dxa"/>
              <w:left w:w="0" w:type="dxa"/>
              <w:bottom w:w="40" w:type="dxa"/>
              <w:right w:w="20" w:type="dxa"/>
            </w:tcMar>
            <w:vAlign w:val="bottom"/>
          </w:tcPr>
          <w:p w14:paraId="5C7C53B4" w14:textId="77777777" w:rsidR="0008009C" w:rsidRDefault="0008009C">
            <w:pPr>
              <w:jc w:val="right"/>
              <w:rPr>
                <w:rFonts w:ascii="宋体"/>
              </w:rPr>
            </w:pPr>
          </w:p>
        </w:tc>
        <w:tc>
          <w:tcPr>
            <w:tcW w:w="0" w:type="auto"/>
            <w:shd w:val="clear" w:color="auto" w:fill="auto"/>
          </w:tcPr>
          <w:p w14:paraId="5C7C53B5" w14:textId="77777777" w:rsidR="0008009C" w:rsidRDefault="0008009C">
            <w:pPr>
              <w:rPr>
                <w:rFonts w:ascii="宋体"/>
                <w:vanish/>
              </w:rPr>
            </w:pPr>
          </w:p>
        </w:tc>
        <w:tc>
          <w:tcPr>
            <w:tcW w:w="0" w:type="auto"/>
            <w:shd w:val="clear" w:color="auto" w:fill="auto"/>
          </w:tcPr>
          <w:p w14:paraId="5C7C53B6" w14:textId="77777777" w:rsidR="0008009C" w:rsidRDefault="0008009C">
            <w:pPr>
              <w:rPr>
                <w:rFonts w:ascii="宋体"/>
                <w:vanish/>
              </w:rPr>
            </w:pPr>
          </w:p>
        </w:tc>
        <w:tc>
          <w:tcPr>
            <w:tcW w:w="0" w:type="auto"/>
            <w:gridSpan w:val="3"/>
            <w:shd w:val="clear" w:color="auto" w:fill="auto"/>
          </w:tcPr>
          <w:p w14:paraId="5C7C53B7" w14:textId="77777777" w:rsidR="0008009C" w:rsidRDefault="0008009C">
            <w:pPr>
              <w:rPr>
                <w:rFonts w:ascii="宋体"/>
                <w:vanish/>
              </w:rPr>
            </w:pPr>
          </w:p>
        </w:tc>
        <w:tc>
          <w:tcPr>
            <w:tcW w:w="0" w:type="auto"/>
            <w:gridSpan w:val="3"/>
            <w:shd w:val="clear" w:color="auto" w:fill="auto"/>
          </w:tcPr>
          <w:p w14:paraId="5C7C53B8" w14:textId="77777777" w:rsidR="0008009C" w:rsidRDefault="0008009C">
            <w:pPr>
              <w:rPr>
                <w:rFonts w:ascii="宋体"/>
                <w:vanish/>
              </w:rPr>
            </w:pPr>
          </w:p>
        </w:tc>
      </w:tr>
      <w:tr w:rsidR="0008009C" w14:paraId="5C7C53C5" w14:textId="77777777">
        <w:tc>
          <w:tcPr>
            <w:tcW w:w="0" w:type="auto"/>
            <w:gridSpan w:val="3"/>
            <w:shd w:val="clear" w:color="auto" w:fill="auto"/>
            <w:tcMar>
              <w:top w:w="40" w:type="dxa"/>
              <w:left w:w="140" w:type="dxa"/>
              <w:bottom w:w="40" w:type="dxa"/>
              <w:right w:w="20" w:type="dxa"/>
            </w:tcMar>
          </w:tcPr>
          <w:p w14:paraId="5C7C53BA" w14:textId="77777777" w:rsidR="0008009C" w:rsidRDefault="00936FDF">
            <w:pPr>
              <w:textAlignment w:val="top"/>
            </w:pPr>
            <w:r>
              <w:rPr>
                <w:rFonts w:ascii="Arial" w:eastAsia="宋体" w:hAnsi="Arial" w:cs="Arial"/>
                <w:color w:val="262626"/>
                <w:sz w:val="18"/>
                <w:szCs w:val="18"/>
              </w:rPr>
              <w:t xml:space="preserve">Translation </w:t>
            </w:r>
            <w:r>
              <w:rPr>
                <w:rFonts w:ascii="Arial" w:eastAsia="宋体" w:hAnsi="Arial" w:cs="Arial"/>
                <w:color w:val="262626"/>
                <w:sz w:val="18"/>
                <w:szCs w:val="18"/>
              </w:rPr>
              <w:t>adjustments and other</w:t>
            </w:r>
          </w:p>
        </w:tc>
        <w:tc>
          <w:tcPr>
            <w:tcW w:w="0" w:type="auto"/>
            <w:gridSpan w:val="3"/>
            <w:shd w:val="clear" w:color="auto" w:fill="auto"/>
            <w:tcMar>
              <w:top w:w="0" w:type="dxa"/>
              <w:left w:w="20" w:type="dxa"/>
              <w:bottom w:w="0" w:type="dxa"/>
              <w:right w:w="20" w:type="dxa"/>
            </w:tcMar>
          </w:tcPr>
          <w:p w14:paraId="5C7C53B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3BC" w14:textId="77777777" w:rsidR="0008009C" w:rsidRDefault="00936FDF">
            <w:pPr>
              <w:jc w:val="right"/>
              <w:textAlignment w:val="bottom"/>
            </w:pPr>
            <w:r>
              <w:rPr>
                <w:rFonts w:ascii="Arial" w:eastAsia="宋体" w:hAnsi="Arial" w:cs="Arial"/>
                <w:color w:val="0068B5"/>
                <w:sz w:val="18"/>
                <w:szCs w:val="18"/>
              </w:rPr>
              <w:t>(15)</w:t>
            </w:r>
          </w:p>
        </w:tc>
        <w:tc>
          <w:tcPr>
            <w:tcW w:w="0" w:type="auto"/>
            <w:shd w:val="clear" w:color="auto" w:fill="auto"/>
            <w:tcMar>
              <w:top w:w="40" w:type="dxa"/>
              <w:left w:w="0" w:type="dxa"/>
              <w:bottom w:w="40" w:type="dxa"/>
              <w:right w:w="20" w:type="dxa"/>
            </w:tcMar>
            <w:vAlign w:val="bottom"/>
          </w:tcPr>
          <w:p w14:paraId="5C7C53B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3B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3BF" w14:textId="77777777" w:rsidR="0008009C" w:rsidRDefault="00936FDF">
            <w:pPr>
              <w:jc w:val="right"/>
              <w:textAlignment w:val="bottom"/>
            </w:pPr>
            <w:r>
              <w:rPr>
                <w:rFonts w:ascii="Arial" w:eastAsia="宋体" w:hAnsi="Arial" w:cs="Arial"/>
                <w:color w:val="262626"/>
                <w:sz w:val="18"/>
                <w:szCs w:val="18"/>
              </w:rPr>
              <w:t>(5)</w:t>
            </w:r>
          </w:p>
        </w:tc>
        <w:tc>
          <w:tcPr>
            <w:tcW w:w="0" w:type="auto"/>
            <w:shd w:val="clear" w:color="auto" w:fill="auto"/>
            <w:tcMar>
              <w:top w:w="40" w:type="dxa"/>
              <w:left w:w="0" w:type="dxa"/>
              <w:bottom w:w="40" w:type="dxa"/>
              <w:right w:w="20" w:type="dxa"/>
            </w:tcMar>
            <w:vAlign w:val="bottom"/>
          </w:tcPr>
          <w:p w14:paraId="5C7C53C0" w14:textId="77777777" w:rsidR="0008009C" w:rsidRDefault="0008009C">
            <w:pPr>
              <w:jc w:val="right"/>
              <w:rPr>
                <w:rFonts w:ascii="宋体"/>
              </w:rPr>
            </w:pPr>
          </w:p>
        </w:tc>
        <w:tc>
          <w:tcPr>
            <w:tcW w:w="0" w:type="auto"/>
            <w:shd w:val="clear" w:color="auto" w:fill="auto"/>
          </w:tcPr>
          <w:p w14:paraId="5C7C53C1" w14:textId="77777777" w:rsidR="0008009C" w:rsidRDefault="0008009C">
            <w:pPr>
              <w:rPr>
                <w:rFonts w:ascii="宋体"/>
                <w:vanish/>
              </w:rPr>
            </w:pPr>
          </w:p>
        </w:tc>
        <w:tc>
          <w:tcPr>
            <w:tcW w:w="0" w:type="auto"/>
            <w:shd w:val="clear" w:color="auto" w:fill="auto"/>
          </w:tcPr>
          <w:p w14:paraId="5C7C53C2" w14:textId="77777777" w:rsidR="0008009C" w:rsidRDefault="0008009C">
            <w:pPr>
              <w:rPr>
                <w:rFonts w:ascii="宋体"/>
                <w:vanish/>
              </w:rPr>
            </w:pPr>
          </w:p>
        </w:tc>
        <w:tc>
          <w:tcPr>
            <w:tcW w:w="0" w:type="auto"/>
            <w:gridSpan w:val="3"/>
            <w:shd w:val="clear" w:color="auto" w:fill="auto"/>
          </w:tcPr>
          <w:p w14:paraId="5C7C53C3" w14:textId="77777777" w:rsidR="0008009C" w:rsidRDefault="0008009C">
            <w:pPr>
              <w:rPr>
                <w:rFonts w:ascii="宋体"/>
                <w:vanish/>
              </w:rPr>
            </w:pPr>
          </w:p>
        </w:tc>
        <w:tc>
          <w:tcPr>
            <w:tcW w:w="0" w:type="auto"/>
            <w:gridSpan w:val="3"/>
            <w:shd w:val="clear" w:color="auto" w:fill="auto"/>
          </w:tcPr>
          <w:p w14:paraId="5C7C53C4" w14:textId="77777777" w:rsidR="0008009C" w:rsidRDefault="0008009C">
            <w:pPr>
              <w:rPr>
                <w:rFonts w:ascii="宋体"/>
                <w:vanish/>
              </w:rPr>
            </w:pPr>
          </w:p>
        </w:tc>
      </w:tr>
      <w:tr w:rsidR="0008009C" w14:paraId="5C7C53D1" w14:textId="77777777">
        <w:tc>
          <w:tcPr>
            <w:tcW w:w="0" w:type="auto"/>
            <w:gridSpan w:val="3"/>
            <w:shd w:val="clear" w:color="auto" w:fill="auto"/>
            <w:tcMar>
              <w:top w:w="40" w:type="dxa"/>
              <w:left w:w="20" w:type="dxa"/>
              <w:bottom w:w="40" w:type="dxa"/>
              <w:right w:w="20" w:type="dxa"/>
            </w:tcMar>
          </w:tcPr>
          <w:p w14:paraId="5C7C53C6" w14:textId="77777777" w:rsidR="0008009C" w:rsidRDefault="00936FDF">
            <w:pPr>
              <w:textAlignment w:val="top"/>
            </w:pPr>
            <w:r>
              <w:rPr>
                <w:rFonts w:ascii="Arial" w:eastAsia="宋体" w:hAnsi="Arial" w:cs="Arial"/>
                <w:b/>
                <w:bCs/>
                <w:color w:val="262626"/>
                <w:sz w:val="18"/>
                <w:szCs w:val="18"/>
              </w:rPr>
              <w:t>Other comprehensive income (loss)</w:t>
            </w:r>
          </w:p>
        </w:tc>
        <w:tc>
          <w:tcPr>
            <w:tcW w:w="0" w:type="auto"/>
            <w:gridSpan w:val="3"/>
            <w:shd w:val="clear" w:color="auto" w:fill="auto"/>
            <w:tcMar>
              <w:top w:w="0" w:type="dxa"/>
              <w:left w:w="20" w:type="dxa"/>
              <w:bottom w:w="0" w:type="dxa"/>
              <w:right w:w="20" w:type="dxa"/>
            </w:tcMar>
          </w:tcPr>
          <w:p w14:paraId="5C7C53C7"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3C8" w14:textId="77777777" w:rsidR="0008009C" w:rsidRDefault="00936FDF">
            <w:pPr>
              <w:jc w:val="right"/>
              <w:textAlignment w:val="bottom"/>
            </w:pPr>
            <w:r>
              <w:rPr>
                <w:rFonts w:ascii="Arial" w:eastAsia="宋体" w:hAnsi="Arial" w:cs="Arial"/>
                <w:b/>
                <w:bCs/>
                <w:color w:val="0068B5"/>
                <w:sz w:val="18"/>
                <w:szCs w:val="18"/>
              </w:rPr>
              <w:t>(352)</w:t>
            </w:r>
          </w:p>
        </w:tc>
        <w:tc>
          <w:tcPr>
            <w:tcW w:w="0" w:type="auto"/>
            <w:tcBorders>
              <w:top w:val="single" w:sz="8" w:space="0" w:color="262626"/>
            </w:tcBorders>
            <w:shd w:val="clear" w:color="auto" w:fill="auto"/>
            <w:tcMar>
              <w:top w:w="40" w:type="dxa"/>
              <w:left w:w="0" w:type="dxa"/>
              <w:bottom w:w="40" w:type="dxa"/>
              <w:right w:w="20" w:type="dxa"/>
            </w:tcMar>
            <w:vAlign w:val="bottom"/>
          </w:tcPr>
          <w:p w14:paraId="5C7C53C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3CA"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3CB" w14:textId="77777777" w:rsidR="0008009C" w:rsidRDefault="00936FDF">
            <w:pPr>
              <w:jc w:val="right"/>
              <w:textAlignment w:val="bottom"/>
            </w:pPr>
            <w:r>
              <w:rPr>
                <w:rFonts w:ascii="Arial" w:eastAsia="宋体" w:hAnsi="Arial" w:cs="Arial"/>
                <w:b/>
                <w:bCs/>
                <w:color w:val="262626"/>
                <w:sz w:val="18"/>
                <w:szCs w:val="18"/>
              </w:rPr>
              <w:t>(261)</w:t>
            </w:r>
          </w:p>
        </w:tc>
        <w:tc>
          <w:tcPr>
            <w:tcW w:w="0" w:type="auto"/>
            <w:tcBorders>
              <w:top w:val="single" w:sz="8" w:space="0" w:color="262626"/>
            </w:tcBorders>
            <w:shd w:val="clear" w:color="auto" w:fill="auto"/>
            <w:tcMar>
              <w:top w:w="40" w:type="dxa"/>
              <w:left w:w="0" w:type="dxa"/>
              <w:bottom w:w="40" w:type="dxa"/>
              <w:right w:w="20" w:type="dxa"/>
            </w:tcMar>
            <w:vAlign w:val="bottom"/>
          </w:tcPr>
          <w:p w14:paraId="5C7C53CC" w14:textId="77777777" w:rsidR="0008009C" w:rsidRDefault="0008009C">
            <w:pPr>
              <w:jc w:val="right"/>
              <w:rPr>
                <w:rFonts w:ascii="宋体"/>
              </w:rPr>
            </w:pPr>
          </w:p>
        </w:tc>
        <w:tc>
          <w:tcPr>
            <w:tcW w:w="0" w:type="auto"/>
            <w:shd w:val="clear" w:color="auto" w:fill="auto"/>
          </w:tcPr>
          <w:p w14:paraId="5C7C53CD" w14:textId="77777777" w:rsidR="0008009C" w:rsidRDefault="0008009C">
            <w:pPr>
              <w:rPr>
                <w:rFonts w:ascii="宋体"/>
                <w:vanish/>
              </w:rPr>
            </w:pPr>
          </w:p>
        </w:tc>
        <w:tc>
          <w:tcPr>
            <w:tcW w:w="0" w:type="auto"/>
            <w:shd w:val="clear" w:color="auto" w:fill="auto"/>
          </w:tcPr>
          <w:p w14:paraId="5C7C53CE" w14:textId="77777777" w:rsidR="0008009C" w:rsidRDefault="0008009C">
            <w:pPr>
              <w:rPr>
                <w:rFonts w:ascii="宋体"/>
                <w:vanish/>
              </w:rPr>
            </w:pPr>
          </w:p>
        </w:tc>
        <w:tc>
          <w:tcPr>
            <w:tcW w:w="0" w:type="auto"/>
            <w:gridSpan w:val="3"/>
            <w:shd w:val="clear" w:color="auto" w:fill="auto"/>
          </w:tcPr>
          <w:p w14:paraId="5C7C53CF" w14:textId="77777777" w:rsidR="0008009C" w:rsidRDefault="0008009C">
            <w:pPr>
              <w:rPr>
                <w:rFonts w:ascii="宋体"/>
                <w:vanish/>
              </w:rPr>
            </w:pPr>
          </w:p>
        </w:tc>
        <w:tc>
          <w:tcPr>
            <w:tcW w:w="0" w:type="auto"/>
            <w:gridSpan w:val="3"/>
            <w:shd w:val="clear" w:color="auto" w:fill="auto"/>
          </w:tcPr>
          <w:p w14:paraId="5C7C53D0" w14:textId="77777777" w:rsidR="0008009C" w:rsidRDefault="0008009C">
            <w:pPr>
              <w:rPr>
                <w:rFonts w:ascii="宋体"/>
                <w:vanish/>
              </w:rPr>
            </w:pPr>
          </w:p>
        </w:tc>
      </w:tr>
      <w:tr w:rsidR="0008009C" w14:paraId="5C7C53DF" w14:textId="77777777">
        <w:tc>
          <w:tcPr>
            <w:tcW w:w="0" w:type="auto"/>
            <w:gridSpan w:val="3"/>
            <w:shd w:val="clear" w:color="auto" w:fill="auto"/>
            <w:tcMar>
              <w:top w:w="40" w:type="dxa"/>
              <w:left w:w="20" w:type="dxa"/>
              <w:bottom w:w="40" w:type="dxa"/>
              <w:right w:w="20" w:type="dxa"/>
            </w:tcMar>
          </w:tcPr>
          <w:p w14:paraId="5C7C53D2" w14:textId="77777777" w:rsidR="0008009C" w:rsidRDefault="00936FDF">
            <w:pPr>
              <w:textAlignment w:val="top"/>
            </w:pPr>
            <w:r>
              <w:rPr>
                <w:rFonts w:ascii="Arial" w:eastAsia="宋体" w:hAnsi="Arial" w:cs="Arial"/>
                <w:b/>
                <w:bCs/>
                <w:color w:val="262626"/>
                <w:sz w:val="18"/>
                <w:szCs w:val="18"/>
              </w:rPr>
              <w:t>Total comprehensive income</w:t>
            </w:r>
          </w:p>
        </w:tc>
        <w:tc>
          <w:tcPr>
            <w:tcW w:w="0" w:type="auto"/>
            <w:gridSpan w:val="3"/>
            <w:shd w:val="clear" w:color="auto" w:fill="auto"/>
            <w:tcMar>
              <w:top w:w="0" w:type="dxa"/>
              <w:left w:w="20" w:type="dxa"/>
              <w:bottom w:w="0" w:type="dxa"/>
              <w:right w:w="20" w:type="dxa"/>
            </w:tcMar>
          </w:tcPr>
          <w:p w14:paraId="5C7C53D3"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3D4"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3D5" w14:textId="77777777" w:rsidR="0008009C" w:rsidRDefault="00936FDF">
            <w:pPr>
              <w:jc w:val="right"/>
              <w:textAlignment w:val="bottom"/>
            </w:pPr>
            <w:r>
              <w:rPr>
                <w:rFonts w:ascii="Arial" w:eastAsia="宋体" w:hAnsi="Arial" w:cs="Arial"/>
                <w:b/>
                <w:bCs/>
                <w:color w:val="0068B5"/>
                <w:sz w:val="18"/>
                <w:szCs w:val="18"/>
              </w:rPr>
              <w:t>3,009</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3D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3D7"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3D8"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3D9" w14:textId="77777777" w:rsidR="0008009C" w:rsidRDefault="00936FDF">
            <w:pPr>
              <w:jc w:val="right"/>
              <w:textAlignment w:val="bottom"/>
            </w:pPr>
            <w:r>
              <w:rPr>
                <w:rFonts w:ascii="Arial" w:eastAsia="宋体" w:hAnsi="Arial" w:cs="Arial"/>
                <w:b/>
                <w:bCs/>
                <w:color w:val="262626"/>
                <w:sz w:val="18"/>
                <w:szCs w:val="18"/>
              </w:rPr>
              <w:t>5,400</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3DA" w14:textId="77777777" w:rsidR="0008009C" w:rsidRDefault="0008009C">
            <w:pPr>
              <w:jc w:val="right"/>
              <w:rPr>
                <w:rFonts w:ascii="宋体"/>
              </w:rPr>
            </w:pPr>
          </w:p>
        </w:tc>
        <w:tc>
          <w:tcPr>
            <w:tcW w:w="0" w:type="auto"/>
            <w:shd w:val="clear" w:color="auto" w:fill="auto"/>
          </w:tcPr>
          <w:p w14:paraId="5C7C53DB" w14:textId="77777777" w:rsidR="0008009C" w:rsidRDefault="0008009C">
            <w:pPr>
              <w:rPr>
                <w:rFonts w:ascii="宋体"/>
                <w:vanish/>
              </w:rPr>
            </w:pPr>
          </w:p>
        </w:tc>
        <w:tc>
          <w:tcPr>
            <w:tcW w:w="0" w:type="auto"/>
            <w:shd w:val="clear" w:color="auto" w:fill="auto"/>
          </w:tcPr>
          <w:p w14:paraId="5C7C53DC" w14:textId="77777777" w:rsidR="0008009C" w:rsidRDefault="0008009C">
            <w:pPr>
              <w:rPr>
                <w:rFonts w:ascii="宋体"/>
                <w:vanish/>
              </w:rPr>
            </w:pPr>
          </w:p>
        </w:tc>
        <w:tc>
          <w:tcPr>
            <w:tcW w:w="0" w:type="auto"/>
            <w:gridSpan w:val="3"/>
            <w:shd w:val="clear" w:color="auto" w:fill="auto"/>
          </w:tcPr>
          <w:p w14:paraId="5C7C53DD" w14:textId="77777777" w:rsidR="0008009C" w:rsidRDefault="0008009C">
            <w:pPr>
              <w:rPr>
                <w:rFonts w:ascii="宋体"/>
                <w:vanish/>
              </w:rPr>
            </w:pPr>
          </w:p>
        </w:tc>
        <w:tc>
          <w:tcPr>
            <w:tcW w:w="0" w:type="auto"/>
            <w:gridSpan w:val="3"/>
            <w:shd w:val="clear" w:color="auto" w:fill="auto"/>
          </w:tcPr>
          <w:p w14:paraId="5C7C53DE" w14:textId="77777777" w:rsidR="0008009C" w:rsidRDefault="0008009C">
            <w:pPr>
              <w:rPr>
                <w:rFonts w:ascii="宋体"/>
                <w:vanish/>
              </w:rPr>
            </w:pPr>
          </w:p>
        </w:tc>
      </w:tr>
    </w:tbl>
    <w:p w14:paraId="5C7C53E0" w14:textId="77777777" w:rsidR="0008009C" w:rsidRDefault="00936FDF">
      <w:pPr>
        <w:spacing w:before="180" w:after="180"/>
      </w:pPr>
      <w:r>
        <w:rPr>
          <w:rFonts w:ascii="Arial" w:eastAsia="宋体" w:hAnsi="Arial" w:cs="Arial"/>
          <w:i/>
          <w:iCs/>
          <w:color w:val="262626"/>
          <w:sz w:val="16"/>
          <w:szCs w:val="16"/>
        </w:rPr>
        <w:t xml:space="preserve">See accompanying notes. </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60"/>
        <w:gridCol w:w="3917"/>
        <w:gridCol w:w="36"/>
        <w:gridCol w:w="60"/>
        <w:gridCol w:w="1969"/>
        <w:gridCol w:w="36"/>
      </w:tblGrid>
      <w:tr w:rsidR="0008009C" w14:paraId="5C7C53ED" w14:textId="77777777">
        <w:tc>
          <w:tcPr>
            <w:tcW w:w="50" w:type="pct"/>
            <w:shd w:val="clear" w:color="auto" w:fill="auto"/>
            <w:vAlign w:val="bottom"/>
          </w:tcPr>
          <w:p w14:paraId="5C7C53E1" w14:textId="77777777" w:rsidR="0008009C" w:rsidRDefault="0008009C">
            <w:pPr>
              <w:rPr>
                <w:rFonts w:ascii="宋体"/>
              </w:rPr>
            </w:pPr>
          </w:p>
        </w:tc>
        <w:tc>
          <w:tcPr>
            <w:tcW w:w="238" w:type="pct"/>
            <w:shd w:val="clear" w:color="auto" w:fill="auto"/>
            <w:vAlign w:val="bottom"/>
          </w:tcPr>
          <w:p w14:paraId="5C7C53E2" w14:textId="77777777" w:rsidR="0008009C" w:rsidRDefault="0008009C">
            <w:pPr>
              <w:rPr>
                <w:rFonts w:ascii="宋体"/>
              </w:rPr>
            </w:pPr>
          </w:p>
        </w:tc>
        <w:tc>
          <w:tcPr>
            <w:tcW w:w="5" w:type="pct"/>
            <w:shd w:val="clear" w:color="auto" w:fill="auto"/>
            <w:vAlign w:val="bottom"/>
          </w:tcPr>
          <w:p w14:paraId="5C7C53E3" w14:textId="77777777" w:rsidR="0008009C" w:rsidRDefault="0008009C">
            <w:pPr>
              <w:rPr>
                <w:rFonts w:ascii="宋体"/>
              </w:rPr>
            </w:pPr>
          </w:p>
        </w:tc>
        <w:tc>
          <w:tcPr>
            <w:tcW w:w="50" w:type="pct"/>
            <w:shd w:val="clear" w:color="auto" w:fill="auto"/>
            <w:vAlign w:val="bottom"/>
          </w:tcPr>
          <w:p w14:paraId="5C7C53E4" w14:textId="77777777" w:rsidR="0008009C" w:rsidRDefault="0008009C">
            <w:pPr>
              <w:rPr>
                <w:rFonts w:ascii="宋体"/>
              </w:rPr>
            </w:pPr>
          </w:p>
        </w:tc>
        <w:tc>
          <w:tcPr>
            <w:tcW w:w="983" w:type="pct"/>
            <w:shd w:val="clear" w:color="auto" w:fill="auto"/>
            <w:vAlign w:val="bottom"/>
          </w:tcPr>
          <w:p w14:paraId="5C7C53E5" w14:textId="77777777" w:rsidR="0008009C" w:rsidRDefault="0008009C">
            <w:pPr>
              <w:rPr>
                <w:rFonts w:ascii="宋体"/>
              </w:rPr>
            </w:pPr>
          </w:p>
        </w:tc>
        <w:tc>
          <w:tcPr>
            <w:tcW w:w="5" w:type="pct"/>
            <w:shd w:val="clear" w:color="auto" w:fill="auto"/>
            <w:vAlign w:val="bottom"/>
          </w:tcPr>
          <w:p w14:paraId="5C7C53E6" w14:textId="77777777" w:rsidR="0008009C" w:rsidRDefault="0008009C">
            <w:pPr>
              <w:rPr>
                <w:rFonts w:ascii="宋体"/>
              </w:rPr>
            </w:pPr>
          </w:p>
        </w:tc>
        <w:tc>
          <w:tcPr>
            <w:tcW w:w="50" w:type="pct"/>
            <w:shd w:val="clear" w:color="auto" w:fill="auto"/>
            <w:vAlign w:val="bottom"/>
          </w:tcPr>
          <w:p w14:paraId="5C7C53E7" w14:textId="77777777" w:rsidR="0008009C" w:rsidRDefault="0008009C">
            <w:pPr>
              <w:rPr>
                <w:rFonts w:ascii="宋体"/>
              </w:rPr>
            </w:pPr>
          </w:p>
        </w:tc>
        <w:tc>
          <w:tcPr>
            <w:tcW w:w="2363" w:type="pct"/>
            <w:shd w:val="clear" w:color="auto" w:fill="auto"/>
            <w:vAlign w:val="bottom"/>
          </w:tcPr>
          <w:p w14:paraId="5C7C53E8" w14:textId="77777777" w:rsidR="0008009C" w:rsidRDefault="0008009C">
            <w:pPr>
              <w:rPr>
                <w:rFonts w:ascii="宋体"/>
              </w:rPr>
            </w:pPr>
          </w:p>
        </w:tc>
        <w:tc>
          <w:tcPr>
            <w:tcW w:w="5" w:type="pct"/>
            <w:shd w:val="clear" w:color="auto" w:fill="auto"/>
            <w:vAlign w:val="bottom"/>
          </w:tcPr>
          <w:p w14:paraId="5C7C53E9" w14:textId="77777777" w:rsidR="0008009C" w:rsidRDefault="0008009C">
            <w:pPr>
              <w:rPr>
                <w:rFonts w:ascii="宋体"/>
              </w:rPr>
            </w:pPr>
          </w:p>
        </w:tc>
        <w:tc>
          <w:tcPr>
            <w:tcW w:w="50" w:type="pct"/>
            <w:shd w:val="clear" w:color="auto" w:fill="auto"/>
            <w:vAlign w:val="bottom"/>
          </w:tcPr>
          <w:p w14:paraId="5C7C53EA" w14:textId="77777777" w:rsidR="0008009C" w:rsidRDefault="0008009C">
            <w:pPr>
              <w:rPr>
                <w:rFonts w:ascii="宋体"/>
              </w:rPr>
            </w:pPr>
          </w:p>
        </w:tc>
        <w:tc>
          <w:tcPr>
            <w:tcW w:w="1195" w:type="pct"/>
            <w:shd w:val="clear" w:color="auto" w:fill="auto"/>
            <w:vAlign w:val="bottom"/>
          </w:tcPr>
          <w:p w14:paraId="5C7C53EB" w14:textId="77777777" w:rsidR="0008009C" w:rsidRDefault="0008009C">
            <w:pPr>
              <w:rPr>
                <w:rFonts w:ascii="宋体"/>
              </w:rPr>
            </w:pPr>
          </w:p>
        </w:tc>
        <w:tc>
          <w:tcPr>
            <w:tcW w:w="5" w:type="pct"/>
            <w:shd w:val="clear" w:color="auto" w:fill="auto"/>
            <w:vAlign w:val="bottom"/>
          </w:tcPr>
          <w:p w14:paraId="5C7C53EC" w14:textId="77777777" w:rsidR="0008009C" w:rsidRDefault="0008009C">
            <w:pPr>
              <w:rPr>
                <w:rFonts w:ascii="宋体"/>
              </w:rPr>
            </w:pPr>
          </w:p>
        </w:tc>
      </w:tr>
      <w:tr w:rsidR="0008009C" w14:paraId="5C7C53F2"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53EE"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CF6" wp14:editId="5C7C7CF7">
                  <wp:extent cx="304800" cy="304800"/>
                  <wp:effectExtent l="0" t="0" r="0" b="0"/>
                  <wp:docPr id="8" name="图片 47"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7"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3EF"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53F0" w14:textId="77777777" w:rsidR="0008009C" w:rsidRDefault="00936FDF">
            <w:pPr>
              <w:textAlignment w:val="center"/>
            </w:pPr>
            <w:r>
              <w:rPr>
                <w:rFonts w:ascii="Arial" w:eastAsia="宋体" w:hAnsi="Arial" w:cs="Arial"/>
                <w:color w:val="262626"/>
                <w:sz w:val="16"/>
                <w:szCs w:val="16"/>
              </w:rPr>
              <w:t>  Consolidated Condensed Statements of Comprehensive Income</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3F1" w14:textId="77777777" w:rsidR="0008009C" w:rsidRDefault="00936FDF">
            <w:pPr>
              <w:jc w:val="right"/>
              <w:textAlignment w:val="center"/>
            </w:pPr>
            <w:r>
              <w:rPr>
                <w:rFonts w:ascii="Arial" w:eastAsia="宋体" w:hAnsi="Arial" w:cs="Arial"/>
                <w:color w:val="262626"/>
                <w:sz w:val="16"/>
                <w:szCs w:val="16"/>
              </w:rPr>
              <w:t>4</w:t>
            </w:r>
          </w:p>
        </w:tc>
      </w:tr>
    </w:tbl>
    <w:p w14:paraId="5C7C53F3" w14:textId="77777777" w:rsidR="0008009C" w:rsidRDefault="00936FDF">
      <w:r>
        <w:pict w14:anchorId="5C7C7CF8">
          <v:rect id="_x0000_i1030" style="width:415.3pt;height:1.5pt" o:hralign="center" o:hrstd="t" o:hr="t" fillcolor="#a0a0a0" stroked="f"/>
        </w:pict>
      </w:r>
    </w:p>
    <w:p w14:paraId="5C7C53F4" w14:textId="77777777" w:rsidR="0008009C" w:rsidRDefault="00936FDF">
      <w:pPr>
        <w:spacing w:after="180"/>
        <w:jc w:val="right"/>
      </w:pPr>
      <w:hyperlink r:id="rId30" w:anchor="i3a00378f6cc84b1c9cfc83239548ad53_7" w:history="1">
        <w:r>
          <w:rPr>
            <w:rStyle w:val="a5"/>
            <w:rFonts w:ascii="Arial" w:eastAsia="宋体" w:hAnsi="Arial" w:cs="Arial"/>
            <w:b/>
            <w:bCs/>
            <w:sz w:val="16"/>
            <w:szCs w:val="16"/>
          </w:rPr>
          <w:t>Table of Contents</w:t>
        </w:r>
      </w:hyperlink>
    </w:p>
    <w:p w14:paraId="5C7C53F5" w14:textId="77777777" w:rsidR="0008009C" w:rsidRDefault="0008009C">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8009C" w14:paraId="5C7C53FC" w14:textId="77777777">
        <w:tc>
          <w:tcPr>
            <w:tcW w:w="50" w:type="pct"/>
            <w:shd w:val="clear" w:color="auto" w:fill="auto"/>
          </w:tcPr>
          <w:p w14:paraId="5C7C53F6" w14:textId="77777777" w:rsidR="0008009C" w:rsidRDefault="0008009C">
            <w:pPr>
              <w:rPr>
                <w:rFonts w:ascii="宋体"/>
              </w:rPr>
            </w:pPr>
          </w:p>
        </w:tc>
        <w:tc>
          <w:tcPr>
            <w:tcW w:w="4870" w:type="pct"/>
            <w:shd w:val="clear" w:color="auto" w:fill="auto"/>
          </w:tcPr>
          <w:p w14:paraId="5C7C53F7" w14:textId="77777777" w:rsidR="0008009C" w:rsidRDefault="0008009C">
            <w:pPr>
              <w:rPr>
                <w:rFonts w:ascii="宋体"/>
              </w:rPr>
            </w:pPr>
          </w:p>
        </w:tc>
        <w:tc>
          <w:tcPr>
            <w:tcW w:w="5" w:type="pct"/>
            <w:shd w:val="clear" w:color="auto" w:fill="auto"/>
          </w:tcPr>
          <w:p w14:paraId="5C7C53F8" w14:textId="77777777" w:rsidR="0008009C" w:rsidRDefault="0008009C">
            <w:pPr>
              <w:rPr>
                <w:rFonts w:ascii="宋体"/>
              </w:rPr>
            </w:pPr>
          </w:p>
        </w:tc>
        <w:tc>
          <w:tcPr>
            <w:tcW w:w="5" w:type="pct"/>
            <w:shd w:val="clear" w:color="auto" w:fill="auto"/>
          </w:tcPr>
          <w:p w14:paraId="5C7C53F9" w14:textId="77777777" w:rsidR="0008009C" w:rsidRDefault="0008009C">
            <w:pPr>
              <w:rPr>
                <w:rFonts w:ascii="宋体"/>
              </w:rPr>
            </w:pPr>
          </w:p>
        </w:tc>
        <w:tc>
          <w:tcPr>
            <w:tcW w:w="64" w:type="pct"/>
            <w:shd w:val="clear" w:color="auto" w:fill="auto"/>
          </w:tcPr>
          <w:p w14:paraId="5C7C53FA" w14:textId="77777777" w:rsidR="0008009C" w:rsidRDefault="0008009C">
            <w:pPr>
              <w:rPr>
                <w:rFonts w:ascii="宋体"/>
              </w:rPr>
            </w:pPr>
          </w:p>
        </w:tc>
        <w:tc>
          <w:tcPr>
            <w:tcW w:w="5" w:type="pct"/>
            <w:shd w:val="clear" w:color="auto" w:fill="auto"/>
          </w:tcPr>
          <w:p w14:paraId="5C7C53FB" w14:textId="77777777" w:rsidR="0008009C" w:rsidRDefault="0008009C">
            <w:pPr>
              <w:rPr>
                <w:rFonts w:ascii="宋体"/>
              </w:rPr>
            </w:pPr>
          </w:p>
        </w:tc>
      </w:tr>
      <w:tr w:rsidR="0008009C" w14:paraId="5C7C53FF" w14:textId="77777777">
        <w:tc>
          <w:tcPr>
            <w:tcW w:w="0" w:type="auto"/>
            <w:gridSpan w:val="3"/>
            <w:shd w:val="clear" w:color="auto" w:fill="004A86"/>
            <w:tcMar>
              <w:top w:w="40" w:type="dxa"/>
              <w:left w:w="20" w:type="dxa"/>
              <w:bottom w:w="40" w:type="dxa"/>
              <w:right w:w="20" w:type="dxa"/>
            </w:tcMar>
            <w:vAlign w:val="center"/>
          </w:tcPr>
          <w:p w14:paraId="5C7C53FD" w14:textId="77777777" w:rsidR="0008009C" w:rsidRDefault="00936FDF">
            <w:pPr>
              <w:textAlignment w:val="center"/>
            </w:pPr>
            <w:r>
              <w:rPr>
                <w:rFonts w:ascii="Arial" w:eastAsia="宋体" w:hAnsi="Arial" w:cs="Arial"/>
                <w:color w:val="FFFFFF"/>
                <w:sz w:val="36"/>
                <w:szCs w:val="36"/>
              </w:rPr>
              <w:t>Consolidated Condensed Balance Sheets</w:t>
            </w:r>
          </w:p>
        </w:tc>
        <w:tc>
          <w:tcPr>
            <w:tcW w:w="0" w:type="auto"/>
            <w:gridSpan w:val="3"/>
            <w:shd w:val="clear" w:color="auto" w:fill="auto"/>
            <w:tcMar>
              <w:top w:w="0" w:type="dxa"/>
              <w:left w:w="20" w:type="dxa"/>
              <w:bottom w:w="0" w:type="dxa"/>
              <w:right w:w="20" w:type="dxa"/>
            </w:tcMar>
          </w:tcPr>
          <w:p w14:paraId="5C7C53FE" w14:textId="77777777" w:rsidR="0008009C" w:rsidRDefault="0008009C">
            <w:pPr>
              <w:rPr>
                <w:rFonts w:ascii="宋体"/>
              </w:rPr>
            </w:pPr>
          </w:p>
        </w:tc>
      </w:tr>
      <w:tr w:rsidR="0008009C" w14:paraId="5C7C5402" w14:textId="77777777">
        <w:trPr>
          <w:trHeight w:val="160"/>
        </w:trPr>
        <w:tc>
          <w:tcPr>
            <w:tcW w:w="0" w:type="auto"/>
            <w:gridSpan w:val="3"/>
            <w:shd w:val="clear" w:color="auto" w:fill="auto"/>
            <w:tcMar>
              <w:top w:w="0" w:type="dxa"/>
              <w:left w:w="20" w:type="dxa"/>
              <w:bottom w:w="0" w:type="dxa"/>
              <w:right w:w="20" w:type="dxa"/>
            </w:tcMar>
          </w:tcPr>
          <w:p w14:paraId="5C7C5400" w14:textId="77777777" w:rsidR="0008009C" w:rsidRDefault="0008009C">
            <w:pPr>
              <w:rPr>
                <w:rFonts w:ascii="宋体"/>
              </w:rPr>
            </w:pPr>
          </w:p>
        </w:tc>
        <w:tc>
          <w:tcPr>
            <w:tcW w:w="0" w:type="auto"/>
            <w:gridSpan w:val="3"/>
            <w:shd w:val="clear" w:color="auto" w:fill="00A3F6"/>
            <w:tcMar>
              <w:top w:w="0" w:type="dxa"/>
              <w:left w:w="20" w:type="dxa"/>
              <w:bottom w:w="0" w:type="dxa"/>
              <w:right w:w="20" w:type="dxa"/>
            </w:tcMar>
          </w:tcPr>
          <w:p w14:paraId="5C7C5401" w14:textId="77777777" w:rsidR="0008009C" w:rsidRDefault="0008009C">
            <w:pPr>
              <w:rPr>
                <w:rFonts w:ascii="宋体"/>
              </w:rPr>
            </w:pPr>
          </w:p>
        </w:tc>
      </w:tr>
    </w:tbl>
    <w:p w14:paraId="5C7C5403" w14:textId="77777777" w:rsidR="0008009C" w:rsidRDefault="0008009C">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42"/>
        <w:gridCol w:w="6087"/>
        <w:gridCol w:w="41"/>
        <w:gridCol w:w="36"/>
        <w:gridCol w:w="36"/>
        <w:gridCol w:w="36"/>
        <w:gridCol w:w="122"/>
        <w:gridCol w:w="864"/>
        <w:gridCol w:w="37"/>
        <w:gridCol w:w="36"/>
        <w:gridCol w:w="36"/>
        <w:gridCol w:w="36"/>
        <w:gridCol w:w="121"/>
        <w:gridCol w:w="758"/>
        <w:gridCol w:w="36"/>
      </w:tblGrid>
      <w:tr w:rsidR="0008009C" w14:paraId="5C7C5413" w14:textId="77777777">
        <w:tc>
          <w:tcPr>
            <w:tcW w:w="50" w:type="pct"/>
            <w:shd w:val="clear" w:color="auto" w:fill="auto"/>
          </w:tcPr>
          <w:p w14:paraId="5C7C5404" w14:textId="77777777" w:rsidR="0008009C" w:rsidRDefault="0008009C">
            <w:pPr>
              <w:rPr>
                <w:rFonts w:ascii="宋体"/>
              </w:rPr>
            </w:pPr>
          </w:p>
        </w:tc>
        <w:tc>
          <w:tcPr>
            <w:tcW w:w="3686" w:type="pct"/>
            <w:shd w:val="clear" w:color="auto" w:fill="auto"/>
          </w:tcPr>
          <w:p w14:paraId="5C7C5405" w14:textId="77777777" w:rsidR="0008009C" w:rsidRDefault="0008009C">
            <w:pPr>
              <w:rPr>
                <w:rFonts w:ascii="宋体"/>
              </w:rPr>
            </w:pPr>
          </w:p>
        </w:tc>
        <w:tc>
          <w:tcPr>
            <w:tcW w:w="5" w:type="pct"/>
            <w:shd w:val="clear" w:color="auto" w:fill="auto"/>
          </w:tcPr>
          <w:p w14:paraId="5C7C5406" w14:textId="77777777" w:rsidR="0008009C" w:rsidRDefault="0008009C">
            <w:pPr>
              <w:rPr>
                <w:rFonts w:ascii="宋体"/>
              </w:rPr>
            </w:pPr>
          </w:p>
        </w:tc>
        <w:tc>
          <w:tcPr>
            <w:tcW w:w="5" w:type="pct"/>
            <w:shd w:val="clear" w:color="auto" w:fill="auto"/>
          </w:tcPr>
          <w:p w14:paraId="5C7C5407" w14:textId="77777777" w:rsidR="0008009C" w:rsidRDefault="0008009C">
            <w:pPr>
              <w:rPr>
                <w:rFonts w:ascii="宋体"/>
              </w:rPr>
            </w:pPr>
          </w:p>
        </w:tc>
        <w:tc>
          <w:tcPr>
            <w:tcW w:w="24" w:type="pct"/>
            <w:shd w:val="clear" w:color="auto" w:fill="auto"/>
          </w:tcPr>
          <w:p w14:paraId="5C7C5408" w14:textId="77777777" w:rsidR="0008009C" w:rsidRDefault="0008009C">
            <w:pPr>
              <w:rPr>
                <w:rFonts w:ascii="宋体"/>
              </w:rPr>
            </w:pPr>
          </w:p>
        </w:tc>
        <w:tc>
          <w:tcPr>
            <w:tcW w:w="5" w:type="pct"/>
            <w:shd w:val="clear" w:color="auto" w:fill="auto"/>
          </w:tcPr>
          <w:p w14:paraId="5C7C5409" w14:textId="77777777" w:rsidR="0008009C" w:rsidRDefault="0008009C">
            <w:pPr>
              <w:rPr>
                <w:rFonts w:ascii="宋体"/>
              </w:rPr>
            </w:pPr>
          </w:p>
        </w:tc>
        <w:tc>
          <w:tcPr>
            <w:tcW w:w="50" w:type="pct"/>
            <w:shd w:val="clear" w:color="auto" w:fill="auto"/>
          </w:tcPr>
          <w:p w14:paraId="5C7C540A" w14:textId="77777777" w:rsidR="0008009C" w:rsidRDefault="0008009C">
            <w:pPr>
              <w:rPr>
                <w:rFonts w:ascii="宋体"/>
              </w:rPr>
            </w:pPr>
          </w:p>
        </w:tc>
        <w:tc>
          <w:tcPr>
            <w:tcW w:w="540" w:type="pct"/>
            <w:shd w:val="clear" w:color="auto" w:fill="auto"/>
          </w:tcPr>
          <w:p w14:paraId="5C7C540B" w14:textId="77777777" w:rsidR="0008009C" w:rsidRDefault="0008009C">
            <w:pPr>
              <w:rPr>
                <w:rFonts w:ascii="宋体"/>
              </w:rPr>
            </w:pPr>
          </w:p>
        </w:tc>
        <w:tc>
          <w:tcPr>
            <w:tcW w:w="5" w:type="pct"/>
            <w:shd w:val="clear" w:color="auto" w:fill="auto"/>
          </w:tcPr>
          <w:p w14:paraId="5C7C540C" w14:textId="77777777" w:rsidR="0008009C" w:rsidRDefault="0008009C">
            <w:pPr>
              <w:rPr>
                <w:rFonts w:ascii="宋体"/>
              </w:rPr>
            </w:pPr>
          </w:p>
        </w:tc>
        <w:tc>
          <w:tcPr>
            <w:tcW w:w="5" w:type="pct"/>
            <w:shd w:val="clear" w:color="auto" w:fill="auto"/>
          </w:tcPr>
          <w:p w14:paraId="5C7C540D" w14:textId="77777777" w:rsidR="0008009C" w:rsidRDefault="0008009C">
            <w:pPr>
              <w:rPr>
                <w:rFonts w:ascii="宋体"/>
              </w:rPr>
            </w:pPr>
          </w:p>
        </w:tc>
        <w:tc>
          <w:tcPr>
            <w:tcW w:w="24" w:type="pct"/>
            <w:shd w:val="clear" w:color="auto" w:fill="auto"/>
          </w:tcPr>
          <w:p w14:paraId="5C7C540E" w14:textId="77777777" w:rsidR="0008009C" w:rsidRDefault="0008009C">
            <w:pPr>
              <w:rPr>
                <w:rFonts w:ascii="宋体"/>
              </w:rPr>
            </w:pPr>
          </w:p>
        </w:tc>
        <w:tc>
          <w:tcPr>
            <w:tcW w:w="5" w:type="pct"/>
            <w:shd w:val="clear" w:color="auto" w:fill="auto"/>
          </w:tcPr>
          <w:p w14:paraId="5C7C540F" w14:textId="77777777" w:rsidR="0008009C" w:rsidRDefault="0008009C">
            <w:pPr>
              <w:rPr>
                <w:rFonts w:ascii="宋体"/>
              </w:rPr>
            </w:pPr>
          </w:p>
        </w:tc>
        <w:tc>
          <w:tcPr>
            <w:tcW w:w="50" w:type="pct"/>
            <w:shd w:val="clear" w:color="auto" w:fill="auto"/>
          </w:tcPr>
          <w:p w14:paraId="5C7C5410" w14:textId="77777777" w:rsidR="0008009C" w:rsidRDefault="0008009C">
            <w:pPr>
              <w:rPr>
                <w:rFonts w:ascii="宋体"/>
              </w:rPr>
            </w:pPr>
          </w:p>
        </w:tc>
        <w:tc>
          <w:tcPr>
            <w:tcW w:w="540" w:type="pct"/>
            <w:shd w:val="clear" w:color="auto" w:fill="auto"/>
          </w:tcPr>
          <w:p w14:paraId="5C7C5411" w14:textId="77777777" w:rsidR="0008009C" w:rsidRDefault="0008009C">
            <w:pPr>
              <w:rPr>
                <w:rFonts w:ascii="宋体"/>
              </w:rPr>
            </w:pPr>
          </w:p>
        </w:tc>
        <w:tc>
          <w:tcPr>
            <w:tcW w:w="5" w:type="pct"/>
            <w:shd w:val="clear" w:color="auto" w:fill="auto"/>
          </w:tcPr>
          <w:p w14:paraId="5C7C5412" w14:textId="77777777" w:rsidR="0008009C" w:rsidRDefault="0008009C">
            <w:pPr>
              <w:rPr>
                <w:rFonts w:ascii="宋体"/>
              </w:rPr>
            </w:pPr>
          </w:p>
        </w:tc>
      </w:tr>
      <w:tr w:rsidR="0008009C" w14:paraId="5C7C5419" w14:textId="77777777">
        <w:tc>
          <w:tcPr>
            <w:tcW w:w="0" w:type="auto"/>
            <w:gridSpan w:val="3"/>
            <w:shd w:val="clear" w:color="auto" w:fill="auto"/>
            <w:tcMar>
              <w:top w:w="40" w:type="dxa"/>
              <w:left w:w="20" w:type="dxa"/>
              <w:bottom w:w="40" w:type="dxa"/>
              <w:right w:w="20" w:type="dxa"/>
            </w:tcMar>
            <w:vAlign w:val="bottom"/>
          </w:tcPr>
          <w:p w14:paraId="5C7C5414" w14:textId="77777777" w:rsidR="0008009C" w:rsidRDefault="00936FDF">
            <w:pPr>
              <w:ind w:hanging="180"/>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tcPr>
          <w:p w14:paraId="5C7C5415"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5416"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shd w:val="clear" w:color="auto" w:fill="auto"/>
            <w:tcMar>
              <w:top w:w="0" w:type="dxa"/>
              <w:left w:w="20" w:type="dxa"/>
              <w:bottom w:w="0" w:type="dxa"/>
              <w:right w:w="20" w:type="dxa"/>
            </w:tcMar>
          </w:tcPr>
          <w:p w14:paraId="5C7C5417"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5418" w14:textId="77777777" w:rsidR="0008009C" w:rsidRDefault="00936FDF">
            <w:pPr>
              <w:jc w:val="center"/>
              <w:textAlignment w:val="bottom"/>
            </w:pPr>
            <w:r>
              <w:rPr>
                <w:rFonts w:ascii="Arial" w:eastAsia="宋体" w:hAnsi="Arial" w:cs="Arial"/>
                <w:b/>
                <w:bCs/>
                <w:color w:val="262626"/>
                <w:sz w:val="18"/>
                <w:szCs w:val="18"/>
              </w:rPr>
              <w:t>Dec 26, 2020</w:t>
            </w:r>
          </w:p>
        </w:tc>
      </w:tr>
      <w:tr w:rsidR="0008009C" w14:paraId="5C7C541F" w14:textId="77777777">
        <w:tc>
          <w:tcPr>
            <w:tcW w:w="0" w:type="auto"/>
            <w:gridSpan w:val="3"/>
            <w:tcBorders>
              <w:top w:val="single" w:sz="8" w:space="0" w:color="0068B5"/>
            </w:tcBorders>
            <w:shd w:val="clear" w:color="auto" w:fill="auto"/>
            <w:tcMar>
              <w:top w:w="0" w:type="dxa"/>
              <w:left w:w="20" w:type="dxa"/>
              <w:bottom w:w="0" w:type="dxa"/>
              <w:right w:w="20" w:type="dxa"/>
            </w:tcMar>
          </w:tcPr>
          <w:p w14:paraId="5C7C541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1B"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41C" w14:textId="77777777" w:rsidR="0008009C" w:rsidRDefault="00936FDF">
            <w:pPr>
              <w:jc w:val="center"/>
              <w:textAlignment w:val="bottom"/>
            </w:pPr>
            <w:r>
              <w:rPr>
                <w:rFonts w:ascii="Arial" w:eastAsia="宋体" w:hAnsi="Arial" w:cs="Arial"/>
                <w:color w:val="262626"/>
                <w:sz w:val="18"/>
                <w:szCs w:val="18"/>
              </w:rPr>
              <w:t>(unaudited)</w:t>
            </w:r>
          </w:p>
        </w:tc>
        <w:tc>
          <w:tcPr>
            <w:tcW w:w="0" w:type="auto"/>
            <w:gridSpan w:val="3"/>
            <w:shd w:val="clear" w:color="auto" w:fill="auto"/>
            <w:tcMar>
              <w:top w:w="0" w:type="dxa"/>
              <w:left w:w="20" w:type="dxa"/>
              <w:bottom w:w="0" w:type="dxa"/>
              <w:right w:w="20" w:type="dxa"/>
            </w:tcMar>
          </w:tcPr>
          <w:p w14:paraId="5C7C541D"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41E" w14:textId="77777777" w:rsidR="0008009C" w:rsidRDefault="0008009C">
            <w:pPr>
              <w:rPr>
                <w:rFonts w:ascii="宋体"/>
              </w:rPr>
            </w:pPr>
          </w:p>
        </w:tc>
      </w:tr>
      <w:tr w:rsidR="0008009C" w14:paraId="5C7C5425" w14:textId="77777777">
        <w:tc>
          <w:tcPr>
            <w:tcW w:w="0" w:type="auto"/>
            <w:gridSpan w:val="3"/>
            <w:shd w:val="clear" w:color="auto" w:fill="auto"/>
            <w:tcMar>
              <w:top w:w="40" w:type="dxa"/>
              <w:left w:w="20" w:type="dxa"/>
              <w:bottom w:w="40" w:type="dxa"/>
              <w:right w:w="20" w:type="dxa"/>
            </w:tcMar>
          </w:tcPr>
          <w:p w14:paraId="5C7C5420" w14:textId="77777777" w:rsidR="0008009C" w:rsidRDefault="00936FDF">
            <w:pPr>
              <w:textAlignment w:val="top"/>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tcPr>
          <w:p w14:paraId="5C7C542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2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2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24" w14:textId="77777777" w:rsidR="0008009C" w:rsidRDefault="0008009C">
            <w:pPr>
              <w:rPr>
                <w:rFonts w:ascii="宋体"/>
              </w:rPr>
            </w:pPr>
          </w:p>
        </w:tc>
      </w:tr>
      <w:tr w:rsidR="0008009C" w14:paraId="5C7C542B" w14:textId="77777777">
        <w:tc>
          <w:tcPr>
            <w:tcW w:w="0" w:type="auto"/>
            <w:gridSpan w:val="3"/>
            <w:shd w:val="clear" w:color="auto" w:fill="auto"/>
            <w:tcMar>
              <w:top w:w="40" w:type="dxa"/>
              <w:left w:w="20" w:type="dxa"/>
              <w:bottom w:w="40" w:type="dxa"/>
              <w:right w:w="20" w:type="dxa"/>
            </w:tcMar>
          </w:tcPr>
          <w:p w14:paraId="5C7C5426" w14:textId="77777777" w:rsidR="0008009C" w:rsidRDefault="00936FDF">
            <w:pPr>
              <w:textAlignment w:val="top"/>
            </w:pPr>
            <w:r>
              <w:rPr>
                <w:rFonts w:ascii="Arial" w:eastAsia="宋体" w:hAnsi="Arial" w:cs="Arial"/>
                <w:color w:val="262626"/>
                <w:sz w:val="18"/>
                <w:szCs w:val="18"/>
              </w:rPr>
              <w:t>Current assets:</w:t>
            </w:r>
          </w:p>
        </w:tc>
        <w:tc>
          <w:tcPr>
            <w:tcW w:w="0" w:type="auto"/>
            <w:gridSpan w:val="3"/>
            <w:shd w:val="clear" w:color="auto" w:fill="auto"/>
            <w:tcMar>
              <w:top w:w="0" w:type="dxa"/>
              <w:left w:w="20" w:type="dxa"/>
              <w:bottom w:w="0" w:type="dxa"/>
              <w:right w:w="20" w:type="dxa"/>
            </w:tcMar>
          </w:tcPr>
          <w:p w14:paraId="5C7C542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2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2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2A" w14:textId="77777777" w:rsidR="0008009C" w:rsidRDefault="0008009C">
            <w:pPr>
              <w:rPr>
                <w:rFonts w:ascii="宋体"/>
              </w:rPr>
            </w:pPr>
          </w:p>
        </w:tc>
      </w:tr>
      <w:tr w:rsidR="0008009C" w14:paraId="5C7C5435" w14:textId="77777777">
        <w:tc>
          <w:tcPr>
            <w:tcW w:w="0" w:type="auto"/>
            <w:gridSpan w:val="3"/>
            <w:shd w:val="clear" w:color="auto" w:fill="auto"/>
            <w:tcMar>
              <w:top w:w="40" w:type="dxa"/>
              <w:left w:w="140" w:type="dxa"/>
              <w:bottom w:w="40" w:type="dxa"/>
              <w:right w:w="20" w:type="dxa"/>
            </w:tcMar>
          </w:tcPr>
          <w:p w14:paraId="5C7C542C" w14:textId="77777777" w:rsidR="0008009C" w:rsidRDefault="00936FDF">
            <w:pPr>
              <w:textAlignment w:val="top"/>
            </w:pPr>
            <w:r>
              <w:rPr>
                <w:rFonts w:ascii="Arial" w:eastAsia="宋体" w:hAnsi="Arial" w:cs="Arial"/>
                <w:color w:val="262626"/>
                <w:sz w:val="18"/>
                <w:szCs w:val="18"/>
              </w:rPr>
              <w:t>Cash and cash equivalents</w:t>
            </w:r>
          </w:p>
        </w:tc>
        <w:tc>
          <w:tcPr>
            <w:tcW w:w="0" w:type="auto"/>
            <w:gridSpan w:val="3"/>
            <w:shd w:val="clear" w:color="auto" w:fill="auto"/>
            <w:tcMar>
              <w:top w:w="0" w:type="dxa"/>
              <w:left w:w="20" w:type="dxa"/>
              <w:bottom w:w="0" w:type="dxa"/>
              <w:right w:w="20" w:type="dxa"/>
            </w:tcMar>
          </w:tcPr>
          <w:p w14:paraId="5C7C542D"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42E"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542F" w14:textId="77777777" w:rsidR="0008009C" w:rsidRDefault="00936FDF">
            <w:pPr>
              <w:jc w:val="right"/>
              <w:textAlignment w:val="bottom"/>
            </w:pPr>
            <w:r>
              <w:rPr>
                <w:rFonts w:ascii="Arial" w:eastAsia="宋体" w:hAnsi="Arial" w:cs="Arial"/>
                <w:color w:val="0068B5"/>
                <w:sz w:val="18"/>
                <w:szCs w:val="18"/>
              </w:rPr>
              <w:t>5,192 </w:t>
            </w:r>
          </w:p>
        </w:tc>
        <w:tc>
          <w:tcPr>
            <w:tcW w:w="0" w:type="auto"/>
            <w:shd w:val="clear" w:color="auto" w:fill="auto"/>
            <w:tcMar>
              <w:top w:w="40" w:type="dxa"/>
              <w:left w:w="0" w:type="dxa"/>
              <w:bottom w:w="40" w:type="dxa"/>
              <w:right w:w="20" w:type="dxa"/>
            </w:tcMar>
            <w:vAlign w:val="bottom"/>
          </w:tcPr>
          <w:p w14:paraId="5C7C543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31"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432"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5433" w14:textId="77777777" w:rsidR="0008009C" w:rsidRDefault="00936FDF">
            <w:pPr>
              <w:jc w:val="right"/>
              <w:textAlignment w:val="bottom"/>
            </w:pPr>
            <w:r>
              <w:rPr>
                <w:rFonts w:ascii="Arial" w:eastAsia="宋体" w:hAnsi="Arial" w:cs="Arial"/>
                <w:color w:val="262626"/>
                <w:sz w:val="18"/>
                <w:szCs w:val="18"/>
              </w:rPr>
              <w:t>5,865 </w:t>
            </w:r>
          </w:p>
        </w:tc>
        <w:tc>
          <w:tcPr>
            <w:tcW w:w="0" w:type="auto"/>
            <w:shd w:val="clear" w:color="auto" w:fill="auto"/>
            <w:tcMar>
              <w:top w:w="40" w:type="dxa"/>
              <w:left w:w="0" w:type="dxa"/>
              <w:bottom w:w="40" w:type="dxa"/>
              <w:right w:w="20" w:type="dxa"/>
            </w:tcMar>
            <w:vAlign w:val="bottom"/>
          </w:tcPr>
          <w:p w14:paraId="5C7C5434" w14:textId="77777777" w:rsidR="0008009C" w:rsidRDefault="0008009C">
            <w:pPr>
              <w:jc w:val="right"/>
              <w:rPr>
                <w:rFonts w:ascii="宋体"/>
              </w:rPr>
            </w:pPr>
          </w:p>
        </w:tc>
      </w:tr>
      <w:tr w:rsidR="0008009C" w14:paraId="5C7C543D" w14:textId="77777777">
        <w:tc>
          <w:tcPr>
            <w:tcW w:w="0" w:type="auto"/>
            <w:gridSpan w:val="3"/>
            <w:shd w:val="clear" w:color="auto" w:fill="auto"/>
            <w:tcMar>
              <w:top w:w="40" w:type="dxa"/>
              <w:left w:w="140" w:type="dxa"/>
              <w:bottom w:w="40" w:type="dxa"/>
              <w:right w:w="20" w:type="dxa"/>
            </w:tcMar>
          </w:tcPr>
          <w:p w14:paraId="5C7C5436" w14:textId="77777777" w:rsidR="0008009C" w:rsidRDefault="00936FDF">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tcPr>
          <w:p w14:paraId="5C7C543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38" w14:textId="77777777" w:rsidR="0008009C" w:rsidRDefault="00936FDF">
            <w:pPr>
              <w:jc w:val="right"/>
              <w:textAlignment w:val="bottom"/>
            </w:pPr>
            <w:r>
              <w:rPr>
                <w:rFonts w:ascii="Arial" w:eastAsia="宋体" w:hAnsi="Arial" w:cs="Arial"/>
                <w:color w:val="0068B5"/>
                <w:sz w:val="18"/>
                <w:szCs w:val="18"/>
              </w:rPr>
              <w:t>2,417 </w:t>
            </w:r>
          </w:p>
        </w:tc>
        <w:tc>
          <w:tcPr>
            <w:tcW w:w="0" w:type="auto"/>
            <w:shd w:val="clear" w:color="auto" w:fill="auto"/>
            <w:tcMar>
              <w:top w:w="40" w:type="dxa"/>
              <w:left w:w="0" w:type="dxa"/>
              <w:bottom w:w="40" w:type="dxa"/>
              <w:right w:w="20" w:type="dxa"/>
            </w:tcMar>
            <w:vAlign w:val="bottom"/>
          </w:tcPr>
          <w:p w14:paraId="5C7C543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3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3B" w14:textId="77777777" w:rsidR="0008009C" w:rsidRDefault="00936FDF">
            <w:pPr>
              <w:jc w:val="right"/>
              <w:textAlignment w:val="bottom"/>
            </w:pPr>
            <w:r>
              <w:rPr>
                <w:rFonts w:ascii="Arial" w:eastAsia="宋体" w:hAnsi="Arial" w:cs="Arial"/>
                <w:color w:val="262626"/>
                <w:sz w:val="18"/>
                <w:szCs w:val="18"/>
              </w:rPr>
              <w:t>2,292 </w:t>
            </w:r>
          </w:p>
        </w:tc>
        <w:tc>
          <w:tcPr>
            <w:tcW w:w="0" w:type="auto"/>
            <w:shd w:val="clear" w:color="auto" w:fill="auto"/>
            <w:tcMar>
              <w:top w:w="40" w:type="dxa"/>
              <w:left w:w="0" w:type="dxa"/>
              <w:bottom w:w="40" w:type="dxa"/>
              <w:right w:w="20" w:type="dxa"/>
            </w:tcMar>
            <w:vAlign w:val="bottom"/>
          </w:tcPr>
          <w:p w14:paraId="5C7C543C" w14:textId="77777777" w:rsidR="0008009C" w:rsidRDefault="0008009C">
            <w:pPr>
              <w:jc w:val="right"/>
              <w:rPr>
                <w:rFonts w:ascii="宋体"/>
              </w:rPr>
            </w:pPr>
          </w:p>
        </w:tc>
      </w:tr>
      <w:tr w:rsidR="0008009C" w14:paraId="5C7C5445" w14:textId="77777777">
        <w:tc>
          <w:tcPr>
            <w:tcW w:w="0" w:type="auto"/>
            <w:gridSpan w:val="3"/>
            <w:shd w:val="clear" w:color="auto" w:fill="auto"/>
            <w:tcMar>
              <w:top w:w="40" w:type="dxa"/>
              <w:left w:w="140" w:type="dxa"/>
              <w:bottom w:w="40" w:type="dxa"/>
              <w:right w:w="20" w:type="dxa"/>
            </w:tcMar>
          </w:tcPr>
          <w:p w14:paraId="5C7C543E" w14:textId="77777777" w:rsidR="0008009C" w:rsidRDefault="00936FDF">
            <w:pPr>
              <w:textAlignment w:val="top"/>
            </w:pPr>
            <w:r>
              <w:rPr>
                <w:rFonts w:ascii="Arial" w:eastAsia="宋体" w:hAnsi="Arial" w:cs="Arial"/>
                <w:color w:val="262626"/>
                <w:sz w:val="18"/>
                <w:szCs w:val="18"/>
              </w:rPr>
              <w:t>Trading assets</w:t>
            </w:r>
          </w:p>
        </w:tc>
        <w:tc>
          <w:tcPr>
            <w:tcW w:w="0" w:type="auto"/>
            <w:gridSpan w:val="3"/>
            <w:shd w:val="clear" w:color="auto" w:fill="auto"/>
            <w:tcMar>
              <w:top w:w="0" w:type="dxa"/>
              <w:left w:w="20" w:type="dxa"/>
              <w:bottom w:w="0" w:type="dxa"/>
              <w:right w:w="20" w:type="dxa"/>
            </w:tcMar>
          </w:tcPr>
          <w:p w14:paraId="5C7C543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40" w14:textId="77777777" w:rsidR="0008009C" w:rsidRDefault="00936FDF">
            <w:pPr>
              <w:jc w:val="right"/>
              <w:textAlignment w:val="bottom"/>
            </w:pPr>
            <w:r>
              <w:rPr>
                <w:rFonts w:ascii="Arial" w:eastAsia="宋体" w:hAnsi="Arial" w:cs="Arial"/>
                <w:color w:val="0068B5"/>
                <w:sz w:val="18"/>
                <w:szCs w:val="18"/>
              </w:rPr>
              <w:t>14,788 </w:t>
            </w:r>
          </w:p>
        </w:tc>
        <w:tc>
          <w:tcPr>
            <w:tcW w:w="0" w:type="auto"/>
            <w:shd w:val="clear" w:color="auto" w:fill="auto"/>
            <w:tcMar>
              <w:top w:w="40" w:type="dxa"/>
              <w:left w:w="0" w:type="dxa"/>
              <w:bottom w:w="40" w:type="dxa"/>
              <w:right w:w="20" w:type="dxa"/>
            </w:tcMar>
            <w:vAlign w:val="bottom"/>
          </w:tcPr>
          <w:p w14:paraId="5C7C544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4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43" w14:textId="77777777" w:rsidR="0008009C" w:rsidRDefault="00936FDF">
            <w:pPr>
              <w:jc w:val="right"/>
              <w:textAlignment w:val="bottom"/>
            </w:pPr>
            <w:r>
              <w:rPr>
                <w:rFonts w:ascii="Arial" w:eastAsia="宋体" w:hAnsi="Arial" w:cs="Arial"/>
                <w:color w:val="262626"/>
                <w:sz w:val="18"/>
                <w:szCs w:val="18"/>
              </w:rPr>
              <w:t>15,738 </w:t>
            </w:r>
          </w:p>
        </w:tc>
        <w:tc>
          <w:tcPr>
            <w:tcW w:w="0" w:type="auto"/>
            <w:shd w:val="clear" w:color="auto" w:fill="auto"/>
            <w:tcMar>
              <w:top w:w="40" w:type="dxa"/>
              <w:left w:w="0" w:type="dxa"/>
              <w:bottom w:w="40" w:type="dxa"/>
              <w:right w:w="20" w:type="dxa"/>
            </w:tcMar>
            <w:vAlign w:val="bottom"/>
          </w:tcPr>
          <w:p w14:paraId="5C7C5444" w14:textId="77777777" w:rsidR="0008009C" w:rsidRDefault="0008009C">
            <w:pPr>
              <w:jc w:val="right"/>
              <w:rPr>
                <w:rFonts w:ascii="宋体"/>
              </w:rPr>
            </w:pPr>
          </w:p>
        </w:tc>
      </w:tr>
      <w:tr w:rsidR="0008009C" w14:paraId="5C7C544D" w14:textId="77777777">
        <w:tc>
          <w:tcPr>
            <w:tcW w:w="0" w:type="auto"/>
            <w:gridSpan w:val="3"/>
            <w:shd w:val="clear" w:color="auto" w:fill="auto"/>
            <w:tcMar>
              <w:top w:w="40" w:type="dxa"/>
              <w:left w:w="140" w:type="dxa"/>
              <w:bottom w:w="40" w:type="dxa"/>
              <w:right w:w="20" w:type="dxa"/>
            </w:tcMar>
          </w:tcPr>
          <w:p w14:paraId="5C7C5446" w14:textId="77777777" w:rsidR="0008009C" w:rsidRDefault="00936FDF">
            <w:pPr>
              <w:textAlignment w:val="top"/>
            </w:pPr>
            <w:r>
              <w:rPr>
                <w:rFonts w:ascii="Arial" w:eastAsia="宋体" w:hAnsi="Arial" w:cs="Arial"/>
                <w:color w:val="262626"/>
                <w:sz w:val="18"/>
                <w:szCs w:val="18"/>
              </w:rPr>
              <w:t>Accounts receivable</w:t>
            </w:r>
          </w:p>
        </w:tc>
        <w:tc>
          <w:tcPr>
            <w:tcW w:w="0" w:type="auto"/>
            <w:gridSpan w:val="3"/>
            <w:shd w:val="clear" w:color="auto" w:fill="auto"/>
            <w:tcMar>
              <w:top w:w="0" w:type="dxa"/>
              <w:left w:w="20" w:type="dxa"/>
              <w:bottom w:w="0" w:type="dxa"/>
              <w:right w:w="20" w:type="dxa"/>
            </w:tcMar>
          </w:tcPr>
          <w:p w14:paraId="5C7C544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48" w14:textId="77777777" w:rsidR="0008009C" w:rsidRDefault="00936FDF">
            <w:pPr>
              <w:jc w:val="right"/>
              <w:textAlignment w:val="bottom"/>
            </w:pPr>
            <w:r>
              <w:rPr>
                <w:rFonts w:ascii="Arial" w:eastAsia="宋体" w:hAnsi="Arial" w:cs="Arial"/>
                <w:color w:val="0068B5"/>
                <w:sz w:val="18"/>
                <w:szCs w:val="18"/>
              </w:rPr>
              <w:t>7,208 </w:t>
            </w:r>
          </w:p>
        </w:tc>
        <w:tc>
          <w:tcPr>
            <w:tcW w:w="0" w:type="auto"/>
            <w:shd w:val="clear" w:color="auto" w:fill="auto"/>
            <w:tcMar>
              <w:top w:w="40" w:type="dxa"/>
              <w:left w:w="0" w:type="dxa"/>
              <w:bottom w:w="40" w:type="dxa"/>
              <w:right w:w="20" w:type="dxa"/>
            </w:tcMar>
            <w:vAlign w:val="bottom"/>
          </w:tcPr>
          <w:p w14:paraId="5C7C544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4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4B" w14:textId="77777777" w:rsidR="0008009C" w:rsidRDefault="00936FDF">
            <w:pPr>
              <w:jc w:val="right"/>
              <w:textAlignment w:val="bottom"/>
            </w:pPr>
            <w:r>
              <w:rPr>
                <w:rFonts w:ascii="Arial" w:eastAsia="宋体" w:hAnsi="Arial" w:cs="Arial"/>
                <w:color w:val="262626"/>
                <w:sz w:val="18"/>
                <w:szCs w:val="18"/>
              </w:rPr>
              <w:t>6,782 </w:t>
            </w:r>
          </w:p>
        </w:tc>
        <w:tc>
          <w:tcPr>
            <w:tcW w:w="0" w:type="auto"/>
            <w:shd w:val="clear" w:color="auto" w:fill="auto"/>
            <w:tcMar>
              <w:top w:w="40" w:type="dxa"/>
              <w:left w:w="0" w:type="dxa"/>
              <w:bottom w:w="40" w:type="dxa"/>
              <w:right w:w="20" w:type="dxa"/>
            </w:tcMar>
            <w:vAlign w:val="bottom"/>
          </w:tcPr>
          <w:p w14:paraId="5C7C544C" w14:textId="77777777" w:rsidR="0008009C" w:rsidRDefault="0008009C">
            <w:pPr>
              <w:jc w:val="right"/>
              <w:rPr>
                <w:rFonts w:ascii="宋体"/>
              </w:rPr>
            </w:pPr>
          </w:p>
        </w:tc>
      </w:tr>
      <w:tr w:rsidR="0008009C" w14:paraId="5C7C5455" w14:textId="77777777">
        <w:tc>
          <w:tcPr>
            <w:tcW w:w="0" w:type="auto"/>
            <w:gridSpan w:val="3"/>
            <w:shd w:val="clear" w:color="auto" w:fill="auto"/>
            <w:tcMar>
              <w:top w:w="40" w:type="dxa"/>
              <w:left w:w="140" w:type="dxa"/>
              <w:bottom w:w="40" w:type="dxa"/>
              <w:right w:w="20" w:type="dxa"/>
            </w:tcMar>
          </w:tcPr>
          <w:p w14:paraId="5C7C544E" w14:textId="77777777" w:rsidR="0008009C" w:rsidRDefault="00936FDF">
            <w:pPr>
              <w:textAlignment w:val="top"/>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tcPr>
          <w:p w14:paraId="5C7C544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50" w14:textId="77777777" w:rsidR="0008009C" w:rsidRDefault="00936FDF">
            <w:pPr>
              <w:jc w:val="right"/>
              <w:textAlignment w:val="bottom"/>
            </w:pPr>
            <w:r>
              <w:rPr>
                <w:rFonts w:ascii="Arial" w:eastAsia="宋体" w:hAnsi="Arial" w:cs="Arial"/>
                <w:color w:val="0068B5"/>
                <w:sz w:val="18"/>
                <w:szCs w:val="18"/>
              </w:rPr>
              <w:t>8,487 </w:t>
            </w:r>
          </w:p>
        </w:tc>
        <w:tc>
          <w:tcPr>
            <w:tcW w:w="0" w:type="auto"/>
            <w:shd w:val="clear" w:color="auto" w:fill="auto"/>
            <w:tcMar>
              <w:top w:w="40" w:type="dxa"/>
              <w:left w:w="0" w:type="dxa"/>
              <w:bottom w:w="40" w:type="dxa"/>
              <w:right w:w="20" w:type="dxa"/>
            </w:tcMar>
            <w:vAlign w:val="bottom"/>
          </w:tcPr>
          <w:p w14:paraId="5C7C545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5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53" w14:textId="77777777" w:rsidR="0008009C" w:rsidRDefault="00936FDF">
            <w:pPr>
              <w:jc w:val="right"/>
              <w:textAlignment w:val="bottom"/>
            </w:pPr>
            <w:r>
              <w:rPr>
                <w:rFonts w:ascii="Arial" w:eastAsia="宋体" w:hAnsi="Arial" w:cs="Arial"/>
                <w:color w:val="262626"/>
                <w:sz w:val="18"/>
                <w:szCs w:val="18"/>
              </w:rPr>
              <w:t>8,427 </w:t>
            </w:r>
          </w:p>
        </w:tc>
        <w:tc>
          <w:tcPr>
            <w:tcW w:w="0" w:type="auto"/>
            <w:shd w:val="clear" w:color="auto" w:fill="auto"/>
            <w:tcMar>
              <w:top w:w="40" w:type="dxa"/>
              <w:left w:w="0" w:type="dxa"/>
              <w:bottom w:w="40" w:type="dxa"/>
              <w:right w:w="20" w:type="dxa"/>
            </w:tcMar>
            <w:vAlign w:val="bottom"/>
          </w:tcPr>
          <w:p w14:paraId="5C7C5454" w14:textId="77777777" w:rsidR="0008009C" w:rsidRDefault="0008009C">
            <w:pPr>
              <w:jc w:val="right"/>
              <w:rPr>
                <w:rFonts w:ascii="宋体"/>
              </w:rPr>
            </w:pPr>
          </w:p>
        </w:tc>
      </w:tr>
      <w:tr w:rsidR="0008009C" w14:paraId="5C7C545D" w14:textId="77777777">
        <w:tc>
          <w:tcPr>
            <w:tcW w:w="0" w:type="auto"/>
            <w:gridSpan w:val="3"/>
            <w:shd w:val="clear" w:color="auto" w:fill="auto"/>
            <w:tcMar>
              <w:top w:w="40" w:type="dxa"/>
              <w:left w:w="140" w:type="dxa"/>
              <w:bottom w:w="40" w:type="dxa"/>
              <w:right w:w="20" w:type="dxa"/>
            </w:tcMar>
          </w:tcPr>
          <w:p w14:paraId="5C7C5456" w14:textId="77777777" w:rsidR="0008009C" w:rsidRDefault="00936FDF">
            <w:pPr>
              <w:textAlignment w:val="top"/>
            </w:pPr>
            <w:r>
              <w:rPr>
                <w:rFonts w:ascii="Arial" w:eastAsia="宋体" w:hAnsi="Arial" w:cs="Arial"/>
                <w:color w:val="262626"/>
                <w:sz w:val="18"/>
                <w:szCs w:val="18"/>
              </w:rPr>
              <w:t>Assets held for sale</w:t>
            </w:r>
          </w:p>
        </w:tc>
        <w:tc>
          <w:tcPr>
            <w:tcW w:w="0" w:type="auto"/>
            <w:gridSpan w:val="3"/>
            <w:shd w:val="clear" w:color="auto" w:fill="auto"/>
            <w:tcMar>
              <w:top w:w="0" w:type="dxa"/>
              <w:left w:w="20" w:type="dxa"/>
              <w:bottom w:w="0" w:type="dxa"/>
              <w:right w:w="20" w:type="dxa"/>
            </w:tcMar>
          </w:tcPr>
          <w:p w14:paraId="5C7C545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58" w14:textId="77777777" w:rsidR="0008009C" w:rsidRDefault="00936FDF">
            <w:pPr>
              <w:jc w:val="right"/>
              <w:textAlignment w:val="bottom"/>
            </w:pPr>
            <w:r>
              <w:rPr>
                <w:rFonts w:ascii="Arial" w:eastAsia="宋体" w:hAnsi="Arial" w:cs="Arial"/>
                <w:color w:val="0068B5"/>
                <w:sz w:val="18"/>
                <w:szCs w:val="18"/>
              </w:rPr>
              <w:t>5,557 </w:t>
            </w:r>
          </w:p>
        </w:tc>
        <w:tc>
          <w:tcPr>
            <w:tcW w:w="0" w:type="auto"/>
            <w:shd w:val="clear" w:color="auto" w:fill="auto"/>
            <w:tcMar>
              <w:top w:w="40" w:type="dxa"/>
              <w:left w:w="0" w:type="dxa"/>
              <w:bottom w:w="40" w:type="dxa"/>
              <w:right w:w="20" w:type="dxa"/>
            </w:tcMar>
            <w:vAlign w:val="bottom"/>
          </w:tcPr>
          <w:p w14:paraId="5C7C545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5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5B" w14:textId="77777777" w:rsidR="0008009C" w:rsidRDefault="00936FDF">
            <w:pPr>
              <w:jc w:val="right"/>
              <w:textAlignment w:val="bottom"/>
            </w:pPr>
            <w:r>
              <w:rPr>
                <w:rFonts w:ascii="Arial" w:eastAsia="宋体" w:hAnsi="Arial" w:cs="Arial"/>
                <w:color w:val="262626"/>
                <w:sz w:val="18"/>
                <w:szCs w:val="18"/>
              </w:rPr>
              <w:t>5,400 </w:t>
            </w:r>
          </w:p>
        </w:tc>
        <w:tc>
          <w:tcPr>
            <w:tcW w:w="0" w:type="auto"/>
            <w:shd w:val="clear" w:color="auto" w:fill="auto"/>
            <w:tcMar>
              <w:top w:w="40" w:type="dxa"/>
              <w:left w:w="0" w:type="dxa"/>
              <w:bottom w:w="40" w:type="dxa"/>
              <w:right w:w="20" w:type="dxa"/>
            </w:tcMar>
            <w:vAlign w:val="bottom"/>
          </w:tcPr>
          <w:p w14:paraId="5C7C545C" w14:textId="77777777" w:rsidR="0008009C" w:rsidRDefault="0008009C">
            <w:pPr>
              <w:jc w:val="right"/>
              <w:rPr>
                <w:rFonts w:ascii="宋体"/>
              </w:rPr>
            </w:pPr>
          </w:p>
        </w:tc>
      </w:tr>
      <w:tr w:rsidR="0008009C" w14:paraId="5C7C5465" w14:textId="77777777">
        <w:tc>
          <w:tcPr>
            <w:tcW w:w="0" w:type="auto"/>
            <w:gridSpan w:val="3"/>
            <w:shd w:val="clear" w:color="auto" w:fill="auto"/>
            <w:tcMar>
              <w:top w:w="40" w:type="dxa"/>
              <w:left w:w="140" w:type="dxa"/>
              <w:bottom w:w="40" w:type="dxa"/>
              <w:right w:w="20" w:type="dxa"/>
            </w:tcMar>
          </w:tcPr>
          <w:p w14:paraId="5C7C545E" w14:textId="77777777" w:rsidR="0008009C" w:rsidRDefault="00936FDF">
            <w:pPr>
              <w:textAlignment w:val="top"/>
            </w:pPr>
            <w:r>
              <w:rPr>
                <w:rFonts w:ascii="Arial" w:eastAsia="宋体" w:hAnsi="Arial" w:cs="Arial"/>
                <w:color w:val="262626"/>
                <w:sz w:val="18"/>
                <w:szCs w:val="18"/>
              </w:rPr>
              <w:t>Other current assets</w:t>
            </w:r>
          </w:p>
        </w:tc>
        <w:tc>
          <w:tcPr>
            <w:tcW w:w="0" w:type="auto"/>
            <w:gridSpan w:val="3"/>
            <w:shd w:val="clear" w:color="auto" w:fill="auto"/>
            <w:tcMar>
              <w:top w:w="0" w:type="dxa"/>
              <w:left w:w="20" w:type="dxa"/>
              <w:bottom w:w="0" w:type="dxa"/>
              <w:right w:w="20" w:type="dxa"/>
            </w:tcMar>
          </w:tcPr>
          <w:p w14:paraId="5C7C545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60" w14:textId="77777777" w:rsidR="0008009C" w:rsidRDefault="00936FDF">
            <w:pPr>
              <w:jc w:val="right"/>
              <w:textAlignment w:val="bottom"/>
            </w:pPr>
            <w:r>
              <w:rPr>
                <w:rFonts w:ascii="Arial" w:eastAsia="宋体" w:hAnsi="Arial" w:cs="Arial"/>
                <w:color w:val="0068B5"/>
                <w:sz w:val="18"/>
                <w:szCs w:val="18"/>
              </w:rPr>
              <w:t>2,124 </w:t>
            </w:r>
          </w:p>
        </w:tc>
        <w:tc>
          <w:tcPr>
            <w:tcW w:w="0" w:type="auto"/>
            <w:shd w:val="clear" w:color="auto" w:fill="auto"/>
            <w:tcMar>
              <w:top w:w="40" w:type="dxa"/>
              <w:left w:w="0" w:type="dxa"/>
              <w:bottom w:w="40" w:type="dxa"/>
              <w:right w:w="20" w:type="dxa"/>
            </w:tcMar>
            <w:vAlign w:val="bottom"/>
          </w:tcPr>
          <w:p w14:paraId="5C7C546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6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63" w14:textId="77777777" w:rsidR="0008009C" w:rsidRDefault="00936FDF">
            <w:pPr>
              <w:jc w:val="right"/>
              <w:textAlignment w:val="bottom"/>
            </w:pPr>
            <w:r>
              <w:rPr>
                <w:rFonts w:ascii="Arial" w:eastAsia="宋体" w:hAnsi="Arial" w:cs="Arial"/>
                <w:color w:val="262626"/>
                <w:sz w:val="18"/>
                <w:szCs w:val="18"/>
              </w:rPr>
              <w:t>2,745 </w:t>
            </w:r>
          </w:p>
        </w:tc>
        <w:tc>
          <w:tcPr>
            <w:tcW w:w="0" w:type="auto"/>
            <w:shd w:val="clear" w:color="auto" w:fill="auto"/>
            <w:tcMar>
              <w:top w:w="40" w:type="dxa"/>
              <w:left w:w="0" w:type="dxa"/>
              <w:bottom w:w="40" w:type="dxa"/>
              <w:right w:w="20" w:type="dxa"/>
            </w:tcMar>
            <w:vAlign w:val="bottom"/>
          </w:tcPr>
          <w:p w14:paraId="5C7C5464" w14:textId="77777777" w:rsidR="0008009C" w:rsidRDefault="0008009C">
            <w:pPr>
              <w:jc w:val="right"/>
              <w:rPr>
                <w:rFonts w:ascii="宋体"/>
              </w:rPr>
            </w:pPr>
          </w:p>
        </w:tc>
      </w:tr>
      <w:tr w:rsidR="0008009C" w14:paraId="5C7C546D" w14:textId="77777777">
        <w:tc>
          <w:tcPr>
            <w:tcW w:w="0" w:type="auto"/>
            <w:gridSpan w:val="3"/>
            <w:shd w:val="clear" w:color="auto" w:fill="auto"/>
            <w:tcMar>
              <w:top w:w="40" w:type="dxa"/>
              <w:left w:w="20" w:type="dxa"/>
              <w:bottom w:w="40" w:type="dxa"/>
              <w:right w:w="20" w:type="dxa"/>
            </w:tcMar>
          </w:tcPr>
          <w:p w14:paraId="5C7C5466" w14:textId="77777777" w:rsidR="0008009C" w:rsidRDefault="00936FDF">
            <w:pPr>
              <w:textAlignment w:val="top"/>
            </w:pPr>
            <w:r>
              <w:rPr>
                <w:rFonts w:ascii="Arial" w:eastAsia="宋体" w:hAnsi="Arial" w:cs="Arial"/>
                <w:b/>
                <w:bCs/>
                <w:color w:val="262626"/>
                <w:sz w:val="18"/>
                <w:szCs w:val="18"/>
              </w:rPr>
              <w:t>Total current assets</w:t>
            </w:r>
          </w:p>
        </w:tc>
        <w:tc>
          <w:tcPr>
            <w:tcW w:w="0" w:type="auto"/>
            <w:gridSpan w:val="3"/>
            <w:shd w:val="clear" w:color="auto" w:fill="auto"/>
            <w:tcMar>
              <w:top w:w="0" w:type="dxa"/>
              <w:left w:w="20" w:type="dxa"/>
              <w:bottom w:w="0" w:type="dxa"/>
              <w:right w:w="20" w:type="dxa"/>
            </w:tcMar>
          </w:tcPr>
          <w:p w14:paraId="5C7C5467"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468" w14:textId="77777777" w:rsidR="0008009C" w:rsidRDefault="00936FDF">
            <w:pPr>
              <w:jc w:val="right"/>
              <w:textAlignment w:val="bottom"/>
            </w:pPr>
            <w:r>
              <w:rPr>
                <w:rFonts w:ascii="Arial" w:eastAsia="宋体" w:hAnsi="Arial" w:cs="Arial"/>
                <w:b/>
                <w:bCs/>
                <w:color w:val="0068B5"/>
                <w:sz w:val="18"/>
                <w:szCs w:val="18"/>
              </w:rPr>
              <w:t>45,773</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46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6A"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46B" w14:textId="77777777" w:rsidR="0008009C" w:rsidRDefault="00936FDF">
            <w:pPr>
              <w:jc w:val="right"/>
              <w:textAlignment w:val="bottom"/>
            </w:pPr>
            <w:r>
              <w:rPr>
                <w:rFonts w:ascii="Arial" w:eastAsia="宋体" w:hAnsi="Arial" w:cs="Arial"/>
                <w:b/>
                <w:bCs/>
                <w:color w:val="262626"/>
                <w:sz w:val="18"/>
                <w:szCs w:val="18"/>
              </w:rPr>
              <w:t>47,249</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46C" w14:textId="77777777" w:rsidR="0008009C" w:rsidRDefault="0008009C">
            <w:pPr>
              <w:jc w:val="right"/>
              <w:rPr>
                <w:rFonts w:ascii="宋体"/>
              </w:rPr>
            </w:pPr>
          </w:p>
        </w:tc>
      </w:tr>
      <w:tr w:rsidR="0008009C" w14:paraId="5C7C5473" w14:textId="77777777">
        <w:trPr>
          <w:trHeight w:val="100"/>
        </w:trPr>
        <w:tc>
          <w:tcPr>
            <w:tcW w:w="0" w:type="auto"/>
            <w:gridSpan w:val="3"/>
            <w:shd w:val="clear" w:color="auto" w:fill="auto"/>
            <w:tcMar>
              <w:top w:w="0" w:type="dxa"/>
              <w:left w:w="20" w:type="dxa"/>
              <w:bottom w:w="0" w:type="dxa"/>
              <w:right w:w="20" w:type="dxa"/>
            </w:tcMar>
          </w:tcPr>
          <w:p w14:paraId="5C7C546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6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7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7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72" w14:textId="77777777" w:rsidR="0008009C" w:rsidRDefault="0008009C">
            <w:pPr>
              <w:rPr>
                <w:rFonts w:ascii="宋体"/>
              </w:rPr>
            </w:pPr>
          </w:p>
        </w:tc>
      </w:tr>
      <w:tr w:rsidR="0008009C" w14:paraId="5C7C547B" w14:textId="77777777">
        <w:tc>
          <w:tcPr>
            <w:tcW w:w="0" w:type="auto"/>
            <w:gridSpan w:val="3"/>
            <w:shd w:val="clear" w:color="auto" w:fill="auto"/>
            <w:tcMar>
              <w:top w:w="40" w:type="dxa"/>
              <w:left w:w="20" w:type="dxa"/>
              <w:bottom w:w="40" w:type="dxa"/>
              <w:right w:w="20" w:type="dxa"/>
            </w:tcMar>
          </w:tcPr>
          <w:p w14:paraId="5C7C5474" w14:textId="77777777" w:rsidR="0008009C" w:rsidRDefault="00936FDF">
            <w:pPr>
              <w:textAlignment w:val="top"/>
            </w:pPr>
            <w:r>
              <w:rPr>
                <w:rFonts w:ascii="Arial" w:eastAsia="宋体" w:hAnsi="Arial" w:cs="Arial"/>
                <w:b/>
                <w:bCs/>
                <w:color w:val="262626"/>
                <w:sz w:val="18"/>
                <w:szCs w:val="18"/>
              </w:rPr>
              <w:t xml:space="preserve">Property, plant and equipment, net of accumulated depreciation of $79,778 </w:t>
            </w:r>
            <w:r>
              <w:rPr>
                <w:rFonts w:ascii="Arial" w:eastAsia="宋体" w:hAnsi="Arial" w:cs="Arial"/>
                <w:b/>
                <w:bCs/>
                <w:color w:val="262626"/>
                <w:sz w:val="18"/>
                <w:szCs w:val="18"/>
              </w:rPr>
              <w:t>($77,645 as of December 26, 2020)</w:t>
            </w:r>
          </w:p>
        </w:tc>
        <w:tc>
          <w:tcPr>
            <w:tcW w:w="0" w:type="auto"/>
            <w:gridSpan w:val="3"/>
            <w:shd w:val="clear" w:color="auto" w:fill="auto"/>
            <w:tcMar>
              <w:top w:w="0" w:type="dxa"/>
              <w:left w:w="20" w:type="dxa"/>
              <w:bottom w:w="0" w:type="dxa"/>
              <w:right w:w="20" w:type="dxa"/>
            </w:tcMar>
          </w:tcPr>
          <w:p w14:paraId="5C7C547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76" w14:textId="77777777" w:rsidR="0008009C" w:rsidRDefault="00936FDF">
            <w:pPr>
              <w:jc w:val="right"/>
              <w:textAlignment w:val="bottom"/>
            </w:pPr>
            <w:r>
              <w:rPr>
                <w:rFonts w:ascii="Arial" w:eastAsia="宋体" w:hAnsi="Arial" w:cs="Arial"/>
                <w:b/>
                <w:bCs/>
                <w:color w:val="0068B5"/>
                <w:sz w:val="18"/>
                <w:szCs w:val="18"/>
              </w:rPr>
              <w:t>57,330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47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7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79" w14:textId="77777777" w:rsidR="0008009C" w:rsidRDefault="00936FDF">
            <w:pPr>
              <w:jc w:val="right"/>
              <w:textAlignment w:val="bottom"/>
            </w:pPr>
            <w:r>
              <w:rPr>
                <w:rFonts w:ascii="Arial" w:eastAsia="宋体" w:hAnsi="Arial" w:cs="Arial"/>
                <w:b/>
                <w:bCs/>
                <w:color w:val="262626"/>
                <w:sz w:val="18"/>
                <w:szCs w:val="18"/>
              </w:rPr>
              <w:t>56,584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47A" w14:textId="77777777" w:rsidR="0008009C" w:rsidRDefault="0008009C">
            <w:pPr>
              <w:jc w:val="right"/>
              <w:rPr>
                <w:rFonts w:ascii="宋体"/>
              </w:rPr>
            </w:pPr>
          </w:p>
        </w:tc>
      </w:tr>
      <w:tr w:rsidR="0008009C" w14:paraId="5C7C5483" w14:textId="77777777">
        <w:tc>
          <w:tcPr>
            <w:tcW w:w="0" w:type="auto"/>
            <w:gridSpan w:val="3"/>
            <w:shd w:val="clear" w:color="auto" w:fill="auto"/>
            <w:tcMar>
              <w:top w:w="40" w:type="dxa"/>
              <w:left w:w="20" w:type="dxa"/>
              <w:bottom w:w="40" w:type="dxa"/>
              <w:right w:w="20" w:type="dxa"/>
            </w:tcMar>
          </w:tcPr>
          <w:p w14:paraId="5C7C547C" w14:textId="77777777" w:rsidR="0008009C" w:rsidRDefault="00936FDF">
            <w:pPr>
              <w:textAlignment w:val="top"/>
            </w:pPr>
            <w:r>
              <w:rPr>
                <w:rFonts w:ascii="Arial" w:eastAsia="宋体" w:hAnsi="Arial" w:cs="Arial"/>
                <w:b/>
                <w:bCs/>
                <w:color w:val="262626"/>
                <w:sz w:val="18"/>
                <w:szCs w:val="18"/>
              </w:rPr>
              <w:t>Equity investments</w:t>
            </w:r>
          </w:p>
        </w:tc>
        <w:tc>
          <w:tcPr>
            <w:tcW w:w="0" w:type="auto"/>
            <w:gridSpan w:val="3"/>
            <w:shd w:val="clear" w:color="auto" w:fill="auto"/>
            <w:tcMar>
              <w:top w:w="0" w:type="dxa"/>
              <w:left w:w="20" w:type="dxa"/>
              <w:bottom w:w="0" w:type="dxa"/>
              <w:right w:w="20" w:type="dxa"/>
            </w:tcMar>
          </w:tcPr>
          <w:p w14:paraId="5C7C547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7E" w14:textId="77777777" w:rsidR="0008009C" w:rsidRDefault="00936FDF">
            <w:pPr>
              <w:jc w:val="right"/>
              <w:textAlignment w:val="bottom"/>
            </w:pPr>
            <w:r>
              <w:rPr>
                <w:rFonts w:ascii="Arial" w:eastAsia="宋体" w:hAnsi="Arial" w:cs="Arial"/>
                <w:b/>
                <w:bCs/>
                <w:color w:val="0068B5"/>
                <w:sz w:val="18"/>
                <w:szCs w:val="18"/>
              </w:rPr>
              <w:t>5,404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47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8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81" w14:textId="77777777" w:rsidR="0008009C" w:rsidRDefault="00936FDF">
            <w:pPr>
              <w:jc w:val="right"/>
              <w:textAlignment w:val="bottom"/>
            </w:pPr>
            <w:r>
              <w:rPr>
                <w:rFonts w:ascii="Arial" w:eastAsia="宋体" w:hAnsi="Arial" w:cs="Arial"/>
                <w:b/>
                <w:bCs/>
                <w:color w:val="262626"/>
                <w:sz w:val="18"/>
                <w:szCs w:val="18"/>
              </w:rPr>
              <w:t>5,152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482" w14:textId="77777777" w:rsidR="0008009C" w:rsidRDefault="0008009C">
            <w:pPr>
              <w:jc w:val="right"/>
              <w:rPr>
                <w:rFonts w:ascii="宋体"/>
              </w:rPr>
            </w:pPr>
          </w:p>
        </w:tc>
      </w:tr>
      <w:tr w:rsidR="0008009C" w14:paraId="5C7C548B" w14:textId="77777777">
        <w:tc>
          <w:tcPr>
            <w:tcW w:w="0" w:type="auto"/>
            <w:gridSpan w:val="3"/>
            <w:shd w:val="clear" w:color="auto" w:fill="auto"/>
            <w:tcMar>
              <w:top w:w="40" w:type="dxa"/>
              <w:left w:w="20" w:type="dxa"/>
              <w:bottom w:w="40" w:type="dxa"/>
              <w:right w:w="20" w:type="dxa"/>
            </w:tcMar>
          </w:tcPr>
          <w:p w14:paraId="5C7C5484" w14:textId="77777777" w:rsidR="0008009C" w:rsidRDefault="00936FDF">
            <w:pPr>
              <w:textAlignment w:val="top"/>
            </w:pPr>
            <w:r>
              <w:rPr>
                <w:rFonts w:ascii="Arial" w:eastAsia="宋体" w:hAnsi="Arial" w:cs="Arial"/>
                <w:b/>
                <w:bCs/>
                <w:color w:val="262626"/>
                <w:sz w:val="18"/>
                <w:szCs w:val="18"/>
              </w:rPr>
              <w:t>Other long-term investments</w:t>
            </w:r>
          </w:p>
        </w:tc>
        <w:tc>
          <w:tcPr>
            <w:tcW w:w="0" w:type="auto"/>
            <w:gridSpan w:val="3"/>
            <w:shd w:val="clear" w:color="auto" w:fill="auto"/>
            <w:tcMar>
              <w:top w:w="0" w:type="dxa"/>
              <w:left w:w="20" w:type="dxa"/>
              <w:bottom w:w="0" w:type="dxa"/>
              <w:right w:w="20" w:type="dxa"/>
            </w:tcMar>
          </w:tcPr>
          <w:p w14:paraId="5C7C548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86" w14:textId="77777777" w:rsidR="0008009C" w:rsidRDefault="00936FDF">
            <w:pPr>
              <w:jc w:val="right"/>
              <w:textAlignment w:val="bottom"/>
            </w:pPr>
            <w:r>
              <w:rPr>
                <w:rFonts w:ascii="Arial" w:eastAsia="宋体" w:hAnsi="Arial" w:cs="Arial"/>
                <w:b/>
                <w:bCs/>
                <w:color w:val="0068B5"/>
                <w:sz w:val="18"/>
                <w:szCs w:val="18"/>
              </w:rPr>
              <w:t>1,409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48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8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89" w14:textId="77777777" w:rsidR="0008009C" w:rsidRDefault="00936FDF">
            <w:pPr>
              <w:jc w:val="right"/>
              <w:textAlignment w:val="bottom"/>
            </w:pPr>
            <w:r>
              <w:rPr>
                <w:rFonts w:ascii="Arial" w:eastAsia="宋体" w:hAnsi="Arial" w:cs="Arial"/>
                <w:b/>
                <w:bCs/>
                <w:color w:val="262626"/>
                <w:sz w:val="18"/>
                <w:szCs w:val="18"/>
              </w:rPr>
              <w:t>2,192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48A" w14:textId="77777777" w:rsidR="0008009C" w:rsidRDefault="0008009C">
            <w:pPr>
              <w:jc w:val="right"/>
              <w:rPr>
                <w:rFonts w:ascii="宋体"/>
              </w:rPr>
            </w:pPr>
          </w:p>
        </w:tc>
      </w:tr>
      <w:tr w:rsidR="0008009C" w14:paraId="5C7C5493" w14:textId="77777777">
        <w:tc>
          <w:tcPr>
            <w:tcW w:w="0" w:type="auto"/>
            <w:gridSpan w:val="3"/>
            <w:shd w:val="clear" w:color="auto" w:fill="auto"/>
            <w:tcMar>
              <w:top w:w="40" w:type="dxa"/>
              <w:left w:w="20" w:type="dxa"/>
              <w:bottom w:w="40" w:type="dxa"/>
              <w:right w:w="20" w:type="dxa"/>
            </w:tcMar>
          </w:tcPr>
          <w:p w14:paraId="5C7C548C" w14:textId="77777777" w:rsidR="0008009C" w:rsidRDefault="00936FDF">
            <w:pPr>
              <w:textAlignment w:val="top"/>
            </w:pPr>
            <w:r>
              <w:rPr>
                <w:rFonts w:ascii="Arial" w:eastAsia="宋体" w:hAnsi="Arial" w:cs="Arial"/>
                <w:b/>
                <w:bCs/>
                <w:color w:val="262626"/>
                <w:sz w:val="18"/>
                <w:szCs w:val="18"/>
              </w:rPr>
              <w:t>Goodwill</w:t>
            </w:r>
          </w:p>
        </w:tc>
        <w:tc>
          <w:tcPr>
            <w:tcW w:w="0" w:type="auto"/>
            <w:gridSpan w:val="3"/>
            <w:shd w:val="clear" w:color="auto" w:fill="auto"/>
            <w:tcMar>
              <w:top w:w="0" w:type="dxa"/>
              <w:left w:w="20" w:type="dxa"/>
              <w:bottom w:w="0" w:type="dxa"/>
              <w:right w:w="20" w:type="dxa"/>
            </w:tcMar>
          </w:tcPr>
          <w:p w14:paraId="5C7C548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8E" w14:textId="77777777" w:rsidR="0008009C" w:rsidRDefault="00936FDF">
            <w:pPr>
              <w:jc w:val="right"/>
              <w:textAlignment w:val="bottom"/>
            </w:pPr>
            <w:r>
              <w:rPr>
                <w:rFonts w:ascii="Arial" w:eastAsia="宋体" w:hAnsi="Arial" w:cs="Arial"/>
                <w:b/>
                <w:bCs/>
                <w:color w:val="0068B5"/>
                <w:sz w:val="18"/>
                <w:szCs w:val="18"/>
              </w:rPr>
              <w:t>26,971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48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9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91" w14:textId="77777777" w:rsidR="0008009C" w:rsidRDefault="00936FDF">
            <w:pPr>
              <w:jc w:val="right"/>
              <w:textAlignment w:val="bottom"/>
            </w:pPr>
            <w:r>
              <w:rPr>
                <w:rFonts w:ascii="Arial" w:eastAsia="宋体" w:hAnsi="Arial" w:cs="Arial"/>
                <w:b/>
                <w:bCs/>
                <w:color w:val="262626"/>
                <w:sz w:val="18"/>
                <w:szCs w:val="18"/>
              </w:rPr>
              <w:t>26,971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492" w14:textId="77777777" w:rsidR="0008009C" w:rsidRDefault="0008009C">
            <w:pPr>
              <w:jc w:val="right"/>
              <w:rPr>
                <w:rFonts w:ascii="宋体"/>
              </w:rPr>
            </w:pPr>
          </w:p>
        </w:tc>
      </w:tr>
      <w:tr w:rsidR="0008009C" w14:paraId="5C7C549B" w14:textId="77777777">
        <w:tc>
          <w:tcPr>
            <w:tcW w:w="0" w:type="auto"/>
            <w:gridSpan w:val="3"/>
            <w:shd w:val="clear" w:color="auto" w:fill="auto"/>
            <w:tcMar>
              <w:top w:w="40" w:type="dxa"/>
              <w:left w:w="20" w:type="dxa"/>
              <w:bottom w:w="40" w:type="dxa"/>
              <w:right w:w="20" w:type="dxa"/>
            </w:tcMar>
          </w:tcPr>
          <w:p w14:paraId="5C7C5494" w14:textId="77777777" w:rsidR="0008009C" w:rsidRDefault="00936FDF">
            <w:pPr>
              <w:textAlignment w:val="top"/>
            </w:pPr>
            <w:r>
              <w:rPr>
                <w:rFonts w:ascii="Arial" w:eastAsia="宋体" w:hAnsi="Arial" w:cs="Arial"/>
                <w:b/>
                <w:bCs/>
                <w:color w:val="262626"/>
                <w:sz w:val="18"/>
                <w:szCs w:val="18"/>
              </w:rPr>
              <w:t>Identified intangible assets, net</w:t>
            </w:r>
          </w:p>
        </w:tc>
        <w:tc>
          <w:tcPr>
            <w:tcW w:w="0" w:type="auto"/>
            <w:gridSpan w:val="3"/>
            <w:shd w:val="clear" w:color="auto" w:fill="auto"/>
            <w:tcMar>
              <w:top w:w="0" w:type="dxa"/>
              <w:left w:w="20" w:type="dxa"/>
              <w:bottom w:w="0" w:type="dxa"/>
              <w:right w:w="20" w:type="dxa"/>
            </w:tcMar>
          </w:tcPr>
          <w:p w14:paraId="5C7C549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96" w14:textId="77777777" w:rsidR="0008009C" w:rsidRDefault="00936FDF">
            <w:pPr>
              <w:jc w:val="right"/>
              <w:textAlignment w:val="bottom"/>
            </w:pPr>
            <w:r>
              <w:rPr>
                <w:rFonts w:ascii="Arial" w:eastAsia="宋体" w:hAnsi="Arial" w:cs="Arial"/>
                <w:b/>
                <w:bCs/>
                <w:color w:val="0068B5"/>
                <w:sz w:val="18"/>
                <w:szCs w:val="18"/>
              </w:rPr>
              <w:t>8,408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49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9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99" w14:textId="77777777" w:rsidR="0008009C" w:rsidRDefault="00936FDF">
            <w:pPr>
              <w:jc w:val="right"/>
              <w:textAlignment w:val="bottom"/>
            </w:pPr>
            <w:r>
              <w:rPr>
                <w:rFonts w:ascii="Arial" w:eastAsia="宋体" w:hAnsi="Arial" w:cs="Arial"/>
                <w:b/>
                <w:bCs/>
                <w:color w:val="262626"/>
                <w:sz w:val="18"/>
                <w:szCs w:val="18"/>
              </w:rPr>
              <w:t>9,026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49A" w14:textId="77777777" w:rsidR="0008009C" w:rsidRDefault="0008009C">
            <w:pPr>
              <w:jc w:val="right"/>
              <w:rPr>
                <w:rFonts w:ascii="宋体"/>
              </w:rPr>
            </w:pPr>
          </w:p>
        </w:tc>
      </w:tr>
      <w:tr w:rsidR="0008009C" w14:paraId="5C7C54A3" w14:textId="77777777">
        <w:tc>
          <w:tcPr>
            <w:tcW w:w="0" w:type="auto"/>
            <w:gridSpan w:val="3"/>
            <w:shd w:val="clear" w:color="auto" w:fill="auto"/>
            <w:tcMar>
              <w:top w:w="40" w:type="dxa"/>
              <w:left w:w="20" w:type="dxa"/>
              <w:bottom w:w="40" w:type="dxa"/>
              <w:right w:w="20" w:type="dxa"/>
            </w:tcMar>
          </w:tcPr>
          <w:p w14:paraId="5C7C549C" w14:textId="77777777" w:rsidR="0008009C" w:rsidRDefault="00936FDF">
            <w:pPr>
              <w:textAlignment w:val="top"/>
            </w:pPr>
            <w:r>
              <w:rPr>
                <w:rFonts w:ascii="Arial" w:eastAsia="宋体" w:hAnsi="Arial" w:cs="Arial"/>
                <w:b/>
                <w:bCs/>
                <w:color w:val="262626"/>
                <w:sz w:val="18"/>
                <w:szCs w:val="18"/>
              </w:rPr>
              <w:t>Other long-term assets</w:t>
            </w:r>
          </w:p>
        </w:tc>
        <w:tc>
          <w:tcPr>
            <w:tcW w:w="0" w:type="auto"/>
            <w:gridSpan w:val="3"/>
            <w:shd w:val="clear" w:color="auto" w:fill="auto"/>
            <w:tcMar>
              <w:top w:w="0" w:type="dxa"/>
              <w:left w:w="20" w:type="dxa"/>
              <w:bottom w:w="0" w:type="dxa"/>
              <w:right w:w="20" w:type="dxa"/>
            </w:tcMar>
          </w:tcPr>
          <w:p w14:paraId="5C7C549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9E" w14:textId="77777777" w:rsidR="0008009C" w:rsidRDefault="00936FDF">
            <w:pPr>
              <w:jc w:val="right"/>
              <w:textAlignment w:val="bottom"/>
            </w:pPr>
            <w:r>
              <w:rPr>
                <w:rFonts w:ascii="Arial" w:eastAsia="宋体" w:hAnsi="Arial" w:cs="Arial"/>
                <w:b/>
                <w:bCs/>
                <w:color w:val="0068B5"/>
                <w:sz w:val="18"/>
                <w:szCs w:val="18"/>
              </w:rPr>
              <w:t>5,327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49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A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A1" w14:textId="77777777" w:rsidR="0008009C" w:rsidRDefault="00936FDF">
            <w:pPr>
              <w:jc w:val="right"/>
              <w:textAlignment w:val="bottom"/>
            </w:pPr>
            <w:r>
              <w:rPr>
                <w:rFonts w:ascii="Arial" w:eastAsia="宋体" w:hAnsi="Arial" w:cs="Arial"/>
                <w:b/>
                <w:bCs/>
                <w:color w:val="262626"/>
                <w:sz w:val="18"/>
                <w:szCs w:val="18"/>
              </w:rPr>
              <w:t>5,917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4A2" w14:textId="77777777" w:rsidR="0008009C" w:rsidRDefault="0008009C">
            <w:pPr>
              <w:jc w:val="right"/>
              <w:rPr>
                <w:rFonts w:ascii="宋体"/>
              </w:rPr>
            </w:pPr>
          </w:p>
        </w:tc>
      </w:tr>
      <w:tr w:rsidR="0008009C" w14:paraId="5C7C54AD" w14:textId="77777777">
        <w:tc>
          <w:tcPr>
            <w:tcW w:w="0" w:type="auto"/>
            <w:gridSpan w:val="3"/>
            <w:shd w:val="clear" w:color="auto" w:fill="auto"/>
            <w:tcMar>
              <w:top w:w="40" w:type="dxa"/>
              <w:left w:w="20" w:type="dxa"/>
              <w:bottom w:w="40" w:type="dxa"/>
              <w:right w:w="20" w:type="dxa"/>
            </w:tcMar>
          </w:tcPr>
          <w:p w14:paraId="5C7C54A4" w14:textId="77777777" w:rsidR="0008009C" w:rsidRDefault="00936FDF">
            <w:pPr>
              <w:textAlignment w:val="top"/>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tcPr>
          <w:p w14:paraId="5C7C54A5"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54A6"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54A7" w14:textId="77777777" w:rsidR="0008009C" w:rsidRDefault="00936FDF">
            <w:pPr>
              <w:jc w:val="right"/>
              <w:textAlignment w:val="bottom"/>
            </w:pPr>
            <w:r>
              <w:rPr>
                <w:rFonts w:ascii="Arial" w:eastAsia="宋体" w:hAnsi="Arial" w:cs="Arial"/>
                <w:b/>
                <w:bCs/>
                <w:color w:val="0068B5"/>
                <w:sz w:val="18"/>
                <w:szCs w:val="18"/>
              </w:rPr>
              <w:t>150,622</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4A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A9"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54AA"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54AB" w14:textId="77777777" w:rsidR="0008009C" w:rsidRDefault="00936FDF">
            <w:pPr>
              <w:jc w:val="right"/>
              <w:textAlignment w:val="bottom"/>
            </w:pPr>
            <w:r>
              <w:rPr>
                <w:rFonts w:ascii="Arial" w:eastAsia="宋体" w:hAnsi="Arial" w:cs="Arial"/>
                <w:b/>
                <w:bCs/>
                <w:color w:val="262626"/>
                <w:sz w:val="18"/>
                <w:szCs w:val="18"/>
              </w:rPr>
              <w:t>153,091</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4AC" w14:textId="77777777" w:rsidR="0008009C" w:rsidRDefault="0008009C">
            <w:pPr>
              <w:jc w:val="right"/>
              <w:rPr>
                <w:rFonts w:ascii="宋体"/>
              </w:rPr>
            </w:pPr>
          </w:p>
        </w:tc>
      </w:tr>
      <w:tr w:rsidR="0008009C" w14:paraId="5C7C54B3" w14:textId="77777777">
        <w:trPr>
          <w:trHeight w:val="100"/>
        </w:trPr>
        <w:tc>
          <w:tcPr>
            <w:tcW w:w="0" w:type="auto"/>
            <w:gridSpan w:val="3"/>
            <w:shd w:val="clear" w:color="auto" w:fill="auto"/>
            <w:tcMar>
              <w:top w:w="0" w:type="dxa"/>
              <w:left w:w="20" w:type="dxa"/>
              <w:bottom w:w="0" w:type="dxa"/>
              <w:right w:w="20" w:type="dxa"/>
            </w:tcMar>
          </w:tcPr>
          <w:p w14:paraId="5C7C54A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AF"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54B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B1"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54B2" w14:textId="77777777" w:rsidR="0008009C" w:rsidRDefault="0008009C">
            <w:pPr>
              <w:rPr>
                <w:rFonts w:ascii="宋体"/>
              </w:rPr>
            </w:pPr>
          </w:p>
        </w:tc>
      </w:tr>
      <w:tr w:rsidR="0008009C" w14:paraId="5C7C54B9" w14:textId="77777777">
        <w:tc>
          <w:tcPr>
            <w:tcW w:w="0" w:type="auto"/>
            <w:gridSpan w:val="3"/>
            <w:shd w:val="clear" w:color="auto" w:fill="auto"/>
            <w:tcMar>
              <w:top w:w="40" w:type="dxa"/>
              <w:left w:w="20" w:type="dxa"/>
              <w:bottom w:w="40" w:type="dxa"/>
              <w:right w:w="20" w:type="dxa"/>
            </w:tcMar>
          </w:tcPr>
          <w:p w14:paraId="5C7C54B4" w14:textId="77777777" w:rsidR="0008009C" w:rsidRDefault="00936FDF">
            <w:pPr>
              <w:textAlignment w:val="top"/>
            </w:pPr>
            <w:r>
              <w:rPr>
                <w:rFonts w:ascii="Arial" w:eastAsia="宋体" w:hAnsi="Arial" w:cs="Arial"/>
                <w:b/>
                <w:bCs/>
                <w:color w:val="262626"/>
                <w:sz w:val="18"/>
                <w:szCs w:val="18"/>
              </w:rPr>
              <w:t>Liabilities and stockholders’ equity</w:t>
            </w:r>
          </w:p>
        </w:tc>
        <w:tc>
          <w:tcPr>
            <w:tcW w:w="0" w:type="auto"/>
            <w:gridSpan w:val="3"/>
            <w:shd w:val="clear" w:color="auto" w:fill="auto"/>
            <w:tcMar>
              <w:top w:w="0" w:type="dxa"/>
              <w:left w:w="20" w:type="dxa"/>
              <w:bottom w:w="0" w:type="dxa"/>
              <w:right w:w="20" w:type="dxa"/>
            </w:tcMar>
          </w:tcPr>
          <w:p w14:paraId="5C7C54B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B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B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B8" w14:textId="77777777" w:rsidR="0008009C" w:rsidRDefault="0008009C">
            <w:pPr>
              <w:rPr>
                <w:rFonts w:ascii="宋体"/>
              </w:rPr>
            </w:pPr>
          </w:p>
        </w:tc>
      </w:tr>
      <w:tr w:rsidR="0008009C" w14:paraId="5C7C54BF" w14:textId="77777777">
        <w:tc>
          <w:tcPr>
            <w:tcW w:w="0" w:type="auto"/>
            <w:gridSpan w:val="3"/>
            <w:shd w:val="clear" w:color="auto" w:fill="auto"/>
            <w:tcMar>
              <w:top w:w="40" w:type="dxa"/>
              <w:left w:w="20" w:type="dxa"/>
              <w:bottom w:w="40" w:type="dxa"/>
              <w:right w:w="20" w:type="dxa"/>
            </w:tcMar>
          </w:tcPr>
          <w:p w14:paraId="5C7C54BA" w14:textId="77777777" w:rsidR="0008009C" w:rsidRDefault="00936FDF">
            <w:pPr>
              <w:textAlignment w:val="top"/>
            </w:pPr>
            <w:r>
              <w:rPr>
                <w:rFonts w:ascii="Arial" w:eastAsia="宋体" w:hAnsi="Arial" w:cs="Arial"/>
                <w:color w:val="262626"/>
                <w:sz w:val="18"/>
                <w:szCs w:val="18"/>
              </w:rPr>
              <w:t>Current liabilities:</w:t>
            </w:r>
          </w:p>
        </w:tc>
        <w:tc>
          <w:tcPr>
            <w:tcW w:w="0" w:type="auto"/>
            <w:gridSpan w:val="3"/>
            <w:shd w:val="clear" w:color="auto" w:fill="auto"/>
            <w:tcMar>
              <w:top w:w="0" w:type="dxa"/>
              <w:left w:w="20" w:type="dxa"/>
              <w:bottom w:w="0" w:type="dxa"/>
              <w:right w:w="20" w:type="dxa"/>
            </w:tcMar>
          </w:tcPr>
          <w:p w14:paraId="5C7C54B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B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B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4BE" w14:textId="77777777" w:rsidR="0008009C" w:rsidRDefault="0008009C">
            <w:pPr>
              <w:rPr>
                <w:rFonts w:ascii="宋体"/>
              </w:rPr>
            </w:pPr>
          </w:p>
        </w:tc>
      </w:tr>
      <w:tr w:rsidR="0008009C" w14:paraId="5C7C54C9" w14:textId="77777777">
        <w:tc>
          <w:tcPr>
            <w:tcW w:w="0" w:type="auto"/>
            <w:gridSpan w:val="3"/>
            <w:shd w:val="clear" w:color="auto" w:fill="auto"/>
            <w:tcMar>
              <w:top w:w="40" w:type="dxa"/>
              <w:left w:w="140" w:type="dxa"/>
              <w:bottom w:w="40" w:type="dxa"/>
              <w:right w:w="20" w:type="dxa"/>
            </w:tcMar>
          </w:tcPr>
          <w:p w14:paraId="5C7C54C0" w14:textId="77777777" w:rsidR="0008009C" w:rsidRDefault="00936FDF">
            <w:pPr>
              <w:textAlignment w:val="top"/>
            </w:pPr>
            <w:r>
              <w:rPr>
                <w:rFonts w:ascii="Arial" w:eastAsia="宋体" w:hAnsi="Arial" w:cs="Arial"/>
                <w:color w:val="262626"/>
                <w:sz w:val="18"/>
                <w:szCs w:val="18"/>
              </w:rPr>
              <w:t>Short-term debt</w:t>
            </w:r>
          </w:p>
        </w:tc>
        <w:tc>
          <w:tcPr>
            <w:tcW w:w="0" w:type="auto"/>
            <w:gridSpan w:val="3"/>
            <w:shd w:val="clear" w:color="auto" w:fill="auto"/>
            <w:tcMar>
              <w:top w:w="0" w:type="dxa"/>
              <w:left w:w="20" w:type="dxa"/>
              <w:bottom w:w="0" w:type="dxa"/>
              <w:right w:w="20" w:type="dxa"/>
            </w:tcMar>
          </w:tcPr>
          <w:p w14:paraId="5C7C54C1"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4C2"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54C3" w14:textId="77777777" w:rsidR="0008009C" w:rsidRDefault="00936FDF">
            <w:pPr>
              <w:jc w:val="right"/>
              <w:textAlignment w:val="bottom"/>
            </w:pPr>
            <w:r>
              <w:rPr>
                <w:rFonts w:ascii="Arial" w:eastAsia="宋体" w:hAnsi="Arial" w:cs="Arial"/>
                <w:color w:val="0068B5"/>
                <w:sz w:val="18"/>
                <w:szCs w:val="18"/>
              </w:rPr>
              <w:t>2,647 </w:t>
            </w:r>
          </w:p>
        </w:tc>
        <w:tc>
          <w:tcPr>
            <w:tcW w:w="0" w:type="auto"/>
            <w:shd w:val="clear" w:color="auto" w:fill="auto"/>
            <w:tcMar>
              <w:top w:w="40" w:type="dxa"/>
              <w:left w:w="0" w:type="dxa"/>
              <w:bottom w:w="40" w:type="dxa"/>
              <w:right w:w="20" w:type="dxa"/>
            </w:tcMar>
            <w:vAlign w:val="bottom"/>
          </w:tcPr>
          <w:p w14:paraId="5C7C54C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C5"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4C6"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54C7" w14:textId="77777777" w:rsidR="0008009C" w:rsidRDefault="00936FDF">
            <w:pPr>
              <w:jc w:val="right"/>
              <w:textAlignment w:val="bottom"/>
            </w:pPr>
            <w:r>
              <w:rPr>
                <w:rFonts w:ascii="Arial" w:eastAsia="宋体" w:hAnsi="Arial" w:cs="Arial"/>
                <w:color w:val="262626"/>
                <w:sz w:val="18"/>
                <w:szCs w:val="18"/>
              </w:rPr>
              <w:t>2,504 </w:t>
            </w:r>
          </w:p>
        </w:tc>
        <w:tc>
          <w:tcPr>
            <w:tcW w:w="0" w:type="auto"/>
            <w:shd w:val="clear" w:color="auto" w:fill="auto"/>
            <w:tcMar>
              <w:top w:w="40" w:type="dxa"/>
              <w:left w:w="0" w:type="dxa"/>
              <w:bottom w:w="40" w:type="dxa"/>
              <w:right w:w="20" w:type="dxa"/>
            </w:tcMar>
            <w:vAlign w:val="bottom"/>
          </w:tcPr>
          <w:p w14:paraId="5C7C54C8" w14:textId="77777777" w:rsidR="0008009C" w:rsidRDefault="0008009C">
            <w:pPr>
              <w:jc w:val="right"/>
              <w:rPr>
                <w:rFonts w:ascii="宋体"/>
              </w:rPr>
            </w:pPr>
          </w:p>
        </w:tc>
      </w:tr>
      <w:tr w:rsidR="0008009C" w14:paraId="5C7C54D1" w14:textId="77777777">
        <w:tc>
          <w:tcPr>
            <w:tcW w:w="0" w:type="auto"/>
            <w:gridSpan w:val="3"/>
            <w:shd w:val="clear" w:color="auto" w:fill="auto"/>
            <w:tcMar>
              <w:top w:w="40" w:type="dxa"/>
              <w:left w:w="140" w:type="dxa"/>
              <w:bottom w:w="40" w:type="dxa"/>
              <w:right w:w="20" w:type="dxa"/>
            </w:tcMar>
          </w:tcPr>
          <w:p w14:paraId="5C7C54CA" w14:textId="77777777" w:rsidR="0008009C" w:rsidRDefault="00936FDF">
            <w:pPr>
              <w:textAlignment w:val="top"/>
            </w:pPr>
            <w:r>
              <w:rPr>
                <w:rFonts w:ascii="Arial" w:eastAsia="宋体" w:hAnsi="Arial" w:cs="Arial"/>
                <w:color w:val="262626"/>
                <w:sz w:val="18"/>
                <w:szCs w:val="18"/>
              </w:rPr>
              <w:t>Accounts payable</w:t>
            </w:r>
          </w:p>
        </w:tc>
        <w:tc>
          <w:tcPr>
            <w:tcW w:w="0" w:type="auto"/>
            <w:gridSpan w:val="3"/>
            <w:shd w:val="clear" w:color="auto" w:fill="auto"/>
            <w:tcMar>
              <w:top w:w="0" w:type="dxa"/>
              <w:left w:w="20" w:type="dxa"/>
              <w:bottom w:w="0" w:type="dxa"/>
              <w:right w:w="20" w:type="dxa"/>
            </w:tcMar>
          </w:tcPr>
          <w:p w14:paraId="5C7C54C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CC" w14:textId="77777777" w:rsidR="0008009C" w:rsidRDefault="00936FDF">
            <w:pPr>
              <w:jc w:val="right"/>
              <w:textAlignment w:val="bottom"/>
            </w:pPr>
            <w:r>
              <w:rPr>
                <w:rFonts w:ascii="Arial" w:eastAsia="宋体" w:hAnsi="Arial" w:cs="Arial"/>
                <w:color w:val="0068B5"/>
                <w:sz w:val="18"/>
                <w:szCs w:val="18"/>
              </w:rPr>
              <w:t>5,434 </w:t>
            </w:r>
          </w:p>
        </w:tc>
        <w:tc>
          <w:tcPr>
            <w:tcW w:w="0" w:type="auto"/>
            <w:shd w:val="clear" w:color="auto" w:fill="auto"/>
            <w:tcMar>
              <w:top w:w="40" w:type="dxa"/>
              <w:left w:w="0" w:type="dxa"/>
              <w:bottom w:w="40" w:type="dxa"/>
              <w:right w:w="20" w:type="dxa"/>
            </w:tcMar>
            <w:vAlign w:val="bottom"/>
          </w:tcPr>
          <w:p w14:paraId="5C7C54C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C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CF" w14:textId="77777777" w:rsidR="0008009C" w:rsidRDefault="00936FDF">
            <w:pPr>
              <w:jc w:val="right"/>
              <w:textAlignment w:val="bottom"/>
            </w:pPr>
            <w:r>
              <w:rPr>
                <w:rFonts w:ascii="Arial" w:eastAsia="宋体" w:hAnsi="Arial" w:cs="Arial"/>
                <w:color w:val="262626"/>
                <w:sz w:val="18"/>
                <w:szCs w:val="18"/>
              </w:rPr>
              <w:t>5,581 </w:t>
            </w:r>
          </w:p>
        </w:tc>
        <w:tc>
          <w:tcPr>
            <w:tcW w:w="0" w:type="auto"/>
            <w:shd w:val="clear" w:color="auto" w:fill="auto"/>
            <w:tcMar>
              <w:top w:w="40" w:type="dxa"/>
              <w:left w:w="0" w:type="dxa"/>
              <w:bottom w:w="40" w:type="dxa"/>
              <w:right w:w="20" w:type="dxa"/>
            </w:tcMar>
            <w:vAlign w:val="bottom"/>
          </w:tcPr>
          <w:p w14:paraId="5C7C54D0" w14:textId="77777777" w:rsidR="0008009C" w:rsidRDefault="0008009C">
            <w:pPr>
              <w:jc w:val="right"/>
              <w:rPr>
                <w:rFonts w:ascii="宋体"/>
              </w:rPr>
            </w:pPr>
          </w:p>
        </w:tc>
      </w:tr>
      <w:tr w:rsidR="0008009C" w14:paraId="5C7C54D9" w14:textId="77777777">
        <w:tc>
          <w:tcPr>
            <w:tcW w:w="0" w:type="auto"/>
            <w:gridSpan w:val="3"/>
            <w:shd w:val="clear" w:color="auto" w:fill="auto"/>
            <w:tcMar>
              <w:top w:w="40" w:type="dxa"/>
              <w:left w:w="140" w:type="dxa"/>
              <w:bottom w:w="40" w:type="dxa"/>
              <w:right w:w="20" w:type="dxa"/>
            </w:tcMar>
          </w:tcPr>
          <w:p w14:paraId="5C7C54D2" w14:textId="77777777" w:rsidR="0008009C" w:rsidRDefault="00936FDF">
            <w:pPr>
              <w:textAlignment w:val="top"/>
            </w:pPr>
            <w:r>
              <w:rPr>
                <w:rFonts w:ascii="Arial" w:eastAsia="宋体" w:hAnsi="Arial" w:cs="Arial"/>
                <w:color w:val="262626"/>
                <w:sz w:val="18"/>
                <w:szCs w:val="18"/>
              </w:rPr>
              <w:t>Accrued compensation and benefits</w:t>
            </w:r>
          </w:p>
        </w:tc>
        <w:tc>
          <w:tcPr>
            <w:tcW w:w="0" w:type="auto"/>
            <w:gridSpan w:val="3"/>
            <w:shd w:val="clear" w:color="auto" w:fill="auto"/>
            <w:tcMar>
              <w:top w:w="0" w:type="dxa"/>
              <w:left w:w="20" w:type="dxa"/>
              <w:bottom w:w="0" w:type="dxa"/>
              <w:right w:w="20" w:type="dxa"/>
            </w:tcMar>
          </w:tcPr>
          <w:p w14:paraId="5C7C54D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D4" w14:textId="77777777" w:rsidR="0008009C" w:rsidRDefault="00936FDF">
            <w:pPr>
              <w:jc w:val="right"/>
              <w:textAlignment w:val="bottom"/>
            </w:pPr>
            <w:r>
              <w:rPr>
                <w:rFonts w:ascii="Arial" w:eastAsia="宋体" w:hAnsi="Arial" w:cs="Arial"/>
                <w:color w:val="0068B5"/>
                <w:sz w:val="18"/>
                <w:szCs w:val="18"/>
              </w:rPr>
              <w:t>2,757 </w:t>
            </w:r>
          </w:p>
        </w:tc>
        <w:tc>
          <w:tcPr>
            <w:tcW w:w="0" w:type="auto"/>
            <w:shd w:val="clear" w:color="auto" w:fill="auto"/>
            <w:tcMar>
              <w:top w:w="40" w:type="dxa"/>
              <w:left w:w="0" w:type="dxa"/>
              <w:bottom w:w="40" w:type="dxa"/>
              <w:right w:w="20" w:type="dxa"/>
            </w:tcMar>
            <w:vAlign w:val="bottom"/>
          </w:tcPr>
          <w:p w14:paraId="5C7C54D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D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D7" w14:textId="77777777" w:rsidR="0008009C" w:rsidRDefault="00936FDF">
            <w:pPr>
              <w:jc w:val="right"/>
              <w:textAlignment w:val="bottom"/>
            </w:pPr>
            <w:r>
              <w:rPr>
                <w:rFonts w:ascii="Arial" w:eastAsia="宋体" w:hAnsi="Arial" w:cs="Arial"/>
                <w:color w:val="262626"/>
                <w:sz w:val="18"/>
                <w:szCs w:val="18"/>
              </w:rPr>
              <w:t>3,999 </w:t>
            </w:r>
          </w:p>
        </w:tc>
        <w:tc>
          <w:tcPr>
            <w:tcW w:w="0" w:type="auto"/>
            <w:shd w:val="clear" w:color="auto" w:fill="auto"/>
            <w:tcMar>
              <w:top w:w="40" w:type="dxa"/>
              <w:left w:w="0" w:type="dxa"/>
              <w:bottom w:w="40" w:type="dxa"/>
              <w:right w:w="20" w:type="dxa"/>
            </w:tcMar>
            <w:vAlign w:val="bottom"/>
          </w:tcPr>
          <w:p w14:paraId="5C7C54D8" w14:textId="77777777" w:rsidR="0008009C" w:rsidRDefault="0008009C">
            <w:pPr>
              <w:jc w:val="right"/>
              <w:rPr>
                <w:rFonts w:ascii="宋体"/>
              </w:rPr>
            </w:pPr>
          </w:p>
        </w:tc>
      </w:tr>
      <w:tr w:rsidR="0008009C" w14:paraId="5C7C54DF" w14:textId="77777777">
        <w:trPr>
          <w:hidden/>
        </w:trPr>
        <w:tc>
          <w:tcPr>
            <w:tcW w:w="0" w:type="auto"/>
            <w:gridSpan w:val="3"/>
            <w:shd w:val="clear" w:color="auto" w:fill="auto"/>
          </w:tcPr>
          <w:p w14:paraId="5C7C54DA" w14:textId="77777777" w:rsidR="0008009C" w:rsidRDefault="0008009C">
            <w:pPr>
              <w:rPr>
                <w:rFonts w:ascii="宋体"/>
                <w:vanish/>
              </w:rPr>
            </w:pPr>
          </w:p>
        </w:tc>
        <w:tc>
          <w:tcPr>
            <w:tcW w:w="0" w:type="auto"/>
            <w:gridSpan w:val="3"/>
            <w:shd w:val="clear" w:color="auto" w:fill="auto"/>
          </w:tcPr>
          <w:p w14:paraId="5C7C54DB" w14:textId="77777777" w:rsidR="0008009C" w:rsidRDefault="0008009C">
            <w:pPr>
              <w:rPr>
                <w:rFonts w:ascii="宋体"/>
                <w:vanish/>
              </w:rPr>
            </w:pPr>
          </w:p>
        </w:tc>
        <w:tc>
          <w:tcPr>
            <w:tcW w:w="0" w:type="auto"/>
            <w:gridSpan w:val="3"/>
            <w:shd w:val="clear" w:color="auto" w:fill="auto"/>
          </w:tcPr>
          <w:p w14:paraId="5C7C54DC" w14:textId="77777777" w:rsidR="0008009C" w:rsidRDefault="0008009C">
            <w:pPr>
              <w:rPr>
                <w:rFonts w:ascii="宋体"/>
                <w:vanish/>
              </w:rPr>
            </w:pPr>
          </w:p>
        </w:tc>
        <w:tc>
          <w:tcPr>
            <w:tcW w:w="0" w:type="auto"/>
            <w:gridSpan w:val="3"/>
            <w:shd w:val="clear" w:color="auto" w:fill="auto"/>
          </w:tcPr>
          <w:p w14:paraId="5C7C54DD" w14:textId="77777777" w:rsidR="0008009C" w:rsidRDefault="0008009C">
            <w:pPr>
              <w:rPr>
                <w:rFonts w:ascii="宋体"/>
                <w:vanish/>
              </w:rPr>
            </w:pPr>
          </w:p>
        </w:tc>
        <w:tc>
          <w:tcPr>
            <w:tcW w:w="0" w:type="auto"/>
            <w:gridSpan w:val="3"/>
            <w:shd w:val="clear" w:color="auto" w:fill="auto"/>
          </w:tcPr>
          <w:p w14:paraId="5C7C54DE" w14:textId="77777777" w:rsidR="0008009C" w:rsidRDefault="0008009C">
            <w:pPr>
              <w:rPr>
                <w:rFonts w:ascii="宋体"/>
                <w:vanish/>
              </w:rPr>
            </w:pPr>
          </w:p>
        </w:tc>
      </w:tr>
      <w:tr w:rsidR="0008009C" w14:paraId="5C7C54E5" w14:textId="77777777">
        <w:trPr>
          <w:hidden/>
        </w:trPr>
        <w:tc>
          <w:tcPr>
            <w:tcW w:w="0" w:type="auto"/>
            <w:gridSpan w:val="3"/>
            <w:shd w:val="clear" w:color="auto" w:fill="auto"/>
          </w:tcPr>
          <w:p w14:paraId="5C7C54E0" w14:textId="77777777" w:rsidR="0008009C" w:rsidRDefault="0008009C">
            <w:pPr>
              <w:rPr>
                <w:rFonts w:ascii="宋体"/>
                <w:vanish/>
              </w:rPr>
            </w:pPr>
          </w:p>
        </w:tc>
        <w:tc>
          <w:tcPr>
            <w:tcW w:w="0" w:type="auto"/>
            <w:gridSpan w:val="3"/>
            <w:shd w:val="clear" w:color="auto" w:fill="auto"/>
          </w:tcPr>
          <w:p w14:paraId="5C7C54E1" w14:textId="77777777" w:rsidR="0008009C" w:rsidRDefault="0008009C">
            <w:pPr>
              <w:rPr>
                <w:rFonts w:ascii="宋体"/>
                <w:vanish/>
              </w:rPr>
            </w:pPr>
          </w:p>
        </w:tc>
        <w:tc>
          <w:tcPr>
            <w:tcW w:w="0" w:type="auto"/>
            <w:gridSpan w:val="3"/>
            <w:shd w:val="clear" w:color="auto" w:fill="auto"/>
          </w:tcPr>
          <w:p w14:paraId="5C7C54E2" w14:textId="77777777" w:rsidR="0008009C" w:rsidRDefault="0008009C">
            <w:pPr>
              <w:rPr>
                <w:rFonts w:ascii="宋体"/>
                <w:vanish/>
              </w:rPr>
            </w:pPr>
          </w:p>
        </w:tc>
        <w:tc>
          <w:tcPr>
            <w:tcW w:w="0" w:type="auto"/>
            <w:gridSpan w:val="3"/>
            <w:shd w:val="clear" w:color="auto" w:fill="auto"/>
          </w:tcPr>
          <w:p w14:paraId="5C7C54E3" w14:textId="77777777" w:rsidR="0008009C" w:rsidRDefault="0008009C">
            <w:pPr>
              <w:rPr>
                <w:rFonts w:ascii="宋体"/>
                <w:vanish/>
              </w:rPr>
            </w:pPr>
          </w:p>
        </w:tc>
        <w:tc>
          <w:tcPr>
            <w:tcW w:w="0" w:type="auto"/>
            <w:gridSpan w:val="3"/>
            <w:shd w:val="clear" w:color="auto" w:fill="auto"/>
          </w:tcPr>
          <w:p w14:paraId="5C7C54E4" w14:textId="77777777" w:rsidR="0008009C" w:rsidRDefault="0008009C">
            <w:pPr>
              <w:rPr>
                <w:rFonts w:ascii="宋体"/>
                <w:vanish/>
              </w:rPr>
            </w:pPr>
          </w:p>
        </w:tc>
      </w:tr>
      <w:tr w:rsidR="0008009C" w14:paraId="5C7C54ED" w14:textId="77777777">
        <w:tc>
          <w:tcPr>
            <w:tcW w:w="0" w:type="auto"/>
            <w:gridSpan w:val="3"/>
            <w:shd w:val="clear" w:color="auto" w:fill="auto"/>
            <w:tcMar>
              <w:top w:w="40" w:type="dxa"/>
              <w:left w:w="140" w:type="dxa"/>
              <w:bottom w:w="40" w:type="dxa"/>
              <w:right w:w="20" w:type="dxa"/>
            </w:tcMar>
          </w:tcPr>
          <w:p w14:paraId="5C7C54E6" w14:textId="77777777" w:rsidR="0008009C" w:rsidRDefault="00936FDF">
            <w:pPr>
              <w:textAlignment w:val="top"/>
            </w:pPr>
            <w:r>
              <w:rPr>
                <w:rFonts w:ascii="Arial" w:eastAsia="宋体" w:hAnsi="Arial" w:cs="Arial"/>
                <w:color w:val="262626"/>
                <w:sz w:val="18"/>
                <w:szCs w:val="18"/>
              </w:rPr>
              <w:t>Other accrued liabilities</w:t>
            </w:r>
          </w:p>
        </w:tc>
        <w:tc>
          <w:tcPr>
            <w:tcW w:w="0" w:type="auto"/>
            <w:gridSpan w:val="3"/>
            <w:shd w:val="clear" w:color="auto" w:fill="auto"/>
            <w:tcMar>
              <w:top w:w="0" w:type="dxa"/>
              <w:left w:w="20" w:type="dxa"/>
              <w:bottom w:w="0" w:type="dxa"/>
              <w:right w:w="20" w:type="dxa"/>
            </w:tcMar>
          </w:tcPr>
          <w:p w14:paraId="5C7C54E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E8" w14:textId="77777777" w:rsidR="0008009C" w:rsidRDefault="00936FDF">
            <w:pPr>
              <w:jc w:val="right"/>
              <w:textAlignment w:val="bottom"/>
            </w:pPr>
            <w:r>
              <w:rPr>
                <w:rFonts w:ascii="Arial" w:eastAsia="宋体" w:hAnsi="Arial" w:cs="Arial"/>
                <w:color w:val="0068B5"/>
                <w:sz w:val="18"/>
                <w:szCs w:val="18"/>
              </w:rPr>
              <w:t>13,313 </w:t>
            </w:r>
          </w:p>
        </w:tc>
        <w:tc>
          <w:tcPr>
            <w:tcW w:w="0" w:type="auto"/>
            <w:shd w:val="clear" w:color="auto" w:fill="auto"/>
            <w:tcMar>
              <w:top w:w="40" w:type="dxa"/>
              <w:left w:w="0" w:type="dxa"/>
              <w:bottom w:w="40" w:type="dxa"/>
              <w:right w:w="20" w:type="dxa"/>
            </w:tcMar>
            <w:vAlign w:val="bottom"/>
          </w:tcPr>
          <w:p w14:paraId="5C7C54E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E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EB" w14:textId="77777777" w:rsidR="0008009C" w:rsidRDefault="00936FDF">
            <w:pPr>
              <w:jc w:val="right"/>
              <w:textAlignment w:val="bottom"/>
            </w:pPr>
            <w:r>
              <w:rPr>
                <w:rFonts w:ascii="Arial" w:eastAsia="宋体" w:hAnsi="Arial" w:cs="Arial"/>
                <w:color w:val="262626"/>
                <w:sz w:val="18"/>
                <w:szCs w:val="18"/>
              </w:rPr>
              <w:t>12,670 </w:t>
            </w:r>
          </w:p>
        </w:tc>
        <w:tc>
          <w:tcPr>
            <w:tcW w:w="0" w:type="auto"/>
            <w:shd w:val="clear" w:color="auto" w:fill="auto"/>
            <w:tcMar>
              <w:top w:w="40" w:type="dxa"/>
              <w:left w:w="0" w:type="dxa"/>
              <w:bottom w:w="40" w:type="dxa"/>
              <w:right w:w="20" w:type="dxa"/>
            </w:tcMar>
            <w:vAlign w:val="bottom"/>
          </w:tcPr>
          <w:p w14:paraId="5C7C54EC" w14:textId="77777777" w:rsidR="0008009C" w:rsidRDefault="0008009C">
            <w:pPr>
              <w:jc w:val="right"/>
              <w:rPr>
                <w:rFonts w:ascii="宋体"/>
              </w:rPr>
            </w:pPr>
          </w:p>
        </w:tc>
      </w:tr>
      <w:tr w:rsidR="0008009C" w14:paraId="5C7C54F5" w14:textId="77777777">
        <w:tc>
          <w:tcPr>
            <w:tcW w:w="0" w:type="auto"/>
            <w:gridSpan w:val="3"/>
            <w:shd w:val="clear" w:color="auto" w:fill="auto"/>
            <w:tcMar>
              <w:top w:w="40" w:type="dxa"/>
              <w:left w:w="20" w:type="dxa"/>
              <w:bottom w:w="40" w:type="dxa"/>
              <w:right w:w="20" w:type="dxa"/>
            </w:tcMar>
          </w:tcPr>
          <w:p w14:paraId="5C7C54EE" w14:textId="77777777" w:rsidR="0008009C" w:rsidRDefault="00936FDF">
            <w:pPr>
              <w:textAlignment w:val="top"/>
            </w:pPr>
            <w:r>
              <w:rPr>
                <w:rFonts w:ascii="Arial" w:eastAsia="宋体" w:hAnsi="Arial" w:cs="Arial"/>
                <w:b/>
                <w:bCs/>
                <w:color w:val="262626"/>
                <w:sz w:val="18"/>
                <w:szCs w:val="18"/>
              </w:rPr>
              <w:t>Total current liabilities</w:t>
            </w:r>
          </w:p>
        </w:tc>
        <w:tc>
          <w:tcPr>
            <w:tcW w:w="0" w:type="auto"/>
            <w:gridSpan w:val="3"/>
            <w:shd w:val="clear" w:color="auto" w:fill="auto"/>
            <w:tcMar>
              <w:top w:w="0" w:type="dxa"/>
              <w:left w:w="20" w:type="dxa"/>
              <w:bottom w:w="0" w:type="dxa"/>
              <w:right w:w="20" w:type="dxa"/>
            </w:tcMar>
          </w:tcPr>
          <w:p w14:paraId="5C7C54EF"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4F0" w14:textId="77777777" w:rsidR="0008009C" w:rsidRDefault="00936FDF">
            <w:pPr>
              <w:jc w:val="right"/>
              <w:textAlignment w:val="bottom"/>
            </w:pPr>
            <w:r>
              <w:rPr>
                <w:rFonts w:ascii="Arial" w:eastAsia="宋体" w:hAnsi="Arial" w:cs="Arial"/>
                <w:b/>
                <w:bCs/>
                <w:color w:val="0068B5"/>
                <w:sz w:val="18"/>
                <w:szCs w:val="18"/>
              </w:rPr>
              <w:t>24,151</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4F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4F2"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4F3" w14:textId="77777777" w:rsidR="0008009C" w:rsidRDefault="00936FDF">
            <w:pPr>
              <w:jc w:val="right"/>
              <w:textAlignment w:val="bottom"/>
            </w:pPr>
            <w:r>
              <w:rPr>
                <w:rFonts w:ascii="Arial" w:eastAsia="宋体" w:hAnsi="Arial" w:cs="Arial"/>
                <w:b/>
                <w:bCs/>
                <w:color w:val="262626"/>
                <w:sz w:val="18"/>
                <w:szCs w:val="18"/>
              </w:rPr>
              <w:t>24,754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4F4" w14:textId="77777777" w:rsidR="0008009C" w:rsidRDefault="0008009C">
            <w:pPr>
              <w:jc w:val="right"/>
              <w:rPr>
                <w:rFonts w:ascii="宋体"/>
              </w:rPr>
            </w:pPr>
          </w:p>
        </w:tc>
      </w:tr>
      <w:tr w:rsidR="0008009C" w14:paraId="5C7C54FB" w14:textId="77777777">
        <w:trPr>
          <w:hidden/>
        </w:trPr>
        <w:tc>
          <w:tcPr>
            <w:tcW w:w="0" w:type="auto"/>
            <w:gridSpan w:val="3"/>
            <w:shd w:val="clear" w:color="auto" w:fill="auto"/>
          </w:tcPr>
          <w:p w14:paraId="5C7C54F6" w14:textId="77777777" w:rsidR="0008009C" w:rsidRDefault="0008009C">
            <w:pPr>
              <w:rPr>
                <w:rFonts w:ascii="宋体"/>
                <w:vanish/>
              </w:rPr>
            </w:pPr>
          </w:p>
        </w:tc>
        <w:tc>
          <w:tcPr>
            <w:tcW w:w="0" w:type="auto"/>
            <w:gridSpan w:val="3"/>
            <w:shd w:val="clear" w:color="auto" w:fill="auto"/>
          </w:tcPr>
          <w:p w14:paraId="5C7C54F7" w14:textId="77777777" w:rsidR="0008009C" w:rsidRDefault="0008009C">
            <w:pPr>
              <w:rPr>
                <w:rFonts w:ascii="宋体"/>
                <w:vanish/>
              </w:rPr>
            </w:pPr>
          </w:p>
        </w:tc>
        <w:tc>
          <w:tcPr>
            <w:tcW w:w="0" w:type="auto"/>
            <w:gridSpan w:val="3"/>
            <w:shd w:val="clear" w:color="auto" w:fill="auto"/>
          </w:tcPr>
          <w:p w14:paraId="5C7C54F8" w14:textId="77777777" w:rsidR="0008009C" w:rsidRDefault="0008009C">
            <w:pPr>
              <w:rPr>
                <w:rFonts w:ascii="宋体"/>
                <w:vanish/>
              </w:rPr>
            </w:pPr>
          </w:p>
        </w:tc>
        <w:tc>
          <w:tcPr>
            <w:tcW w:w="0" w:type="auto"/>
            <w:gridSpan w:val="3"/>
            <w:shd w:val="clear" w:color="auto" w:fill="auto"/>
          </w:tcPr>
          <w:p w14:paraId="5C7C54F9" w14:textId="77777777" w:rsidR="0008009C" w:rsidRDefault="0008009C">
            <w:pPr>
              <w:rPr>
                <w:rFonts w:ascii="宋体"/>
                <w:vanish/>
              </w:rPr>
            </w:pPr>
          </w:p>
        </w:tc>
        <w:tc>
          <w:tcPr>
            <w:tcW w:w="0" w:type="auto"/>
            <w:gridSpan w:val="3"/>
            <w:shd w:val="clear" w:color="auto" w:fill="auto"/>
          </w:tcPr>
          <w:p w14:paraId="5C7C54FA" w14:textId="77777777" w:rsidR="0008009C" w:rsidRDefault="0008009C">
            <w:pPr>
              <w:rPr>
                <w:rFonts w:ascii="宋体"/>
                <w:vanish/>
              </w:rPr>
            </w:pPr>
          </w:p>
        </w:tc>
      </w:tr>
      <w:tr w:rsidR="0008009C" w14:paraId="5C7C5503" w14:textId="77777777">
        <w:tc>
          <w:tcPr>
            <w:tcW w:w="0" w:type="auto"/>
            <w:gridSpan w:val="3"/>
            <w:shd w:val="clear" w:color="auto" w:fill="auto"/>
            <w:tcMar>
              <w:top w:w="40" w:type="dxa"/>
              <w:left w:w="20" w:type="dxa"/>
              <w:bottom w:w="40" w:type="dxa"/>
              <w:right w:w="20" w:type="dxa"/>
            </w:tcMar>
          </w:tcPr>
          <w:p w14:paraId="5C7C54FC" w14:textId="77777777" w:rsidR="0008009C" w:rsidRDefault="00936FDF">
            <w:pPr>
              <w:textAlignment w:val="top"/>
            </w:pPr>
            <w:r>
              <w:rPr>
                <w:rFonts w:ascii="Arial" w:eastAsia="宋体" w:hAnsi="Arial" w:cs="Arial"/>
                <w:b/>
                <w:bCs/>
                <w:color w:val="262626"/>
                <w:sz w:val="18"/>
                <w:szCs w:val="18"/>
              </w:rPr>
              <w:t>Debt</w:t>
            </w:r>
          </w:p>
        </w:tc>
        <w:tc>
          <w:tcPr>
            <w:tcW w:w="0" w:type="auto"/>
            <w:gridSpan w:val="3"/>
            <w:shd w:val="clear" w:color="auto" w:fill="auto"/>
            <w:tcMar>
              <w:top w:w="0" w:type="dxa"/>
              <w:left w:w="20" w:type="dxa"/>
              <w:bottom w:w="0" w:type="dxa"/>
              <w:right w:w="20" w:type="dxa"/>
            </w:tcMar>
          </w:tcPr>
          <w:p w14:paraId="5C7C54F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4FE" w14:textId="77777777" w:rsidR="0008009C" w:rsidRDefault="00936FDF">
            <w:pPr>
              <w:jc w:val="right"/>
              <w:textAlignment w:val="bottom"/>
            </w:pPr>
            <w:r>
              <w:rPr>
                <w:rFonts w:ascii="Arial" w:eastAsia="宋体" w:hAnsi="Arial" w:cs="Arial"/>
                <w:b/>
                <w:bCs/>
                <w:color w:val="0068B5"/>
                <w:sz w:val="18"/>
                <w:szCs w:val="18"/>
              </w:rPr>
              <w:t>33,237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4F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50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01" w14:textId="77777777" w:rsidR="0008009C" w:rsidRDefault="00936FDF">
            <w:pPr>
              <w:jc w:val="right"/>
              <w:textAlignment w:val="bottom"/>
            </w:pPr>
            <w:r>
              <w:rPr>
                <w:rFonts w:ascii="Arial" w:eastAsia="宋体" w:hAnsi="Arial" w:cs="Arial"/>
                <w:b/>
                <w:bCs/>
                <w:color w:val="262626"/>
                <w:sz w:val="18"/>
                <w:szCs w:val="18"/>
              </w:rPr>
              <w:t>33,897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502" w14:textId="77777777" w:rsidR="0008009C" w:rsidRDefault="0008009C">
            <w:pPr>
              <w:jc w:val="right"/>
              <w:rPr>
                <w:rFonts w:ascii="宋体"/>
              </w:rPr>
            </w:pPr>
          </w:p>
        </w:tc>
      </w:tr>
      <w:tr w:rsidR="0008009C" w14:paraId="5C7C550B" w14:textId="77777777">
        <w:tc>
          <w:tcPr>
            <w:tcW w:w="0" w:type="auto"/>
            <w:gridSpan w:val="3"/>
            <w:shd w:val="clear" w:color="auto" w:fill="auto"/>
            <w:tcMar>
              <w:top w:w="40" w:type="dxa"/>
              <w:left w:w="20" w:type="dxa"/>
              <w:bottom w:w="40" w:type="dxa"/>
              <w:right w:w="20" w:type="dxa"/>
            </w:tcMar>
          </w:tcPr>
          <w:p w14:paraId="5C7C5504" w14:textId="77777777" w:rsidR="0008009C" w:rsidRDefault="00936FDF">
            <w:pPr>
              <w:textAlignment w:val="top"/>
            </w:pPr>
            <w:r>
              <w:rPr>
                <w:rFonts w:ascii="Arial" w:eastAsia="宋体" w:hAnsi="Arial" w:cs="Arial"/>
                <w:b/>
                <w:bCs/>
                <w:color w:val="262626"/>
                <w:sz w:val="18"/>
                <w:szCs w:val="18"/>
              </w:rPr>
              <w:t xml:space="preserve">Contract liabilities </w:t>
            </w:r>
          </w:p>
        </w:tc>
        <w:tc>
          <w:tcPr>
            <w:tcW w:w="0" w:type="auto"/>
            <w:gridSpan w:val="3"/>
            <w:shd w:val="clear" w:color="auto" w:fill="auto"/>
            <w:tcMar>
              <w:top w:w="0" w:type="dxa"/>
              <w:left w:w="20" w:type="dxa"/>
              <w:bottom w:w="0" w:type="dxa"/>
              <w:right w:w="20" w:type="dxa"/>
            </w:tcMar>
          </w:tcPr>
          <w:p w14:paraId="5C7C550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06" w14:textId="77777777" w:rsidR="0008009C" w:rsidRDefault="00936FDF">
            <w:pPr>
              <w:jc w:val="right"/>
              <w:textAlignment w:val="bottom"/>
            </w:pPr>
            <w:r>
              <w:rPr>
                <w:rFonts w:ascii="Arial" w:eastAsia="宋体" w:hAnsi="Arial" w:cs="Arial"/>
                <w:b/>
                <w:bCs/>
                <w:color w:val="0068B5"/>
                <w:sz w:val="18"/>
                <w:szCs w:val="18"/>
              </w:rPr>
              <w:t>90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50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50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09" w14:textId="77777777" w:rsidR="0008009C" w:rsidRDefault="00936FDF">
            <w:pPr>
              <w:jc w:val="right"/>
              <w:textAlignment w:val="bottom"/>
            </w:pPr>
            <w:r>
              <w:rPr>
                <w:rFonts w:ascii="Arial" w:eastAsia="宋体" w:hAnsi="Arial" w:cs="Arial"/>
                <w:b/>
                <w:bCs/>
                <w:color w:val="262626"/>
                <w:sz w:val="18"/>
                <w:szCs w:val="18"/>
              </w:rPr>
              <w:t>1,367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50A" w14:textId="77777777" w:rsidR="0008009C" w:rsidRDefault="0008009C">
            <w:pPr>
              <w:jc w:val="right"/>
              <w:rPr>
                <w:rFonts w:ascii="宋体"/>
              </w:rPr>
            </w:pPr>
          </w:p>
        </w:tc>
      </w:tr>
      <w:tr w:rsidR="0008009C" w14:paraId="5C7C5513" w14:textId="77777777">
        <w:tc>
          <w:tcPr>
            <w:tcW w:w="0" w:type="auto"/>
            <w:gridSpan w:val="3"/>
            <w:shd w:val="clear" w:color="auto" w:fill="auto"/>
            <w:tcMar>
              <w:top w:w="40" w:type="dxa"/>
              <w:left w:w="20" w:type="dxa"/>
              <w:bottom w:w="40" w:type="dxa"/>
              <w:right w:w="20" w:type="dxa"/>
            </w:tcMar>
          </w:tcPr>
          <w:p w14:paraId="5C7C550C" w14:textId="77777777" w:rsidR="0008009C" w:rsidRDefault="00936FDF">
            <w:pPr>
              <w:textAlignment w:val="top"/>
            </w:pPr>
            <w:r>
              <w:rPr>
                <w:rFonts w:ascii="Arial" w:eastAsia="宋体" w:hAnsi="Arial" w:cs="Arial"/>
                <w:b/>
                <w:bCs/>
                <w:color w:val="262626"/>
                <w:sz w:val="18"/>
                <w:szCs w:val="18"/>
              </w:rPr>
              <w:t>Income taxes payable</w:t>
            </w:r>
          </w:p>
        </w:tc>
        <w:tc>
          <w:tcPr>
            <w:tcW w:w="0" w:type="auto"/>
            <w:gridSpan w:val="3"/>
            <w:shd w:val="clear" w:color="auto" w:fill="auto"/>
            <w:tcMar>
              <w:top w:w="0" w:type="dxa"/>
              <w:left w:w="20" w:type="dxa"/>
              <w:bottom w:w="0" w:type="dxa"/>
              <w:right w:w="20" w:type="dxa"/>
            </w:tcMar>
          </w:tcPr>
          <w:p w14:paraId="5C7C550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0E" w14:textId="77777777" w:rsidR="0008009C" w:rsidRDefault="00936FDF">
            <w:pPr>
              <w:jc w:val="right"/>
              <w:textAlignment w:val="bottom"/>
            </w:pPr>
            <w:r>
              <w:rPr>
                <w:rFonts w:ascii="Arial" w:eastAsia="宋体" w:hAnsi="Arial" w:cs="Arial"/>
                <w:b/>
                <w:bCs/>
                <w:color w:val="0068B5"/>
                <w:sz w:val="18"/>
                <w:szCs w:val="18"/>
              </w:rPr>
              <w:t>4,605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50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51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11" w14:textId="77777777" w:rsidR="0008009C" w:rsidRDefault="00936FDF">
            <w:pPr>
              <w:jc w:val="right"/>
              <w:textAlignment w:val="bottom"/>
            </w:pPr>
            <w:r>
              <w:rPr>
                <w:rFonts w:ascii="Arial" w:eastAsia="宋体" w:hAnsi="Arial" w:cs="Arial"/>
                <w:b/>
                <w:bCs/>
                <w:color w:val="262626"/>
                <w:sz w:val="18"/>
                <w:szCs w:val="18"/>
              </w:rPr>
              <w:t>4,578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512" w14:textId="77777777" w:rsidR="0008009C" w:rsidRDefault="0008009C">
            <w:pPr>
              <w:jc w:val="right"/>
              <w:rPr>
                <w:rFonts w:ascii="宋体"/>
              </w:rPr>
            </w:pPr>
          </w:p>
        </w:tc>
      </w:tr>
      <w:tr w:rsidR="0008009C" w14:paraId="5C7C551B" w14:textId="77777777">
        <w:tc>
          <w:tcPr>
            <w:tcW w:w="0" w:type="auto"/>
            <w:gridSpan w:val="3"/>
            <w:shd w:val="clear" w:color="auto" w:fill="auto"/>
            <w:tcMar>
              <w:top w:w="40" w:type="dxa"/>
              <w:left w:w="20" w:type="dxa"/>
              <w:bottom w:w="40" w:type="dxa"/>
              <w:right w:w="20" w:type="dxa"/>
            </w:tcMar>
          </w:tcPr>
          <w:p w14:paraId="5C7C5514" w14:textId="77777777" w:rsidR="0008009C" w:rsidRDefault="00936FDF">
            <w:pPr>
              <w:textAlignment w:val="top"/>
            </w:pPr>
            <w:r>
              <w:rPr>
                <w:rFonts w:ascii="Arial" w:eastAsia="宋体" w:hAnsi="Arial" w:cs="Arial"/>
                <w:b/>
                <w:bCs/>
                <w:color w:val="262626"/>
                <w:sz w:val="18"/>
                <w:szCs w:val="18"/>
              </w:rPr>
              <w:t>Deferred income taxes</w:t>
            </w:r>
          </w:p>
        </w:tc>
        <w:tc>
          <w:tcPr>
            <w:tcW w:w="0" w:type="auto"/>
            <w:gridSpan w:val="3"/>
            <w:shd w:val="clear" w:color="auto" w:fill="auto"/>
            <w:tcMar>
              <w:top w:w="0" w:type="dxa"/>
              <w:left w:w="20" w:type="dxa"/>
              <w:bottom w:w="0" w:type="dxa"/>
              <w:right w:w="20" w:type="dxa"/>
            </w:tcMar>
          </w:tcPr>
          <w:p w14:paraId="5C7C551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16" w14:textId="77777777" w:rsidR="0008009C" w:rsidRDefault="00936FDF">
            <w:pPr>
              <w:jc w:val="right"/>
              <w:textAlignment w:val="bottom"/>
            </w:pPr>
            <w:r>
              <w:rPr>
                <w:rFonts w:ascii="Arial" w:eastAsia="宋体" w:hAnsi="Arial" w:cs="Arial"/>
                <w:b/>
                <w:bCs/>
                <w:color w:val="0068B5"/>
                <w:sz w:val="18"/>
                <w:szCs w:val="18"/>
              </w:rPr>
              <w:t>3,410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51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51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19" w14:textId="77777777" w:rsidR="0008009C" w:rsidRDefault="00936FDF">
            <w:pPr>
              <w:jc w:val="right"/>
              <w:textAlignment w:val="bottom"/>
            </w:pPr>
            <w:r>
              <w:rPr>
                <w:rFonts w:ascii="Arial" w:eastAsia="宋体" w:hAnsi="Arial" w:cs="Arial"/>
                <w:b/>
                <w:bCs/>
                <w:color w:val="262626"/>
                <w:sz w:val="18"/>
                <w:szCs w:val="18"/>
              </w:rPr>
              <w:t>3,843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51A" w14:textId="77777777" w:rsidR="0008009C" w:rsidRDefault="0008009C">
            <w:pPr>
              <w:jc w:val="right"/>
              <w:rPr>
                <w:rFonts w:ascii="宋体"/>
              </w:rPr>
            </w:pPr>
          </w:p>
        </w:tc>
      </w:tr>
      <w:tr w:rsidR="0008009C" w14:paraId="5C7C5523" w14:textId="77777777">
        <w:tc>
          <w:tcPr>
            <w:tcW w:w="0" w:type="auto"/>
            <w:gridSpan w:val="3"/>
            <w:shd w:val="clear" w:color="auto" w:fill="auto"/>
            <w:tcMar>
              <w:top w:w="40" w:type="dxa"/>
              <w:left w:w="20" w:type="dxa"/>
              <w:bottom w:w="40" w:type="dxa"/>
              <w:right w:w="20" w:type="dxa"/>
            </w:tcMar>
          </w:tcPr>
          <w:p w14:paraId="5C7C551C" w14:textId="77777777" w:rsidR="0008009C" w:rsidRDefault="00936FDF">
            <w:pPr>
              <w:textAlignment w:val="top"/>
            </w:pPr>
            <w:r>
              <w:rPr>
                <w:rFonts w:ascii="Arial" w:eastAsia="宋体" w:hAnsi="Arial" w:cs="Arial"/>
                <w:b/>
                <w:bCs/>
                <w:color w:val="262626"/>
                <w:sz w:val="18"/>
                <w:szCs w:val="18"/>
              </w:rPr>
              <w:t>Other long-term liabilities</w:t>
            </w:r>
          </w:p>
        </w:tc>
        <w:tc>
          <w:tcPr>
            <w:tcW w:w="0" w:type="auto"/>
            <w:gridSpan w:val="3"/>
            <w:shd w:val="clear" w:color="auto" w:fill="auto"/>
            <w:tcMar>
              <w:top w:w="0" w:type="dxa"/>
              <w:left w:w="20" w:type="dxa"/>
              <w:bottom w:w="0" w:type="dxa"/>
              <w:right w:w="20" w:type="dxa"/>
            </w:tcMar>
          </w:tcPr>
          <w:p w14:paraId="5C7C551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1E" w14:textId="77777777" w:rsidR="0008009C" w:rsidRDefault="00936FDF">
            <w:pPr>
              <w:jc w:val="right"/>
              <w:textAlignment w:val="bottom"/>
            </w:pPr>
            <w:r>
              <w:rPr>
                <w:rFonts w:ascii="Arial" w:eastAsia="宋体" w:hAnsi="Arial" w:cs="Arial"/>
                <w:b/>
                <w:bCs/>
                <w:color w:val="0068B5"/>
                <w:sz w:val="18"/>
                <w:szCs w:val="18"/>
              </w:rPr>
              <w:t>5,322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51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52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21" w14:textId="77777777" w:rsidR="0008009C" w:rsidRDefault="00936FDF">
            <w:pPr>
              <w:jc w:val="right"/>
              <w:textAlignment w:val="bottom"/>
            </w:pPr>
            <w:r>
              <w:rPr>
                <w:rFonts w:ascii="Arial" w:eastAsia="宋体" w:hAnsi="Arial" w:cs="Arial"/>
                <w:b/>
                <w:bCs/>
                <w:color w:val="262626"/>
                <w:sz w:val="18"/>
                <w:szCs w:val="18"/>
              </w:rPr>
              <w:t>3,614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522" w14:textId="77777777" w:rsidR="0008009C" w:rsidRDefault="0008009C">
            <w:pPr>
              <w:jc w:val="right"/>
              <w:rPr>
                <w:rFonts w:ascii="宋体"/>
              </w:rPr>
            </w:pPr>
          </w:p>
        </w:tc>
      </w:tr>
      <w:tr w:rsidR="0008009C" w14:paraId="5C7C5529" w14:textId="77777777">
        <w:tc>
          <w:tcPr>
            <w:tcW w:w="0" w:type="auto"/>
            <w:gridSpan w:val="3"/>
            <w:shd w:val="clear" w:color="auto" w:fill="auto"/>
            <w:tcMar>
              <w:top w:w="40" w:type="dxa"/>
              <w:left w:w="20" w:type="dxa"/>
              <w:bottom w:w="40" w:type="dxa"/>
              <w:right w:w="20" w:type="dxa"/>
            </w:tcMar>
          </w:tcPr>
          <w:p w14:paraId="5C7C5524" w14:textId="77777777" w:rsidR="0008009C" w:rsidRDefault="00936FDF">
            <w:pPr>
              <w:textAlignment w:val="top"/>
            </w:pPr>
            <w:r>
              <w:rPr>
                <w:rFonts w:ascii="Arial" w:eastAsia="宋体" w:hAnsi="Arial" w:cs="Arial"/>
                <w:b/>
                <w:bCs/>
                <w:color w:val="262626"/>
                <w:sz w:val="18"/>
                <w:szCs w:val="18"/>
              </w:rPr>
              <w:t>Contingencies (Note 13)</w:t>
            </w:r>
          </w:p>
        </w:tc>
        <w:tc>
          <w:tcPr>
            <w:tcW w:w="0" w:type="auto"/>
            <w:gridSpan w:val="3"/>
            <w:shd w:val="clear" w:color="auto" w:fill="auto"/>
            <w:tcMar>
              <w:top w:w="0" w:type="dxa"/>
              <w:left w:w="20" w:type="dxa"/>
              <w:bottom w:w="0" w:type="dxa"/>
              <w:right w:w="20" w:type="dxa"/>
            </w:tcMar>
          </w:tcPr>
          <w:p w14:paraId="5C7C552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52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52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528" w14:textId="77777777" w:rsidR="0008009C" w:rsidRDefault="0008009C">
            <w:pPr>
              <w:rPr>
                <w:rFonts w:ascii="宋体"/>
              </w:rPr>
            </w:pPr>
          </w:p>
        </w:tc>
      </w:tr>
      <w:tr w:rsidR="0008009C" w14:paraId="5C7C552F" w14:textId="77777777">
        <w:trPr>
          <w:hidden/>
        </w:trPr>
        <w:tc>
          <w:tcPr>
            <w:tcW w:w="0" w:type="auto"/>
            <w:gridSpan w:val="3"/>
            <w:shd w:val="clear" w:color="auto" w:fill="auto"/>
          </w:tcPr>
          <w:p w14:paraId="5C7C552A" w14:textId="77777777" w:rsidR="0008009C" w:rsidRDefault="0008009C">
            <w:pPr>
              <w:rPr>
                <w:rFonts w:ascii="宋体"/>
                <w:vanish/>
              </w:rPr>
            </w:pPr>
          </w:p>
        </w:tc>
        <w:tc>
          <w:tcPr>
            <w:tcW w:w="0" w:type="auto"/>
            <w:gridSpan w:val="3"/>
            <w:shd w:val="clear" w:color="auto" w:fill="auto"/>
          </w:tcPr>
          <w:p w14:paraId="5C7C552B" w14:textId="77777777" w:rsidR="0008009C" w:rsidRDefault="0008009C">
            <w:pPr>
              <w:rPr>
                <w:rFonts w:ascii="宋体"/>
                <w:vanish/>
              </w:rPr>
            </w:pPr>
          </w:p>
        </w:tc>
        <w:tc>
          <w:tcPr>
            <w:tcW w:w="0" w:type="auto"/>
            <w:gridSpan w:val="3"/>
            <w:shd w:val="clear" w:color="auto" w:fill="auto"/>
          </w:tcPr>
          <w:p w14:paraId="5C7C552C" w14:textId="77777777" w:rsidR="0008009C" w:rsidRDefault="0008009C">
            <w:pPr>
              <w:rPr>
                <w:rFonts w:ascii="宋体"/>
                <w:vanish/>
              </w:rPr>
            </w:pPr>
          </w:p>
        </w:tc>
        <w:tc>
          <w:tcPr>
            <w:tcW w:w="0" w:type="auto"/>
            <w:gridSpan w:val="3"/>
            <w:shd w:val="clear" w:color="auto" w:fill="auto"/>
          </w:tcPr>
          <w:p w14:paraId="5C7C552D" w14:textId="77777777" w:rsidR="0008009C" w:rsidRDefault="0008009C">
            <w:pPr>
              <w:rPr>
                <w:rFonts w:ascii="宋体"/>
                <w:vanish/>
              </w:rPr>
            </w:pPr>
          </w:p>
        </w:tc>
        <w:tc>
          <w:tcPr>
            <w:tcW w:w="0" w:type="auto"/>
            <w:gridSpan w:val="3"/>
            <w:shd w:val="clear" w:color="auto" w:fill="auto"/>
          </w:tcPr>
          <w:p w14:paraId="5C7C552E" w14:textId="77777777" w:rsidR="0008009C" w:rsidRDefault="0008009C">
            <w:pPr>
              <w:rPr>
                <w:rFonts w:ascii="宋体"/>
                <w:vanish/>
              </w:rPr>
            </w:pPr>
          </w:p>
        </w:tc>
      </w:tr>
      <w:tr w:rsidR="0008009C" w14:paraId="5C7C5535" w14:textId="77777777">
        <w:tc>
          <w:tcPr>
            <w:tcW w:w="0" w:type="auto"/>
            <w:gridSpan w:val="3"/>
            <w:shd w:val="clear" w:color="auto" w:fill="auto"/>
            <w:tcMar>
              <w:top w:w="40" w:type="dxa"/>
              <w:left w:w="20" w:type="dxa"/>
              <w:bottom w:w="40" w:type="dxa"/>
              <w:right w:w="20" w:type="dxa"/>
            </w:tcMar>
          </w:tcPr>
          <w:p w14:paraId="5C7C5530" w14:textId="77777777" w:rsidR="0008009C" w:rsidRDefault="00936FDF">
            <w:pPr>
              <w:textAlignment w:val="top"/>
            </w:pPr>
            <w:r>
              <w:rPr>
                <w:rFonts w:ascii="Arial" w:eastAsia="宋体" w:hAnsi="Arial" w:cs="Arial"/>
                <w:color w:val="262626"/>
                <w:sz w:val="18"/>
                <w:szCs w:val="18"/>
              </w:rPr>
              <w:t>Stockholders’ equity:</w:t>
            </w:r>
          </w:p>
        </w:tc>
        <w:tc>
          <w:tcPr>
            <w:tcW w:w="0" w:type="auto"/>
            <w:gridSpan w:val="3"/>
            <w:shd w:val="clear" w:color="auto" w:fill="auto"/>
            <w:tcMar>
              <w:top w:w="0" w:type="dxa"/>
              <w:left w:w="20" w:type="dxa"/>
              <w:bottom w:w="0" w:type="dxa"/>
              <w:right w:w="20" w:type="dxa"/>
            </w:tcMar>
          </w:tcPr>
          <w:p w14:paraId="5C7C553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53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53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534" w14:textId="77777777" w:rsidR="0008009C" w:rsidRDefault="0008009C">
            <w:pPr>
              <w:rPr>
                <w:rFonts w:ascii="宋体"/>
              </w:rPr>
            </w:pPr>
          </w:p>
        </w:tc>
      </w:tr>
      <w:tr w:rsidR="0008009C" w14:paraId="5C7C553B" w14:textId="77777777">
        <w:trPr>
          <w:hidden/>
        </w:trPr>
        <w:tc>
          <w:tcPr>
            <w:tcW w:w="0" w:type="auto"/>
            <w:gridSpan w:val="3"/>
            <w:shd w:val="clear" w:color="auto" w:fill="auto"/>
          </w:tcPr>
          <w:p w14:paraId="5C7C5536" w14:textId="77777777" w:rsidR="0008009C" w:rsidRDefault="0008009C">
            <w:pPr>
              <w:rPr>
                <w:rFonts w:ascii="宋体"/>
                <w:vanish/>
              </w:rPr>
            </w:pPr>
          </w:p>
        </w:tc>
        <w:tc>
          <w:tcPr>
            <w:tcW w:w="0" w:type="auto"/>
            <w:gridSpan w:val="3"/>
            <w:shd w:val="clear" w:color="auto" w:fill="auto"/>
          </w:tcPr>
          <w:p w14:paraId="5C7C5537" w14:textId="77777777" w:rsidR="0008009C" w:rsidRDefault="0008009C">
            <w:pPr>
              <w:rPr>
                <w:rFonts w:ascii="宋体"/>
                <w:vanish/>
              </w:rPr>
            </w:pPr>
          </w:p>
        </w:tc>
        <w:tc>
          <w:tcPr>
            <w:tcW w:w="0" w:type="auto"/>
            <w:gridSpan w:val="3"/>
            <w:shd w:val="clear" w:color="auto" w:fill="auto"/>
          </w:tcPr>
          <w:p w14:paraId="5C7C5538" w14:textId="77777777" w:rsidR="0008009C" w:rsidRDefault="0008009C">
            <w:pPr>
              <w:rPr>
                <w:rFonts w:ascii="宋体"/>
                <w:vanish/>
              </w:rPr>
            </w:pPr>
          </w:p>
        </w:tc>
        <w:tc>
          <w:tcPr>
            <w:tcW w:w="0" w:type="auto"/>
            <w:gridSpan w:val="3"/>
            <w:shd w:val="clear" w:color="auto" w:fill="auto"/>
          </w:tcPr>
          <w:p w14:paraId="5C7C5539" w14:textId="77777777" w:rsidR="0008009C" w:rsidRDefault="0008009C">
            <w:pPr>
              <w:rPr>
                <w:rFonts w:ascii="宋体"/>
                <w:vanish/>
              </w:rPr>
            </w:pPr>
          </w:p>
        </w:tc>
        <w:tc>
          <w:tcPr>
            <w:tcW w:w="0" w:type="auto"/>
            <w:gridSpan w:val="3"/>
            <w:shd w:val="clear" w:color="auto" w:fill="auto"/>
          </w:tcPr>
          <w:p w14:paraId="5C7C553A" w14:textId="77777777" w:rsidR="0008009C" w:rsidRDefault="0008009C">
            <w:pPr>
              <w:rPr>
                <w:rFonts w:ascii="宋体"/>
                <w:vanish/>
              </w:rPr>
            </w:pPr>
          </w:p>
        </w:tc>
      </w:tr>
      <w:tr w:rsidR="0008009C" w14:paraId="5C7C5543" w14:textId="77777777">
        <w:tc>
          <w:tcPr>
            <w:tcW w:w="0" w:type="auto"/>
            <w:gridSpan w:val="3"/>
            <w:shd w:val="clear" w:color="auto" w:fill="auto"/>
            <w:tcMar>
              <w:top w:w="40" w:type="dxa"/>
              <w:left w:w="140" w:type="dxa"/>
              <w:bottom w:w="40" w:type="dxa"/>
              <w:right w:w="20" w:type="dxa"/>
            </w:tcMar>
          </w:tcPr>
          <w:p w14:paraId="5C7C553C" w14:textId="77777777" w:rsidR="0008009C" w:rsidRDefault="00936FDF">
            <w:pPr>
              <w:textAlignment w:val="top"/>
            </w:pPr>
            <w:r>
              <w:rPr>
                <w:rFonts w:ascii="Arial" w:eastAsia="宋体" w:hAnsi="Arial" w:cs="Arial"/>
                <w:color w:val="262626"/>
                <w:sz w:val="18"/>
                <w:szCs w:val="18"/>
              </w:rPr>
              <w:t xml:space="preserve">Common stock and capital in excess of par value, 4,038 issued and outstanding (4,062 issued and outstanding as of </w:t>
            </w:r>
            <w:r>
              <w:rPr>
                <w:rFonts w:ascii="Arial" w:eastAsia="宋体" w:hAnsi="Arial" w:cs="Arial"/>
                <w:color w:val="262626"/>
                <w:sz w:val="18"/>
                <w:szCs w:val="18"/>
              </w:rPr>
              <w:t>December 26, 2020)</w:t>
            </w:r>
          </w:p>
        </w:tc>
        <w:tc>
          <w:tcPr>
            <w:tcW w:w="0" w:type="auto"/>
            <w:gridSpan w:val="3"/>
            <w:shd w:val="clear" w:color="auto" w:fill="auto"/>
            <w:tcMar>
              <w:top w:w="0" w:type="dxa"/>
              <w:left w:w="20" w:type="dxa"/>
              <w:bottom w:w="0" w:type="dxa"/>
              <w:right w:w="20" w:type="dxa"/>
            </w:tcMar>
          </w:tcPr>
          <w:p w14:paraId="5C7C553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3E" w14:textId="77777777" w:rsidR="0008009C" w:rsidRDefault="00936FDF">
            <w:pPr>
              <w:jc w:val="right"/>
              <w:textAlignment w:val="bottom"/>
            </w:pPr>
            <w:r>
              <w:rPr>
                <w:rFonts w:ascii="Arial" w:eastAsia="宋体" w:hAnsi="Arial" w:cs="Arial"/>
                <w:color w:val="0068B5"/>
                <w:sz w:val="18"/>
                <w:szCs w:val="18"/>
              </w:rPr>
              <w:t>26,272 </w:t>
            </w:r>
          </w:p>
        </w:tc>
        <w:tc>
          <w:tcPr>
            <w:tcW w:w="0" w:type="auto"/>
            <w:shd w:val="clear" w:color="auto" w:fill="auto"/>
            <w:tcMar>
              <w:top w:w="40" w:type="dxa"/>
              <w:left w:w="0" w:type="dxa"/>
              <w:bottom w:w="40" w:type="dxa"/>
              <w:right w:w="20" w:type="dxa"/>
            </w:tcMar>
            <w:vAlign w:val="bottom"/>
          </w:tcPr>
          <w:p w14:paraId="5C7C553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54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41" w14:textId="77777777" w:rsidR="0008009C" w:rsidRDefault="00936FDF">
            <w:pPr>
              <w:jc w:val="right"/>
              <w:textAlignment w:val="bottom"/>
            </w:pPr>
            <w:r>
              <w:rPr>
                <w:rFonts w:ascii="Arial" w:eastAsia="宋体" w:hAnsi="Arial" w:cs="Arial"/>
                <w:color w:val="262626"/>
                <w:sz w:val="18"/>
                <w:szCs w:val="18"/>
              </w:rPr>
              <w:t>25,556 </w:t>
            </w:r>
          </w:p>
        </w:tc>
        <w:tc>
          <w:tcPr>
            <w:tcW w:w="0" w:type="auto"/>
            <w:shd w:val="clear" w:color="auto" w:fill="auto"/>
            <w:tcMar>
              <w:top w:w="40" w:type="dxa"/>
              <w:left w:w="0" w:type="dxa"/>
              <w:bottom w:w="40" w:type="dxa"/>
              <w:right w:w="20" w:type="dxa"/>
            </w:tcMar>
            <w:vAlign w:val="bottom"/>
          </w:tcPr>
          <w:p w14:paraId="5C7C5542" w14:textId="77777777" w:rsidR="0008009C" w:rsidRDefault="0008009C">
            <w:pPr>
              <w:jc w:val="right"/>
              <w:rPr>
                <w:rFonts w:ascii="宋体"/>
              </w:rPr>
            </w:pPr>
          </w:p>
        </w:tc>
      </w:tr>
      <w:tr w:rsidR="0008009C" w14:paraId="5C7C554B" w14:textId="77777777">
        <w:tc>
          <w:tcPr>
            <w:tcW w:w="0" w:type="auto"/>
            <w:gridSpan w:val="3"/>
            <w:shd w:val="clear" w:color="auto" w:fill="auto"/>
            <w:tcMar>
              <w:top w:w="40" w:type="dxa"/>
              <w:left w:w="140" w:type="dxa"/>
              <w:bottom w:w="40" w:type="dxa"/>
              <w:right w:w="20" w:type="dxa"/>
            </w:tcMar>
          </w:tcPr>
          <w:p w14:paraId="5C7C5544" w14:textId="77777777" w:rsidR="0008009C" w:rsidRDefault="00936FDF">
            <w:pPr>
              <w:textAlignment w:val="top"/>
            </w:pPr>
            <w:r>
              <w:rPr>
                <w:rFonts w:ascii="Arial" w:eastAsia="宋体" w:hAnsi="Arial" w:cs="Arial"/>
                <w:color w:val="262626"/>
                <w:sz w:val="18"/>
                <w:szCs w:val="18"/>
              </w:rPr>
              <w:t>Accumulated other comprehensive income (loss)</w:t>
            </w:r>
          </w:p>
        </w:tc>
        <w:tc>
          <w:tcPr>
            <w:tcW w:w="0" w:type="auto"/>
            <w:gridSpan w:val="3"/>
            <w:shd w:val="clear" w:color="auto" w:fill="auto"/>
            <w:tcMar>
              <w:top w:w="0" w:type="dxa"/>
              <w:left w:w="20" w:type="dxa"/>
              <w:bottom w:w="0" w:type="dxa"/>
              <w:right w:w="20" w:type="dxa"/>
            </w:tcMar>
          </w:tcPr>
          <w:p w14:paraId="5C7C554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46" w14:textId="77777777" w:rsidR="0008009C" w:rsidRDefault="00936FDF">
            <w:pPr>
              <w:jc w:val="right"/>
              <w:textAlignment w:val="bottom"/>
            </w:pPr>
            <w:r>
              <w:rPr>
                <w:rFonts w:ascii="Arial" w:eastAsia="宋体" w:hAnsi="Arial" w:cs="Arial"/>
                <w:color w:val="0068B5"/>
                <w:sz w:val="18"/>
                <w:szCs w:val="18"/>
              </w:rPr>
              <w:t>(1,103)</w:t>
            </w:r>
          </w:p>
        </w:tc>
        <w:tc>
          <w:tcPr>
            <w:tcW w:w="0" w:type="auto"/>
            <w:shd w:val="clear" w:color="auto" w:fill="auto"/>
            <w:tcMar>
              <w:top w:w="40" w:type="dxa"/>
              <w:left w:w="0" w:type="dxa"/>
              <w:bottom w:w="40" w:type="dxa"/>
              <w:right w:w="20" w:type="dxa"/>
            </w:tcMar>
            <w:vAlign w:val="bottom"/>
          </w:tcPr>
          <w:p w14:paraId="5C7C554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54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49" w14:textId="77777777" w:rsidR="0008009C" w:rsidRDefault="00936FDF">
            <w:pPr>
              <w:jc w:val="right"/>
              <w:textAlignment w:val="bottom"/>
            </w:pPr>
            <w:r>
              <w:rPr>
                <w:rFonts w:ascii="Arial" w:eastAsia="宋体" w:hAnsi="Arial" w:cs="Arial"/>
                <w:color w:val="262626"/>
                <w:sz w:val="18"/>
                <w:szCs w:val="18"/>
              </w:rPr>
              <w:t>(751)</w:t>
            </w:r>
          </w:p>
        </w:tc>
        <w:tc>
          <w:tcPr>
            <w:tcW w:w="0" w:type="auto"/>
            <w:shd w:val="clear" w:color="auto" w:fill="auto"/>
            <w:tcMar>
              <w:top w:w="40" w:type="dxa"/>
              <w:left w:w="0" w:type="dxa"/>
              <w:bottom w:w="40" w:type="dxa"/>
              <w:right w:w="20" w:type="dxa"/>
            </w:tcMar>
            <w:vAlign w:val="bottom"/>
          </w:tcPr>
          <w:p w14:paraId="5C7C554A" w14:textId="77777777" w:rsidR="0008009C" w:rsidRDefault="0008009C">
            <w:pPr>
              <w:jc w:val="right"/>
              <w:rPr>
                <w:rFonts w:ascii="宋体"/>
              </w:rPr>
            </w:pPr>
          </w:p>
        </w:tc>
      </w:tr>
      <w:tr w:rsidR="0008009C" w14:paraId="5C7C5553" w14:textId="77777777">
        <w:tc>
          <w:tcPr>
            <w:tcW w:w="0" w:type="auto"/>
            <w:gridSpan w:val="3"/>
            <w:shd w:val="clear" w:color="auto" w:fill="auto"/>
            <w:tcMar>
              <w:top w:w="40" w:type="dxa"/>
              <w:left w:w="140" w:type="dxa"/>
              <w:bottom w:w="40" w:type="dxa"/>
              <w:right w:w="20" w:type="dxa"/>
            </w:tcMar>
          </w:tcPr>
          <w:p w14:paraId="5C7C554C" w14:textId="77777777" w:rsidR="0008009C" w:rsidRDefault="00936FDF">
            <w:pPr>
              <w:textAlignment w:val="top"/>
            </w:pPr>
            <w:r>
              <w:rPr>
                <w:rFonts w:ascii="Arial" w:eastAsia="宋体" w:hAnsi="Arial" w:cs="Arial"/>
                <w:color w:val="262626"/>
                <w:sz w:val="18"/>
                <w:szCs w:val="18"/>
              </w:rPr>
              <w:t>Retained earnings</w:t>
            </w:r>
          </w:p>
        </w:tc>
        <w:tc>
          <w:tcPr>
            <w:tcW w:w="0" w:type="auto"/>
            <w:gridSpan w:val="3"/>
            <w:shd w:val="clear" w:color="auto" w:fill="auto"/>
            <w:tcMar>
              <w:top w:w="0" w:type="dxa"/>
              <w:left w:w="20" w:type="dxa"/>
              <w:bottom w:w="0" w:type="dxa"/>
              <w:right w:w="20" w:type="dxa"/>
            </w:tcMar>
          </w:tcPr>
          <w:p w14:paraId="5C7C554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4E" w14:textId="77777777" w:rsidR="0008009C" w:rsidRDefault="00936FDF">
            <w:pPr>
              <w:jc w:val="right"/>
              <w:textAlignment w:val="bottom"/>
            </w:pPr>
            <w:r>
              <w:rPr>
                <w:rFonts w:ascii="Arial" w:eastAsia="宋体" w:hAnsi="Arial" w:cs="Arial"/>
                <w:color w:val="0068B5"/>
                <w:sz w:val="18"/>
                <w:szCs w:val="18"/>
              </w:rPr>
              <w:t>54,638 </w:t>
            </w:r>
          </w:p>
        </w:tc>
        <w:tc>
          <w:tcPr>
            <w:tcW w:w="0" w:type="auto"/>
            <w:shd w:val="clear" w:color="auto" w:fill="auto"/>
            <w:tcMar>
              <w:top w:w="40" w:type="dxa"/>
              <w:left w:w="0" w:type="dxa"/>
              <w:bottom w:w="40" w:type="dxa"/>
              <w:right w:w="20" w:type="dxa"/>
            </w:tcMar>
            <w:vAlign w:val="bottom"/>
          </w:tcPr>
          <w:p w14:paraId="5C7C554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55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51" w14:textId="77777777" w:rsidR="0008009C" w:rsidRDefault="00936FDF">
            <w:pPr>
              <w:jc w:val="right"/>
              <w:textAlignment w:val="bottom"/>
            </w:pPr>
            <w:r>
              <w:rPr>
                <w:rFonts w:ascii="Arial" w:eastAsia="宋体" w:hAnsi="Arial" w:cs="Arial"/>
                <w:color w:val="262626"/>
                <w:sz w:val="18"/>
                <w:szCs w:val="18"/>
              </w:rPr>
              <w:t>56,233 </w:t>
            </w:r>
          </w:p>
        </w:tc>
        <w:tc>
          <w:tcPr>
            <w:tcW w:w="0" w:type="auto"/>
            <w:shd w:val="clear" w:color="auto" w:fill="auto"/>
            <w:tcMar>
              <w:top w:w="40" w:type="dxa"/>
              <w:left w:w="0" w:type="dxa"/>
              <w:bottom w:w="40" w:type="dxa"/>
              <w:right w:w="20" w:type="dxa"/>
            </w:tcMar>
            <w:vAlign w:val="bottom"/>
          </w:tcPr>
          <w:p w14:paraId="5C7C5552" w14:textId="77777777" w:rsidR="0008009C" w:rsidRDefault="0008009C">
            <w:pPr>
              <w:jc w:val="right"/>
              <w:rPr>
                <w:rFonts w:ascii="宋体"/>
              </w:rPr>
            </w:pPr>
          </w:p>
        </w:tc>
      </w:tr>
      <w:tr w:rsidR="0008009C" w14:paraId="5C7C555B" w14:textId="77777777">
        <w:tc>
          <w:tcPr>
            <w:tcW w:w="0" w:type="auto"/>
            <w:gridSpan w:val="3"/>
            <w:shd w:val="clear" w:color="auto" w:fill="auto"/>
            <w:tcMar>
              <w:top w:w="40" w:type="dxa"/>
              <w:left w:w="20" w:type="dxa"/>
              <w:bottom w:w="40" w:type="dxa"/>
              <w:right w:w="20" w:type="dxa"/>
            </w:tcMar>
          </w:tcPr>
          <w:p w14:paraId="5C7C5554" w14:textId="77777777" w:rsidR="0008009C" w:rsidRDefault="00936FDF">
            <w:pPr>
              <w:textAlignment w:val="top"/>
            </w:pPr>
            <w:r>
              <w:rPr>
                <w:rFonts w:ascii="Arial" w:eastAsia="宋体" w:hAnsi="Arial" w:cs="Arial"/>
                <w:b/>
                <w:bCs/>
                <w:color w:val="262626"/>
                <w:sz w:val="18"/>
                <w:szCs w:val="18"/>
              </w:rPr>
              <w:t>Total stockholders’ equity</w:t>
            </w:r>
          </w:p>
        </w:tc>
        <w:tc>
          <w:tcPr>
            <w:tcW w:w="0" w:type="auto"/>
            <w:gridSpan w:val="3"/>
            <w:shd w:val="clear" w:color="auto" w:fill="auto"/>
            <w:tcMar>
              <w:top w:w="0" w:type="dxa"/>
              <w:left w:w="20" w:type="dxa"/>
              <w:bottom w:w="0" w:type="dxa"/>
              <w:right w:w="20" w:type="dxa"/>
            </w:tcMar>
          </w:tcPr>
          <w:p w14:paraId="5C7C5555"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556" w14:textId="77777777" w:rsidR="0008009C" w:rsidRDefault="00936FDF">
            <w:pPr>
              <w:jc w:val="right"/>
              <w:textAlignment w:val="bottom"/>
            </w:pPr>
            <w:r>
              <w:rPr>
                <w:rFonts w:ascii="Arial" w:eastAsia="宋体" w:hAnsi="Arial" w:cs="Arial"/>
                <w:b/>
                <w:bCs/>
                <w:color w:val="0068B5"/>
                <w:sz w:val="18"/>
                <w:szCs w:val="18"/>
              </w:rPr>
              <w:t>79,807</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55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558"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559" w14:textId="77777777" w:rsidR="0008009C" w:rsidRDefault="00936FDF">
            <w:pPr>
              <w:jc w:val="right"/>
              <w:textAlignment w:val="bottom"/>
            </w:pPr>
            <w:r>
              <w:rPr>
                <w:rFonts w:ascii="Arial" w:eastAsia="宋体" w:hAnsi="Arial" w:cs="Arial"/>
                <w:b/>
                <w:bCs/>
                <w:color w:val="262626"/>
                <w:sz w:val="18"/>
                <w:szCs w:val="18"/>
              </w:rPr>
              <w:t>81,038</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55A" w14:textId="77777777" w:rsidR="0008009C" w:rsidRDefault="0008009C">
            <w:pPr>
              <w:jc w:val="right"/>
              <w:rPr>
                <w:rFonts w:ascii="宋体"/>
              </w:rPr>
            </w:pPr>
          </w:p>
        </w:tc>
      </w:tr>
      <w:tr w:rsidR="0008009C" w14:paraId="5C7C5565" w14:textId="77777777">
        <w:tc>
          <w:tcPr>
            <w:tcW w:w="0" w:type="auto"/>
            <w:gridSpan w:val="3"/>
            <w:shd w:val="clear" w:color="auto" w:fill="auto"/>
            <w:tcMar>
              <w:top w:w="40" w:type="dxa"/>
              <w:left w:w="20" w:type="dxa"/>
              <w:bottom w:w="40" w:type="dxa"/>
              <w:right w:w="20" w:type="dxa"/>
            </w:tcMar>
          </w:tcPr>
          <w:p w14:paraId="5C7C555C" w14:textId="77777777" w:rsidR="0008009C" w:rsidRDefault="00936FDF">
            <w:pPr>
              <w:textAlignment w:val="top"/>
            </w:pPr>
            <w:r>
              <w:rPr>
                <w:rFonts w:ascii="Arial" w:eastAsia="宋体" w:hAnsi="Arial" w:cs="Arial"/>
                <w:b/>
                <w:bCs/>
                <w:color w:val="262626"/>
                <w:sz w:val="18"/>
                <w:szCs w:val="18"/>
              </w:rPr>
              <w:t>Total liabilities and stockholders’ equity</w:t>
            </w:r>
          </w:p>
        </w:tc>
        <w:tc>
          <w:tcPr>
            <w:tcW w:w="0" w:type="auto"/>
            <w:gridSpan w:val="3"/>
            <w:shd w:val="clear" w:color="auto" w:fill="auto"/>
            <w:tcMar>
              <w:top w:w="0" w:type="dxa"/>
              <w:left w:w="20" w:type="dxa"/>
              <w:bottom w:w="0" w:type="dxa"/>
              <w:right w:w="20" w:type="dxa"/>
            </w:tcMar>
          </w:tcPr>
          <w:p w14:paraId="5C7C555D"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55E"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55F" w14:textId="77777777" w:rsidR="0008009C" w:rsidRDefault="00936FDF">
            <w:pPr>
              <w:jc w:val="right"/>
              <w:textAlignment w:val="bottom"/>
            </w:pPr>
            <w:r>
              <w:rPr>
                <w:rFonts w:ascii="Arial" w:eastAsia="宋体" w:hAnsi="Arial" w:cs="Arial"/>
                <w:b/>
                <w:bCs/>
                <w:color w:val="0068B5"/>
                <w:sz w:val="18"/>
                <w:szCs w:val="18"/>
              </w:rPr>
              <w:t>150,622</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56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561"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562"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563" w14:textId="77777777" w:rsidR="0008009C" w:rsidRDefault="00936FDF">
            <w:pPr>
              <w:jc w:val="right"/>
              <w:textAlignment w:val="bottom"/>
            </w:pPr>
            <w:r>
              <w:rPr>
                <w:rFonts w:ascii="Arial" w:eastAsia="宋体" w:hAnsi="Arial" w:cs="Arial"/>
                <w:b/>
                <w:bCs/>
                <w:color w:val="262626"/>
                <w:sz w:val="18"/>
                <w:szCs w:val="18"/>
              </w:rPr>
              <w:t>153,091</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564" w14:textId="77777777" w:rsidR="0008009C" w:rsidRDefault="0008009C">
            <w:pPr>
              <w:jc w:val="right"/>
              <w:rPr>
                <w:rFonts w:ascii="宋体"/>
              </w:rPr>
            </w:pPr>
          </w:p>
        </w:tc>
      </w:tr>
    </w:tbl>
    <w:p w14:paraId="5C7C5566" w14:textId="77777777" w:rsidR="0008009C" w:rsidRDefault="00936FDF">
      <w:pPr>
        <w:spacing w:before="180" w:after="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2631"/>
        <w:gridCol w:w="36"/>
        <w:gridCol w:w="60"/>
        <w:gridCol w:w="3256"/>
        <w:gridCol w:w="36"/>
      </w:tblGrid>
      <w:tr w:rsidR="0008009C" w14:paraId="5C7C5573" w14:textId="77777777">
        <w:tc>
          <w:tcPr>
            <w:tcW w:w="50" w:type="pct"/>
            <w:shd w:val="clear" w:color="auto" w:fill="auto"/>
            <w:vAlign w:val="bottom"/>
          </w:tcPr>
          <w:p w14:paraId="5C7C5567" w14:textId="77777777" w:rsidR="0008009C" w:rsidRDefault="0008009C">
            <w:pPr>
              <w:rPr>
                <w:rFonts w:ascii="宋体"/>
              </w:rPr>
            </w:pPr>
          </w:p>
        </w:tc>
        <w:tc>
          <w:tcPr>
            <w:tcW w:w="238" w:type="pct"/>
            <w:shd w:val="clear" w:color="auto" w:fill="auto"/>
            <w:vAlign w:val="bottom"/>
          </w:tcPr>
          <w:p w14:paraId="5C7C5568" w14:textId="77777777" w:rsidR="0008009C" w:rsidRDefault="0008009C">
            <w:pPr>
              <w:rPr>
                <w:rFonts w:ascii="宋体"/>
              </w:rPr>
            </w:pPr>
          </w:p>
        </w:tc>
        <w:tc>
          <w:tcPr>
            <w:tcW w:w="5" w:type="pct"/>
            <w:shd w:val="clear" w:color="auto" w:fill="auto"/>
            <w:vAlign w:val="bottom"/>
          </w:tcPr>
          <w:p w14:paraId="5C7C5569" w14:textId="77777777" w:rsidR="0008009C" w:rsidRDefault="0008009C">
            <w:pPr>
              <w:rPr>
                <w:rFonts w:ascii="宋体"/>
              </w:rPr>
            </w:pPr>
          </w:p>
        </w:tc>
        <w:tc>
          <w:tcPr>
            <w:tcW w:w="50" w:type="pct"/>
            <w:shd w:val="clear" w:color="auto" w:fill="auto"/>
            <w:vAlign w:val="bottom"/>
          </w:tcPr>
          <w:p w14:paraId="5C7C556A" w14:textId="77777777" w:rsidR="0008009C" w:rsidRDefault="0008009C">
            <w:pPr>
              <w:rPr>
                <w:rFonts w:ascii="宋体"/>
              </w:rPr>
            </w:pPr>
          </w:p>
        </w:tc>
        <w:tc>
          <w:tcPr>
            <w:tcW w:w="983" w:type="pct"/>
            <w:shd w:val="clear" w:color="auto" w:fill="auto"/>
            <w:vAlign w:val="bottom"/>
          </w:tcPr>
          <w:p w14:paraId="5C7C556B" w14:textId="77777777" w:rsidR="0008009C" w:rsidRDefault="0008009C">
            <w:pPr>
              <w:rPr>
                <w:rFonts w:ascii="宋体"/>
              </w:rPr>
            </w:pPr>
          </w:p>
        </w:tc>
        <w:tc>
          <w:tcPr>
            <w:tcW w:w="5" w:type="pct"/>
            <w:shd w:val="clear" w:color="auto" w:fill="auto"/>
            <w:vAlign w:val="bottom"/>
          </w:tcPr>
          <w:p w14:paraId="5C7C556C" w14:textId="77777777" w:rsidR="0008009C" w:rsidRDefault="0008009C">
            <w:pPr>
              <w:rPr>
                <w:rFonts w:ascii="宋体"/>
              </w:rPr>
            </w:pPr>
          </w:p>
        </w:tc>
        <w:tc>
          <w:tcPr>
            <w:tcW w:w="50" w:type="pct"/>
            <w:shd w:val="clear" w:color="auto" w:fill="auto"/>
            <w:vAlign w:val="bottom"/>
          </w:tcPr>
          <w:p w14:paraId="5C7C556D" w14:textId="77777777" w:rsidR="0008009C" w:rsidRDefault="0008009C">
            <w:pPr>
              <w:rPr>
                <w:rFonts w:ascii="宋体"/>
              </w:rPr>
            </w:pPr>
          </w:p>
        </w:tc>
        <w:tc>
          <w:tcPr>
            <w:tcW w:w="1591" w:type="pct"/>
            <w:shd w:val="clear" w:color="auto" w:fill="auto"/>
            <w:vAlign w:val="bottom"/>
          </w:tcPr>
          <w:p w14:paraId="5C7C556E" w14:textId="77777777" w:rsidR="0008009C" w:rsidRDefault="0008009C">
            <w:pPr>
              <w:rPr>
                <w:rFonts w:ascii="宋体"/>
              </w:rPr>
            </w:pPr>
          </w:p>
        </w:tc>
        <w:tc>
          <w:tcPr>
            <w:tcW w:w="5" w:type="pct"/>
            <w:shd w:val="clear" w:color="auto" w:fill="auto"/>
            <w:vAlign w:val="bottom"/>
          </w:tcPr>
          <w:p w14:paraId="5C7C556F" w14:textId="77777777" w:rsidR="0008009C" w:rsidRDefault="0008009C">
            <w:pPr>
              <w:rPr>
                <w:rFonts w:ascii="宋体"/>
              </w:rPr>
            </w:pPr>
          </w:p>
        </w:tc>
        <w:tc>
          <w:tcPr>
            <w:tcW w:w="50" w:type="pct"/>
            <w:shd w:val="clear" w:color="auto" w:fill="auto"/>
            <w:vAlign w:val="bottom"/>
          </w:tcPr>
          <w:p w14:paraId="5C7C5570" w14:textId="77777777" w:rsidR="0008009C" w:rsidRDefault="0008009C">
            <w:pPr>
              <w:rPr>
                <w:rFonts w:ascii="宋体"/>
              </w:rPr>
            </w:pPr>
          </w:p>
        </w:tc>
        <w:tc>
          <w:tcPr>
            <w:tcW w:w="1966" w:type="pct"/>
            <w:shd w:val="clear" w:color="auto" w:fill="auto"/>
            <w:vAlign w:val="bottom"/>
          </w:tcPr>
          <w:p w14:paraId="5C7C5571" w14:textId="77777777" w:rsidR="0008009C" w:rsidRDefault="0008009C">
            <w:pPr>
              <w:rPr>
                <w:rFonts w:ascii="宋体"/>
              </w:rPr>
            </w:pPr>
          </w:p>
        </w:tc>
        <w:tc>
          <w:tcPr>
            <w:tcW w:w="5" w:type="pct"/>
            <w:shd w:val="clear" w:color="auto" w:fill="auto"/>
            <w:vAlign w:val="bottom"/>
          </w:tcPr>
          <w:p w14:paraId="5C7C5572" w14:textId="77777777" w:rsidR="0008009C" w:rsidRDefault="0008009C">
            <w:pPr>
              <w:rPr>
                <w:rFonts w:ascii="宋体"/>
              </w:rPr>
            </w:pPr>
          </w:p>
        </w:tc>
      </w:tr>
      <w:tr w:rsidR="0008009C" w14:paraId="5C7C5578"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5574"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CF9" wp14:editId="5C7C7CFA">
                  <wp:extent cx="304800" cy="304800"/>
                  <wp:effectExtent l="0" t="0" r="0" b="0"/>
                  <wp:docPr id="102" name="图片 49"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9"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575"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5576" w14:textId="77777777" w:rsidR="0008009C" w:rsidRDefault="00936FDF">
            <w:pPr>
              <w:textAlignment w:val="center"/>
            </w:pPr>
            <w:r>
              <w:rPr>
                <w:rFonts w:ascii="Arial" w:eastAsia="宋体" w:hAnsi="Arial" w:cs="Arial"/>
                <w:color w:val="262626"/>
                <w:sz w:val="16"/>
                <w:szCs w:val="16"/>
              </w:rPr>
              <w:t>  Consolidated Condensed Balance Sheets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577" w14:textId="77777777" w:rsidR="0008009C" w:rsidRDefault="00936FDF">
            <w:pPr>
              <w:jc w:val="right"/>
              <w:textAlignment w:val="center"/>
            </w:pPr>
            <w:r>
              <w:rPr>
                <w:rFonts w:ascii="Arial" w:eastAsia="宋体" w:hAnsi="Arial" w:cs="Arial"/>
                <w:color w:val="262626"/>
                <w:sz w:val="16"/>
                <w:szCs w:val="16"/>
              </w:rPr>
              <w:t>5</w:t>
            </w:r>
          </w:p>
        </w:tc>
      </w:tr>
    </w:tbl>
    <w:p w14:paraId="5C7C5579" w14:textId="77777777" w:rsidR="0008009C" w:rsidRDefault="00936FDF">
      <w:r>
        <w:pict w14:anchorId="5C7C7CFB">
          <v:rect id="_x0000_i1031" style="width:415.3pt;height:1.5pt" o:hralign="center" o:hrstd="t" o:hr="t" fillcolor="#a0a0a0" stroked="f"/>
        </w:pict>
      </w:r>
    </w:p>
    <w:p w14:paraId="5C7C557A" w14:textId="77777777" w:rsidR="0008009C" w:rsidRDefault="00936FDF">
      <w:pPr>
        <w:spacing w:after="180"/>
        <w:jc w:val="right"/>
      </w:pPr>
      <w:hyperlink r:id="rId31" w:anchor="i3a00378f6cc84b1c9cfc83239548ad53_7" w:history="1">
        <w:r>
          <w:rPr>
            <w:rStyle w:val="a5"/>
            <w:rFonts w:ascii="Arial" w:eastAsia="宋体" w:hAnsi="Arial" w:cs="Arial"/>
            <w:b/>
            <w:bCs/>
            <w:sz w:val="16"/>
            <w:szCs w:val="16"/>
          </w:rPr>
          <w:t>Table of Contents</w:t>
        </w:r>
      </w:hyperlink>
    </w:p>
    <w:p w14:paraId="5C7C557B" w14:textId="77777777" w:rsidR="0008009C" w:rsidRDefault="0008009C">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8009C" w14:paraId="5C7C5582" w14:textId="77777777">
        <w:tc>
          <w:tcPr>
            <w:tcW w:w="50" w:type="pct"/>
            <w:shd w:val="clear" w:color="auto" w:fill="auto"/>
          </w:tcPr>
          <w:p w14:paraId="5C7C557C" w14:textId="77777777" w:rsidR="0008009C" w:rsidRDefault="0008009C">
            <w:pPr>
              <w:rPr>
                <w:rFonts w:ascii="宋体"/>
              </w:rPr>
            </w:pPr>
          </w:p>
        </w:tc>
        <w:tc>
          <w:tcPr>
            <w:tcW w:w="4870" w:type="pct"/>
            <w:shd w:val="clear" w:color="auto" w:fill="auto"/>
          </w:tcPr>
          <w:p w14:paraId="5C7C557D" w14:textId="77777777" w:rsidR="0008009C" w:rsidRDefault="0008009C">
            <w:pPr>
              <w:rPr>
                <w:rFonts w:ascii="宋体"/>
              </w:rPr>
            </w:pPr>
          </w:p>
        </w:tc>
        <w:tc>
          <w:tcPr>
            <w:tcW w:w="5" w:type="pct"/>
            <w:shd w:val="clear" w:color="auto" w:fill="auto"/>
          </w:tcPr>
          <w:p w14:paraId="5C7C557E" w14:textId="77777777" w:rsidR="0008009C" w:rsidRDefault="0008009C">
            <w:pPr>
              <w:rPr>
                <w:rFonts w:ascii="宋体"/>
              </w:rPr>
            </w:pPr>
          </w:p>
        </w:tc>
        <w:tc>
          <w:tcPr>
            <w:tcW w:w="5" w:type="pct"/>
            <w:shd w:val="clear" w:color="auto" w:fill="auto"/>
          </w:tcPr>
          <w:p w14:paraId="5C7C557F" w14:textId="77777777" w:rsidR="0008009C" w:rsidRDefault="0008009C">
            <w:pPr>
              <w:rPr>
                <w:rFonts w:ascii="宋体"/>
              </w:rPr>
            </w:pPr>
          </w:p>
        </w:tc>
        <w:tc>
          <w:tcPr>
            <w:tcW w:w="64" w:type="pct"/>
            <w:shd w:val="clear" w:color="auto" w:fill="auto"/>
          </w:tcPr>
          <w:p w14:paraId="5C7C5580" w14:textId="77777777" w:rsidR="0008009C" w:rsidRDefault="0008009C">
            <w:pPr>
              <w:rPr>
                <w:rFonts w:ascii="宋体"/>
              </w:rPr>
            </w:pPr>
          </w:p>
        </w:tc>
        <w:tc>
          <w:tcPr>
            <w:tcW w:w="5" w:type="pct"/>
            <w:shd w:val="clear" w:color="auto" w:fill="auto"/>
          </w:tcPr>
          <w:p w14:paraId="5C7C5581" w14:textId="77777777" w:rsidR="0008009C" w:rsidRDefault="0008009C">
            <w:pPr>
              <w:rPr>
                <w:rFonts w:ascii="宋体"/>
              </w:rPr>
            </w:pPr>
          </w:p>
        </w:tc>
      </w:tr>
      <w:tr w:rsidR="0008009C" w14:paraId="5C7C5585" w14:textId="77777777">
        <w:tc>
          <w:tcPr>
            <w:tcW w:w="0" w:type="auto"/>
            <w:gridSpan w:val="3"/>
            <w:shd w:val="clear" w:color="auto" w:fill="004A86"/>
            <w:tcMar>
              <w:top w:w="40" w:type="dxa"/>
              <w:left w:w="20" w:type="dxa"/>
              <w:bottom w:w="40" w:type="dxa"/>
              <w:right w:w="20" w:type="dxa"/>
            </w:tcMar>
            <w:vAlign w:val="center"/>
          </w:tcPr>
          <w:p w14:paraId="5C7C5583" w14:textId="77777777" w:rsidR="0008009C" w:rsidRDefault="00936FDF">
            <w:pPr>
              <w:textAlignment w:val="center"/>
            </w:pPr>
            <w:r>
              <w:rPr>
                <w:rFonts w:ascii="Arial" w:eastAsia="宋体" w:hAnsi="Arial" w:cs="Arial"/>
                <w:color w:val="FFFFFF"/>
                <w:sz w:val="36"/>
                <w:szCs w:val="36"/>
              </w:rPr>
              <w:t>Consolidated Condensed Statements of Cash Flows</w:t>
            </w:r>
          </w:p>
        </w:tc>
        <w:tc>
          <w:tcPr>
            <w:tcW w:w="0" w:type="auto"/>
            <w:gridSpan w:val="3"/>
            <w:shd w:val="clear" w:color="auto" w:fill="auto"/>
            <w:tcMar>
              <w:top w:w="0" w:type="dxa"/>
              <w:left w:w="20" w:type="dxa"/>
              <w:bottom w:w="0" w:type="dxa"/>
              <w:right w:w="20" w:type="dxa"/>
            </w:tcMar>
          </w:tcPr>
          <w:p w14:paraId="5C7C5584" w14:textId="77777777" w:rsidR="0008009C" w:rsidRDefault="0008009C">
            <w:pPr>
              <w:rPr>
                <w:rFonts w:ascii="宋体"/>
              </w:rPr>
            </w:pPr>
          </w:p>
        </w:tc>
      </w:tr>
      <w:tr w:rsidR="0008009C" w14:paraId="5C7C5588" w14:textId="77777777">
        <w:trPr>
          <w:trHeight w:val="160"/>
        </w:trPr>
        <w:tc>
          <w:tcPr>
            <w:tcW w:w="0" w:type="auto"/>
            <w:gridSpan w:val="3"/>
            <w:shd w:val="clear" w:color="auto" w:fill="auto"/>
            <w:tcMar>
              <w:top w:w="0" w:type="dxa"/>
              <w:left w:w="20" w:type="dxa"/>
              <w:bottom w:w="0" w:type="dxa"/>
              <w:right w:w="20" w:type="dxa"/>
            </w:tcMar>
          </w:tcPr>
          <w:p w14:paraId="5C7C5586" w14:textId="77777777" w:rsidR="0008009C" w:rsidRDefault="0008009C">
            <w:pPr>
              <w:rPr>
                <w:rFonts w:ascii="宋体"/>
              </w:rPr>
            </w:pPr>
          </w:p>
        </w:tc>
        <w:tc>
          <w:tcPr>
            <w:tcW w:w="0" w:type="auto"/>
            <w:gridSpan w:val="3"/>
            <w:shd w:val="clear" w:color="auto" w:fill="00A3F6"/>
            <w:tcMar>
              <w:top w:w="0" w:type="dxa"/>
              <w:left w:w="20" w:type="dxa"/>
              <w:bottom w:w="0" w:type="dxa"/>
              <w:right w:w="20" w:type="dxa"/>
            </w:tcMar>
          </w:tcPr>
          <w:p w14:paraId="5C7C5587" w14:textId="77777777" w:rsidR="0008009C" w:rsidRDefault="0008009C">
            <w:pPr>
              <w:rPr>
                <w:rFonts w:ascii="宋体"/>
              </w:rPr>
            </w:pPr>
          </w:p>
        </w:tc>
      </w:tr>
    </w:tbl>
    <w:p w14:paraId="5C7C5589"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6099"/>
        <w:gridCol w:w="41"/>
        <w:gridCol w:w="36"/>
        <w:gridCol w:w="36"/>
        <w:gridCol w:w="36"/>
        <w:gridCol w:w="121"/>
        <w:gridCol w:w="811"/>
        <w:gridCol w:w="36"/>
        <w:gridCol w:w="36"/>
        <w:gridCol w:w="36"/>
        <w:gridCol w:w="36"/>
        <w:gridCol w:w="121"/>
        <w:gridCol w:w="813"/>
        <w:gridCol w:w="36"/>
      </w:tblGrid>
      <w:tr w:rsidR="0008009C" w14:paraId="5C7C5599" w14:textId="77777777">
        <w:tc>
          <w:tcPr>
            <w:tcW w:w="50" w:type="pct"/>
            <w:shd w:val="clear" w:color="auto" w:fill="auto"/>
          </w:tcPr>
          <w:p w14:paraId="5C7C558A" w14:textId="77777777" w:rsidR="0008009C" w:rsidRDefault="0008009C">
            <w:pPr>
              <w:rPr>
                <w:rFonts w:ascii="宋体"/>
              </w:rPr>
            </w:pPr>
          </w:p>
        </w:tc>
        <w:tc>
          <w:tcPr>
            <w:tcW w:w="3688" w:type="pct"/>
            <w:shd w:val="clear" w:color="auto" w:fill="auto"/>
          </w:tcPr>
          <w:p w14:paraId="5C7C558B" w14:textId="77777777" w:rsidR="0008009C" w:rsidRDefault="0008009C">
            <w:pPr>
              <w:rPr>
                <w:rFonts w:ascii="宋体"/>
              </w:rPr>
            </w:pPr>
          </w:p>
        </w:tc>
        <w:tc>
          <w:tcPr>
            <w:tcW w:w="5" w:type="pct"/>
            <w:shd w:val="clear" w:color="auto" w:fill="auto"/>
          </w:tcPr>
          <w:p w14:paraId="5C7C558C" w14:textId="77777777" w:rsidR="0008009C" w:rsidRDefault="0008009C">
            <w:pPr>
              <w:rPr>
                <w:rFonts w:ascii="宋体"/>
              </w:rPr>
            </w:pPr>
          </w:p>
        </w:tc>
        <w:tc>
          <w:tcPr>
            <w:tcW w:w="5" w:type="pct"/>
            <w:shd w:val="clear" w:color="auto" w:fill="auto"/>
          </w:tcPr>
          <w:p w14:paraId="5C7C558D" w14:textId="77777777" w:rsidR="0008009C" w:rsidRDefault="0008009C">
            <w:pPr>
              <w:rPr>
                <w:rFonts w:ascii="宋体"/>
              </w:rPr>
            </w:pPr>
          </w:p>
        </w:tc>
        <w:tc>
          <w:tcPr>
            <w:tcW w:w="24" w:type="pct"/>
            <w:shd w:val="clear" w:color="auto" w:fill="auto"/>
          </w:tcPr>
          <w:p w14:paraId="5C7C558E" w14:textId="77777777" w:rsidR="0008009C" w:rsidRDefault="0008009C">
            <w:pPr>
              <w:rPr>
                <w:rFonts w:ascii="宋体"/>
              </w:rPr>
            </w:pPr>
          </w:p>
        </w:tc>
        <w:tc>
          <w:tcPr>
            <w:tcW w:w="5" w:type="pct"/>
            <w:shd w:val="clear" w:color="auto" w:fill="auto"/>
          </w:tcPr>
          <w:p w14:paraId="5C7C558F" w14:textId="77777777" w:rsidR="0008009C" w:rsidRDefault="0008009C">
            <w:pPr>
              <w:rPr>
                <w:rFonts w:ascii="宋体"/>
              </w:rPr>
            </w:pPr>
          </w:p>
        </w:tc>
        <w:tc>
          <w:tcPr>
            <w:tcW w:w="50" w:type="pct"/>
            <w:shd w:val="clear" w:color="auto" w:fill="auto"/>
          </w:tcPr>
          <w:p w14:paraId="5C7C5590" w14:textId="77777777" w:rsidR="0008009C" w:rsidRDefault="0008009C">
            <w:pPr>
              <w:rPr>
                <w:rFonts w:ascii="宋体"/>
              </w:rPr>
            </w:pPr>
          </w:p>
        </w:tc>
        <w:tc>
          <w:tcPr>
            <w:tcW w:w="539" w:type="pct"/>
            <w:shd w:val="clear" w:color="auto" w:fill="auto"/>
          </w:tcPr>
          <w:p w14:paraId="5C7C5591" w14:textId="77777777" w:rsidR="0008009C" w:rsidRDefault="0008009C">
            <w:pPr>
              <w:rPr>
                <w:rFonts w:ascii="宋体"/>
              </w:rPr>
            </w:pPr>
          </w:p>
        </w:tc>
        <w:tc>
          <w:tcPr>
            <w:tcW w:w="5" w:type="pct"/>
            <w:shd w:val="clear" w:color="auto" w:fill="auto"/>
          </w:tcPr>
          <w:p w14:paraId="5C7C5592" w14:textId="77777777" w:rsidR="0008009C" w:rsidRDefault="0008009C">
            <w:pPr>
              <w:rPr>
                <w:rFonts w:ascii="宋体"/>
              </w:rPr>
            </w:pPr>
          </w:p>
        </w:tc>
        <w:tc>
          <w:tcPr>
            <w:tcW w:w="5" w:type="pct"/>
            <w:shd w:val="clear" w:color="auto" w:fill="auto"/>
          </w:tcPr>
          <w:p w14:paraId="5C7C5593" w14:textId="77777777" w:rsidR="0008009C" w:rsidRDefault="0008009C">
            <w:pPr>
              <w:rPr>
                <w:rFonts w:ascii="宋体"/>
              </w:rPr>
            </w:pPr>
          </w:p>
        </w:tc>
        <w:tc>
          <w:tcPr>
            <w:tcW w:w="24" w:type="pct"/>
            <w:shd w:val="clear" w:color="auto" w:fill="auto"/>
          </w:tcPr>
          <w:p w14:paraId="5C7C5594" w14:textId="77777777" w:rsidR="0008009C" w:rsidRDefault="0008009C">
            <w:pPr>
              <w:rPr>
                <w:rFonts w:ascii="宋体"/>
              </w:rPr>
            </w:pPr>
          </w:p>
        </w:tc>
        <w:tc>
          <w:tcPr>
            <w:tcW w:w="5" w:type="pct"/>
            <w:shd w:val="clear" w:color="auto" w:fill="auto"/>
          </w:tcPr>
          <w:p w14:paraId="5C7C5595" w14:textId="77777777" w:rsidR="0008009C" w:rsidRDefault="0008009C">
            <w:pPr>
              <w:rPr>
                <w:rFonts w:ascii="宋体"/>
              </w:rPr>
            </w:pPr>
          </w:p>
        </w:tc>
        <w:tc>
          <w:tcPr>
            <w:tcW w:w="50" w:type="pct"/>
            <w:shd w:val="clear" w:color="auto" w:fill="auto"/>
          </w:tcPr>
          <w:p w14:paraId="5C7C5596" w14:textId="77777777" w:rsidR="0008009C" w:rsidRDefault="0008009C">
            <w:pPr>
              <w:rPr>
                <w:rFonts w:ascii="宋体"/>
              </w:rPr>
            </w:pPr>
          </w:p>
        </w:tc>
        <w:tc>
          <w:tcPr>
            <w:tcW w:w="539" w:type="pct"/>
            <w:shd w:val="clear" w:color="auto" w:fill="auto"/>
          </w:tcPr>
          <w:p w14:paraId="5C7C5597" w14:textId="77777777" w:rsidR="0008009C" w:rsidRDefault="0008009C">
            <w:pPr>
              <w:rPr>
                <w:rFonts w:ascii="宋体"/>
              </w:rPr>
            </w:pPr>
          </w:p>
        </w:tc>
        <w:tc>
          <w:tcPr>
            <w:tcW w:w="5" w:type="pct"/>
            <w:shd w:val="clear" w:color="auto" w:fill="auto"/>
          </w:tcPr>
          <w:p w14:paraId="5C7C5598" w14:textId="77777777" w:rsidR="0008009C" w:rsidRDefault="0008009C">
            <w:pPr>
              <w:rPr>
                <w:rFonts w:ascii="宋体"/>
              </w:rPr>
            </w:pPr>
          </w:p>
        </w:tc>
      </w:tr>
      <w:tr w:rsidR="0008009C" w14:paraId="5C7C559D" w14:textId="77777777">
        <w:tc>
          <w:tcPr>
            <w:tcW w:w="0" w:type="auto"/>
            <w:gridSpan w:val="3"/>
            <w:shd w:val="clear" w:color="auto" w:fill="auto"/>
            <w:tcMar>
              <w:top w:w="40" w:type="dxa"/>
              <w:left w:w="20" w:type="dxa"/>
              <w:bottom w:w="40" w:type="dxa"/>
              <w:right w:w="20" w:type="dxa"/>
            </w:tcMar>
            <w:vAlign w:val="bottom"/>
          </w:tcPr>
          <w:p w14:paraId="5C7C559A" w14:textId="77777777" w:rsidR="0008009C" w:rsidRDefault="00936FDF">
            <w:pPr>
              <w:ind w:hanging="180"/>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tcPr>
          <w:p w14:paraId="5C7C559B"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bottom"/>
          </w:tcPr>
          <w:p w14:paraId="5C7C559C" w14:textId="77777777" w:rsidR="0008009C" w:rsidRDefault="00936FDF">
            <w:pPr>
              <w:jc w:val="center"/>
              <w:textAlignment w:val="bottom"/>
            </w:pPr>
            <w:r>
              <w:rPr>
                <w:rFonts w:ascii="Arial" w:eastAsia="宋体" w:hAnsi="Arial" w:cs="Arial"/>
                <w:b/>
                <w:bCs/>
                <w:color w:val="262626"/>
                <w:sz w:val="18"/>
                <w:szCs w:val="18"/>
              </w:rPr>
              <w:t>Three Months Ended</w:t>
            </w:r>
          </w:p>
        </w:tc>
      </w:tr>
      <w:tr w:rsidR="0008009C" w14:paraId="5C7C55A3" w14:textId="77777777">
        <w:tc>
          <w:tcPr>
            <w:tcW w:w="0" w:type="auto"/>
            <w:gridSpan w:val="3"/>
            <w:shd w:val="clear" w:color="auto" w:fill="auto"/>
            <w:tcMar>
              <w:top w:w="40" w:type="dxa"/>
              <w:left w:w="20" w:type="dxa"/>
              <w:bottom w:w="40" w:type="dxa"/>
              <w:right w:w="20" w:type="dxa"/>
            </w:tcMar>
            <w:vAlign w:val="bottom"/>
          </w:tcPr>
          <w:p w14:paraId="5C7C559E" w14:textId="77777777" w:rsidR="0008009C" w:rsidRDefault="00936FDF">
            <w:pPr>
              <w:ind w:hanging="180"/>
              <w:textAlignment w:val="bottom"/>
            </w:pPr>
            <w:r>
              <w:rPr>
                <w:rFonts w:ascii="Arial" w:eastAsia="宋体" w:hAnsi="Arial" w:cs="Arial"/>
                <w:b/>
                <w:bCs/>
                <w:color w:val="262626"/>
                <w:sz w:val="18"/>
                <w:szCs w:val="18"/>
              </w:rPr>
              <w:t>(In Millions; Unaudited)</w:t>
            </w:r>
          </w:p>
        </w:tc>
        <w:tc>
          <w:tcPr>
            <w:tcW w:w="0" w:type="auto"/>
            <w:gridSpan w:val="3"/>
            <w:shd w:val="clear" w:color="auto" w:fill="auto"/>
            <w:tcMar>
              <w:top w:w="0" w:type="dxa"/>
              <w:left w:w="20" w:type="dxa"/>
              <w:bottom w:w="0" w:type="dxa"/>
              <w:right w:w="20" w:type="dxa"/>
            </w:tcMar>
          </w:tcPr>
          <w:p w14:paraId="5C7C559F"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5A0"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tcBorders>
              <w:top w:val="single" w:sz="8" w:space="0" w:color="0068B5"/>
            </w:tcBorders>
            <w:shd w:val="clear" w:color="auto" w:fill="auto"/>
            <w:tcMar>
              <w:top w:w="0" w:type="dxa"/>
              <w:left w:w="20" w:type="dxa"/>
              <w:bottom w:w="0" w:type="dxa"/>
              <w:right w:w="20" w:type="dxa"/>
            </w:tcMar>
          </w:tcPr>
          <w:p w14:paraId="5C7C55A1"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5A2" w14:textId="77777777" w:rsidR="0008009C" w:rsidRDefault="00936FDF">
            <w:pPr>
              <w:jc w:val="center"/>
              <w:textAlignment w:val="bottom"/>
            </w:pPr>
            <w:r>
              <w:rPr>
                <w:rFonts w:ascii="Arial" w:eastAsia="宋体" w:hAnsi="Arial" w:cs="Arial"/>
                <w:b/>
                <w:bCs/>
                <w:color w:val="262626"/>
                <w:sz w:val="18"/>
                <w:szCs w:val="18"/>
              </w:rPr>
              <w:t>Mar 28, 2020</w:t>
            </w:r>
          </w:p>
        </w:tc>
      </w:tr>
      <w:tr w:rsidR="0008009C" w14:paraId="5C7C55A9" w14:textId="77777777">
        <w:trPr>
          <w:hidden/>
        </w:trPr>
        <w:tc>
          <w:tcPr>
            <w:tcW w:w="0" w:type="auto"/>
            <w:gridSpan w:val="3"/>
            <w:shd w:val="clear" w:color="auto" w:fill="auto"/>
          </w:tcPr>
          <w:p w14:paraId="5C7C55A4" w14:textId="77777777" w:rsidR="0008009C" w:rsidRDefault="0008009C">
            <w:pPr>
              <w:rPr>
                <w:rFonts w:ascii="宋体"/>
                <w:vanish/>
              </w:rPr>
            </w:pPr>
          </w:p>
        </w:tc>
        <w:tc>
          <w:tcPr>
            <w:tcW w:w="0" w:type="auto"/>
            <w:gridSpan w:val="3"/>
            <w:shd w:val="clear" w:color="auto" w:fill="auto"/>
          </w:tcPr>
          <w:p w14:paraId="5C7C55A5" w14:textId="77777777" w:rsidR="0008009C" w:rsidRDefault="0008009C">
            <w:pPr>
              <w:rPr>
                <w:rFonts w:ascii="宋体"/>
                <w:vanish/>
              </w:rPr>
            </w:pPr>
          </w:p>
        </w:tc>
        <w:tc>
          <w:tcPr>
            <w:tcW w:w="0" w:type="auto"/>
            <w:gridSpan w:val="3"/>
            <w:shd w:val="clear" w:color="auto" w:fill="auto"/>
          </w:tcPr>
          <w:p w14:paraId="5C7C55A6" w14:textId="77777777" w:rsidR="0008009C" w:rsidRDefault="0008009C">
            <w:pPr>
              <w:rPr>
                <w:rFonts w:ascii="宋体"/>
                <w:vanish/>
              </w:rPr>
            </w:pPr>
          </w:p>
        </w:tc>
        <w:tc>
          <w:tcPr>
            <w:tcW w:w="0" w:type="auto"/>
            <w:gridSpan w:val="3"/>
            <w:shd w:val="clear" w:color="auto" w:fill="auto"/>
          </w:tcPr>
          <w:p w14:paraId="5C7C55A7" w14:textId="77777777" w:rsidR="0008009C" w:rsidRDefault="0008009C">
            <w:pPr>
              <w:rPr>
                <w:rFonts w:ascii="宋体"/>
                <w:vanish/>
              </w:rPr>
            </w:pPr>
          </w:p>
        </w:tc>
        <w:tc>
          <w:tcPr>
            <w:tcW w:w="0" w:type="auto"/>
            <w:gridSpan w:val="3"/>
            <w:shd w:val="clear" w:color="auto" w:fill="auto"/>
          </w:tcPr>
          <w:p w14:paraId="5C7C55A8" w14:textId="77777777" w:rsidR="0008009C" w:rsidRDefault="0008009C">
            <w:pPr>
              <w:rPr>
                <w:rFonts w:ascii="宋体"/>
                <w:vanish/>
              </w:rPr>
            </w:pPr>
          </w:p>
        </w:tc>
      </w:tr>
      <w:tr w:rsidR="0008009C" w14:paraId="5C7C55B3"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55AA" w14:textId="77777777" w:rsidR="0008009C" w:rsidRDefault="00936FDF">
            <w:pPr>
              <w:textAlignment w:val="top"/>
            </w:pPr>
            <w:r>
              <w:rPr>
                <w:rFonts w:ascii="Arial" w:eastAsia="宋体" w:hAnsi="Arial" w:cs="Arial"/>
                <w:b/>
                <w:bCs/>
                <w:color w:val="262626"/>
                <w:sz w:val="18"/>
                <w:szCs w:val="18"/>
              </w:rPr>
              <w:t>Cash and cash equivalents, beginning of period</w:t>
            </w:r>
          </w:p>
        </w:tc>
        <w:tc>
          <w:tcPr>
            <w:tcW w:w="0" w:type="auto"/>
            <w:gridSpan w:val="3"/>
            <w:shd w:val="clear" w:color="auto" w:fill="auto"/>
            <w:tcMar>
              <w:top w:w="0" w:type="dxa"/>
              <w:left w:w="20" w:type="dxa"/>
              <w:bottom w:w="0" w:type="dxa"/>
              <w:right w:w="20" w:type="dxa"/>
            </w:tcMar>
          </w:tcPr>
          <w:p w14:paraId="5C7C55AB"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55AC"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55AD" w14:textId="77777777" w:rsidR="0008009C" w:rsidRDefault="00936FDF">
            <w:pPr>
              <w:jc w:val="right"/>
              <w:textAlignment w:val="bottom"/>
            </w:pPr>
            <w:r>
              <w:rPr>
                <w:rFonts w:ascii="Arial" w:eastAsia="宋体" w:hAnsi="Arial" w:cs="Arial"/>
                <w:b/>
                <w:bCs/>
                <w:color w:val="0068B5"/>
                <w:sz w:val="18"/>
                <w:szCs w:val="18"/>
              </w:rPr>
              <w:t>5,865</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55A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5AF"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55B0"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55B1" w14:textId="77777777" w:rsidR="0008009C" w:rsidRDefault="00936FDF">
            <w:pPr>
              <w:jc w:val="right"/>
              <w:textAlignment w:val="bottom"/>
            </w:pPr>
            <w:r>
              <w:rPr>
                <w:rFonts w:ascii="Arial" w:eastAsia="宋体" w:hAnsi="Arial" w:cs="Arial"/>
                <w:b/>
                <w:bCs/>
                <w:color w:val="262626"/>
                <w:sz w:val="18"/>
                <w:szCs w:val="18"/>
              </w:rPr>
              <w:t>4,194</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55B2" w14:textId="77777777" w:rsidR="0008009C" w:rsidRDefault="0008009C">
            <w:pPr>
              <w:jc w:val="right"/>
              <w:rPr>
                <w:rFonts w:ascii="宋体"/>
              </w:rPr>
            </w:pPr>
          </w:p>
        </w:tc>
      </w:tr>
      <w:tr w:rsidR="0008009C" w14:paraId="5C7C55B9" w14:textId="77777777">
        <w:tc>
          <w:tcPr>
            <w:tcW w:w="0" w:type="auto"/>
            <w:gridSpan w:val="3"/>
            <w:shd w:val="clear" w:color="auto" w:fill="auto"/>
            <w:tcMar>
              <w:top w:w="40" w:type="dxa"/>
              <w:left w:w="20" w:type="dxa"/>
              <w:bottom w:w="40" w:type="dxa"/>
              <w:right w:w="20" w:type="dxa"/>
            </w:tcMar>
          </w:tcPr>
          <w:p w14:paraId="5C7C55B4" w14:textId="77777777" w:rsidR="0008009C" w:rsidRDefault="00936FDF">
            <w:pPr>
              <w:textAlignment w:val="top"/>
            </w:pPr>
            <w:r>
              <w:rPr>
                <w:rFonts w:ascii="Arial" w:eastAsia="宋体" w:hAnsi="Arial" w:cs="Arial"/>
                <w:color w:val="262626"/>
                <w:sz w:val="18"/>
                <w:szCs w:val="18"/>
              </w:rPr>
              <w:t>Cash flows provided by (used for) operating activities:</w:t>
            </w:r>
          </w:p>
        </w:tc>
        <w:tc>
          <w:tcPr>
            <w:tcW w:w="0" w:type="auto"/>
            <w:gridSpan w:val="3"/>
            <w:shd w:val="clear" w:color="auto" w:fill="auto"/>
            <w:tcMar>
              <w:top w:w="0" w:type="dxa"/>
              <w:left w:w="20" w:type="dxa"/>
              <w:bottom w:w="0" w:type="dxa"/>
              <w:right w:w="20" w:type="dxa"/>
            </w:tcMar>
          </w:tcPr>
          <w:p w14:paraId="5C7C55B5" w14:textId="77777777" w:rsidR="0008009C" w:rsidRDefault="0008009C">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5C7C55B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5B7" w14:textId="77777777" w:rsidR="0008009C" w:rsidRDefault="0008009C">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5C7C55B8" w14:textId="77777777" w:rsidR="0008009C" w:rsidRDefault="0008009C">
            <w:pPr>
              <w:rPr>
                <w:rFonts w:ascii="宋体"/>
              </w:rPr>
            </w:pPr>
          </w:p>
        </w:tc>
      </w:tr>
      <w:tr w:rsidR="0008009C" w14:paraId="5C7C55C1" w14:textId="77777777">
        <w:tc>
          <w:tcPr>
            <w:tcW w:w="0" w:type="auto"/>
            <w:gridSpan w:val="3"/>
            <w:shd w:val="clear" w:color="auto" w:fill="auto"/>
            <w:tcMar>
              <w:top w:w="40" w:type="dxa"/>
              <w:left w:w="140" w:type="dxa"/>
              <w:bottom w:w="40" w:type="dxa"/>
              <w:right w:w="20" w:type="dxa"/>
            </w:tcMar>
          </w:tcPr>
          <w:p w14:paraId="5C7C55BA" w14:textId="77777777" w:rsidR="0008009C" w:rsidRDefault="00936FDF">
            <w:pPr>
              <w:textAlignment w:val="top"/>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tcPr>
          <w:p w14:paraId="5C7C55B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BC" w14:textId="77777777" w:rsidR="0008009C" w:rsidRDefault="00936FDF">
            <w:pPr>
              <w:jc w:val="right"/>
              <w:textAlignment w:val="bottom"/>
            </w:pPr>
            <w:r>
              <w:rPr>
                <w:rFonts w:ascii="Arial" w:eastAsia="宋体" w:hAnsi="Arial" w:cs="Arial"/>
                <w:color w:val="0068B5"/>
                <w:sz w:val="18"/>
                <w:szCs w:val="18"/>
              </w:rPr>
              <w:t>3,361 </w:t>
            </w:r>
          </w:p>
        </w:tc>
        <w:tc>
          <w:tcPr>
            <w:tcW w:w="0" w:type="auto"/>
            <w:shd w:val="clear" w:color="auto" w:fill="auto"/>
            <w:tcMar>
              <w:top w:w="40" w:type="dxa"/>
              <w:left w:w="0" w:type="dxa"/>
              <w:bottom w:w="40" w:type="dxa"/>
              <w:right w:w="20" w:type="dxa"/>
            </w:tcMar>
            <w:vAlign w:val="bottom"/>
          </w:tcPr>
          <w:p w14:paraId="5C7C55B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5B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BF" w14:textId="77777777" w:rsidR="0008009C" w:rsidRDefault="00936FDF">
            <w:pPr>
              <w:jc w:val="right"/>
              <w:textAlignment w:val="bottom"/>
            </w:pPr>
            <w:r>
              <w:rPr>
                <w:rFonts w:ascii="Arial" w:eastAsia="宋体" w:hAnsi="Arial" w:cs="Arial"/>
                <w:color w:val="262626"/>
                <w:sz w:val="18"/>
                <w:szCs w:val="18"/>
              </w:rPr>
              <w:t>5,661 </w:t>
            </w:r>
          </w:p>
        </w:tc>
        <w:tc>
          <w:tcPr>
            <w:tcW w:w="0" w:type="auto"/>
            <w:shd w:val="clear" w:color="auto" w:fill="auto"/>
            <w:tcMar>
              <w:top w:w="40" w:type="dxa"/>
              <w:left w:w="0" w:type="dxa"/>
              <w:bottom w:w="40" w:type="dxa"/>
              <w:right w:w="20" w:type="dxa"/>
            </w:tcMar>
            <w:vAlign w:val="bottom"/>
          </w:tcPr>
          <w:p w14:paraId="5C7C55C0" w14:textId="77777777" w:rsidR="0008009C" w:rsidRDefault="0008009C">
            <w:pPr>
              <w:jc w:val="right"/>
              <w:rPr>
                <w:rFonts w:ascii="宋体"/>
              </w:rPr>
            </w:pPr>
          </w:p>
        </w:tc>
      </w:tr>
      <w:tr w:rsidR="0008009C" w14:paraId="5C7C55C7" w14:textId="77777777">
        <w:tc>
          <w:tcPr>
            <w:tcW w:w="0" w:type="auto"/>
            <w:gridSpan w:val="3"/>
            <w:shd w:val="clear" w:color="auto" w:fill="auto"/>
            <w:tcMar>
              <w:top w:w="40" w:type="dxa"/>
              <w:left w:w="140" w:type="dxa"/>
              <w:bottom w:w="40" w:type="dxa"/>
              <w:right w:w="20" w:type="dxa"/>
            </w:tcMar>
          </w:tcPr>
          <w:p w14:paraId="5C7C55C2" w14:textId="77777777" w:rsidR="0008009C" w:rsidRDefault="00936FDF">
            <w:pPr>
              <w:textAlignment w:val="top"/>
            </w:pPr>
            <w:r>
              <w:rPr>
                <w:rFonts w:ascii="Arial" w:eastAsia="宋体" w:hAnsi="Arial" w:cs="Arial"/>
                <w:color w:val="262626"/>
                <w:sz w:val="18"/>
                <w:szCs w:val="18"/>
              </w:rPr>
              <w:t>Adjustments to reconcile net income to net cash provided by operating activities:</w:t>
            </w:r>
          </w:p>
        </w:tc>
        <w:tc>
          <w:tcPr>
            <w:tcW w:w="0" w:type="auto"/>
            <w:gridSpan w:val="3"/>
            <w:shd w:val="clear" w:color="auto" w:fill="auto"/>
            <w:tcMar>
              <w:top w:w="0" w:type="dxa"/>
              <w:left w:w="20" w:type="dxa"/>
              <w:bottom w:w="0" w:type="dxa"/>
              <w:right w:w="20" w:type="dxa"/>
            </w:tcMar>
          </w:tcPr>
          <w:p w14:paraId="5C7C55C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5C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5C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5C6" w14:textId="77777777" w:rsidR="0008009C" w:rsidRDefault="0008009C">
            <w:pPr>
              <w:rPr>
                <w:rFonts w:ascii="宋体"/>
              </w:rPr>
            </w:pPr>
          </w:p>
        </w:tc>
      </w:tr>
      <w:tr w:rsidR="0008009C" w14:paraId="5C7C55CF" w14:textId="77777777">
        <w:tc>
          <w:tcPr>
            <w:tcW w:w="0" w:type="auto"/>
            <w:gridSpan w:val="3"/>
            <w:shd w:val="clear" w:color="auto" w:fill="auto"/>
            <w:tcMar>
              <w:top w:w="40" w:type="dxa"/>
              <w:left w:w="260" w:type="dxa"/>
              <w:bottom w:w="40" w:type="dxa"/>
              <w:right w:w="20" w:type="dxa"/>
            </w:tcMar>
          </w:tcPr>
          <w:p w14:paraId="5C7C55C8" w14:textId="77777777" w:rsidR="0008009C" w:rsidRDefault="00936FDF">
            <w:pPr>
              <w:textAlignment w:val="top"/>
            </w:pPr>
            <w:r>
              <w:rPr>
                <w:rFonts w:ascii="Arial" w:eastAsia="宋体" w:hAnsi="Arial" w:cs="Arial"/>
                <w:color w:val="262626"/>
                <w:sz w:val="18"/>
                <w:szCs w:val="18"/>
              </w:rPr>
              <w:t>Depreciation</w:t>
            </w:r>
          </w:p>
        </w:tc>
        <w:tc>
          <w:tcPr>
            <w:tcW w:w="0" w:type="auto"/>
            <w:gridSpan w:val="3"/>
            <w:shd w:val="clear" w:color="auto" w:fill="auto"/>
            <w:tcMar>
              <w:top w:w="0" w:type="dxa"/>
              <w:left w:w="20" w:type="dxa"/>
              <w:bottom w:w="0" w:type="dxa"/>
              <w:right w:w="20" w:type="dxa"/>
            </w:tcMar>
          </w:tcPr>
          <w:p w14:paraId="5C7C55C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CA" w14:textId="77777777" w:rsidR="0008009C" w:rsidRDefault="00936FDF">
            <w:pPr>
              <w:jc w:val="right"/>
              <w:textAlignment w:val="bottom"/>
            </w:pPr>
            <w:r>
              <w:rPr>
                <w:rFonts w:ascii="Arial" w:eastAsia="宋体" w:hAnsi="Arial" w:cs="Arial"/>
                <w:color w:val="0068B5"/>
                <w:sz w:val="18"/>
                <w:szCs w:val="18"/>
              </w:rPr>
              <w:t>2,454 </w:t>
            </w:r>
          </w:p>
        </w:tc>
        <w:tc>
          <w:tcPr>
            <w:tcW w:w="0" w:type="auto"/>
            <w:shd w:val="clear" w:color="auto" w:fill="auto"/>
            <w:tcMar>
              <w:top w:w="40" w:type="dxa"/>
              <w:left w:w="0" w:type="dxa"/>
              <w:bottom w:w="40" w:type="dxa"/>
              <w:right w:w="20" w:type="dxa"/>
            </w:tcMar>
            <w:vAlign w:val="bottom"/>
          </w:tcPr>
          <w:p w14:paraId="5C7C55C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5C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CD" w14:textId="77777777" w:rsidR="0008009C" w:rsidRDefault="00936FDF">
            <w:pPr>
              <w:jc w:val="right"/>
              <w:textAlignment w:val="bottom"/>
            </w:pPr>
            <w:r>
              <w:rPr>
                <w:rFonts w:ascii="Arial" w:eastAsia="宋体" w:hAnsi="Arial" w:cs="Arial"/>
                <w:color w:val="262626"/>
                <w:sz w:val="18"/>
                <w:szCs w:val="18"/>
              </w:rPr>
              <w:t>2,623 </w:t>
            </w:r>
          </w:p>
        </w:tc>
        <w:tc>
          <w:tcPr>
            <w:tcW w:w="0" w:type="auto"/>
            <w:shd w:val="clear" w:color="auto" w:fill="auto"/>
            <w:tcMar>
              <w:top w:w="40" w:type="dxa"/>
              <w:left w:w="0" w:type="dxa"/>
              <w:bottom w:w="40" w:type="dxa"/>
              <w:right w:w="20" w:type="dxa"/>
            </w:tcMar>
            <w:vAlign w:val="bottom"/>
          </w:tcPr>
          <w:p w14:paraId="5C7C55CE" w14:textId="77777777" w:rsidR="0008009C" w:rsidRDefault="0008009C">
            <w:pPr>
              <w:jc w:val="right"/>
              <w:rPr>
                <w:rFonts w:ascii="宋体"/>
              </w:rPr>
            </w:pPr>
          </w:p>
        </w:tc>
      </w:tr>
      <w:tr w:rsidR="0008009C" w14:paraId="5C7C55D7" w14:textId="77777777">
        <w:tc>
          <w:tcPr>
            <w:tcW w:w="0" w:type="auto"/>
            <w:gridSpan w:val="3"/>
            <w:shd w:val="clear" w:color="auto" w:fill="auto"/>
            <w:tcMar>
              <w:top w:w="40" w:type="dxa"/>
              <w:left w:w="260" w:type="dxa"/>
              <w:bottom w:w="40" w:type="dxa"/>
              <w:right w:w="20" w:type="dxa"/>
            </w:tcMar>
          </w:tcPr>
          <w:p w14:paraId="5C7C55D0" w14:textId="77777777" w:rsidR="0008009C" w:rsidRDefault="00936FDF">
            <w:pPr>
              <w:textAlignment w:val="top"/>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tcPr>
          <w:p w14:paraId="5C7C55D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D2" w14:textId="77777777" w:rsidR="0008009C" w:rsidRDefault="00936FDF">
            <w:pPr>
              <w:jc w:val="right"/>
              <w:textAlignment w:val="bottom"/>
            </w:pPr>
            <w:r>
              <w:rPr>
                <w:rFonts w:ascii="Arial" w:eastAsia="宋体" w:hAnsi="Arial" w:cs="Arial"/>
                <w:color w:val="0068B5"/>
                <w:sz w:val="18"/>
                <w:szCs w:val="18"/>
              </w:rPr>
              <w:t>425 </w:t>
            </w:r>
          </w:p>
        </w:tc>
        <w:tc>
          <w:tcPr>
            <w:tcW w:w="0" w:type="auto"/>
            <w:shd w:val="clear" w:color="auto" w:fill="auto"/>
            <w:tcMar>
              <w:top w:w="40" w:type="dxa"/>
              <w:left w:w="0" w:type="dxa"/>
              <w:bottom w:w="40" w:type="dxa"/>
              <w:right w:w="20" w:type="dxa"/>
            </w:tcMar>
            <w:vAlign w:val="bottom"/>
          </w:tcPr>
          <w:p w14:paraId="5C7C55D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5D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D5" w14:textId="77777777" w:rsidR="0008009C" w:rsidRDefault="00936FDF">
            <w:pPr>
              <w:jc w:val="right"/>
              <w:textAlignment w:val="bottom"/>
            </w:pPr>
            <w:r>
              <w:rPr>
                <w:rFonts w:ascii="Arial" w:eastAsia="宋体" w:hAnsi="Arial" w:cs="Arial"/>
                <w:color w:val="262626"/>
                <w:sz w:val="18"/>
                <w:szCs w:val="18"/>
              </w:rPr>
              <w:t>449 </w:t>
            </w:r>
          </w:p>
        </w:tc>
        <w:tc>
          <w:tcPr>
            <w:tcW w:w="0" w:type="auto"/>
            <w:shd w:val="clear" w:color="auto" w:fill="auto"/>
            <w:tcMar>
              <w:top w:w="40" w:type="dxa"/>
              <w:left w:w="0" w:type="dxa"/>
              <w:bottom w:w="40" w:type="dxa"/>
              <w:right w:w="20" w:type="dxa"/>
            </w:tcMar>
            <w:vAlign w:val="bottom"/>
          </w:tcPr>
          <w:p w14:paraId="5C7C55D6" w14:textId="77777777" w:rsidR="0008009C" w:rsidRDefault="0008009C">
            <w:pPr>
              <w:jc w:val="right"/>
              <w:rPr>
                <w:rFonts w:ascii="宋体"/>
              </w:rPr>
            </w:pPr>
          </w:p>
        </w:tc>
      </w:tr>
      <w:tr w:rsidR="0008009C" w14:paraId="5C7C55DD" w14:textId="77777777">
        <w:trPr>
          <w:hidden/>
        </w:trPr>
        <w:tc>
          <w:tcPr>
            <w:tcW w:w="0" w:type="auto"/>
            <w:gridSpan w:val="3"/>
            <w:shd w:val="clear" w:color="auto" w:fill="auto"/>
          </w:tcPr>
          <w:p w14:paraId="5C7C55D8" w14:textId="77777777" w:rsidR="0008009C" w:rsidRDefault="0008009C">
            <w:pPr>
              <w:rPr>
                <w:rFonts w:ascii="宋体"/>
                <w:vanish/>
              </w:rPr>
            </w:pPr>
          </w:p>
        </w:tc>
        <w:tc>
          <w:tcPr>
            <w:tcW w:w="0" w:type="auto"/>
            <w:gridSpan w:val="3"/>
            <w:shd w:val="clear" w:color="auto" w:fill="auto"/>
          </w:tcPr>
          <w:p w14:paraId="5C7C55D9" w14:textId="77777777" w:rsidR="0008009C" w:rsidRDefault="0008009C">
            <w:pPr>
              <w:rPr>
                <w:rFonts w:ascii="宋体"/>
                <w:vanish/>
              </w:rPr>
            </w:pPr>
          </w:p>
        </w:tc>
        <w:tc>
          <w:tcPr>
            <w:tcW w:w="0" w:type="auto"/>
            <w:gridSpan w:val="3"/>
            <w:shd w:val="clear" w:color="auto" w:fill="auto"/>
          </w:tcPr>
          <w:p w14:paraId="5C7C55DA" w14:textId="77777777" w:rsidR="0008009C" w:rsidRDefault="0008009C">
            <w:pPr>
              <w:rPr>
                <w:rFonts w:ascii="宋体"/>
                <w:vanish/>
              </w:rPr>
            </w:pPr>
          </w:p>
        </w:tc>
        <w:tc>
          <w:tcPr>
            <w:tcW w:w="0" w:type="auto"/>
            <w:gridSpan w:val="3"/>
            <w:shd w:val="clear" w:color="auto" w:fill="auto"/>
          </w:tcPr>
          <w:p w14:paraId="5C7C55DB" w14:textId="77777777" w:rsidR="0008009C" w:rsidRDefault="0008009C">
            <w:pPr>
              <w:rPr>
                <w:rFonts w:ascii="宋体"/>
                <w:vanish/>
              </w:rPr>
            </w:pPr>
          </w:p>
        </w:tc>
        <w:tc>
          <w:tcPr>
            <w:tcW w:w="0" w:type="auto"/>
            <w:gridSpan w:val="3"/>
            <w:shd w:val="clear" w:color="auto" w:fill="auto"/>
          </w:tcPr>
          <w:p w14:paraId="5C7C55DC" w14:textId="77777777" w:rsidR="0008009C" w:rsidRDefault="0008009C">
            <w:pPr>
              <w:rPr>
                <w:rFonts w:ascii="宋体"/>
                <w:vanish/>
              </w:rPr>
            </w:pPr>
          </w:p>
        </w:tc>
      </w:tr>
      <w:tr w:rsidR="0008009C" w14:paraId="5C7C55E5" w14:textId="77777777">
        <w:tc>
          <w:tcPr>
            <w:tcW w:w="0" w:type="auto"/>
            <w:gridSpan w:val="3"/>
            <w:shd w:val="clear" w:color="auto" w:fill="auto"/>
            <w:tcMar>
              <w:top w:w="40" w:type="dxa"/>
              <w:left w:w="260" w:type="dxa"/>
              <w:bottom w:w="40" w:type="dxa"/>
              <w:right w:w="20" w:type="dxa"/>
            </w:tcMar>
          </w:tcPr>
          <w:p w14:paraId="5C7C55DE" w14:textId="77777777" w:rsidR="0008009C" w:rsidRDefault="00936FDF">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tcPr>
          <w:p w14:paraId="5C7C55D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E0" w14:textId="77777777" w:rsidR="0008009C" w:rsidRDefault="00936FDF">
            <w:pPr>
              <w:jc w:val="right"/>
              <w:textAlignment w:val="bottom"/>
            </w:pPr>
            <w:r>
              <w:rPr>
                <w:rFonts w:ascii="Arial" w:eastAsia="宋体" w:hAnsi="Arial" w:cs="Arial"/>
                <w:color w:val="0068B5"/>
                <w:sz w:val="18"/>
                <w:szCs w:val="18"/>
              </w:rPr>
              <w:t>2,209 </w:t>
            </w:r>
          </w:p>
        </w:tc>
        <w:tc>
          <w:tcPr>
            <w:tcW w:w="0" w:type="auto"/>
            <w:shd w:val="clear" w:color="auto" w:fill="auto"/>
            <w:tcMar>
              <w:top w:w="40" w:type="dxa"/>
              <w:left w:w="0" w:type="dxa"/>
              <w:bottom w:w="40" w:type="dxa"/>
              <w:right w:w="20" w:type="dxa"/>
            </w:tcMar>
            <w:vAlign w:val="bottom"/>
          </w:tcPr>
          <w:p w14:paraId="5C7C55E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5E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E3" w14:textId="77777777" w:rsidR="0008009C" w:rsidRDefault="00936FDF">
            <w:pPr>
              <w:jc w:val="right"/>
              <w:textAlignment w:val="bottom"/>
            </w:pPr>
            <w:r>
              <w:rPr>
                <w:rFonts w:ascii="Arial" w:eastAsia="宋体" w:hAnsi="Arial" w:cs="Arial"/>
                <w:color w:val="262626"/>
                <w:sz w:val="18"/>
                <w:szCs w:val="18"/>
              </w:rPr>
              <w:t>162 </w:t>
            </w:r>
          </w:p>
        </w:tc>
        <w:tc>
          <w:tcPr>
            <w:tcW w:w="0" w:type="auto"/>
            <w:shd w:val="clear" w:color="auto" w:fill="auto"/>
            <w:tcMar>
              <w:top w:w="40" w:type="dxa"/>
              <w:left w:w="0" w:type="dxa"/>
              <w:bottom w:w="40" w:type="dxa"/>
              <w:right w:w="20" w:type="dxa"/>
            </w:tcMar>
            <w:vAlign w:val="bottom"/>
          </w:tcPr>
          <w:p w14:paraId="5C7C55E4" w14:textId="77777777" w:rsidR="0008009C" w:rsidRDefault="0008009C">
            <w:pPr>
              <w:jc w:val="right"/>
              <w:rPr>
                <w:rFonts w:ascii="宋体"/>
              </w:rPr>
            </w:pPr>
          </w:p>
        </w:tc>
      </w:tr>
      <w:tr w:rsidR="0008009C" w14:paraId="5C7C55ED" w14:textId="77777777">
        <w:tc>
          <w:tcPr>
            <w:tcW w:w="0" w:type="auto"/>
            <w:gridSpan w:val="3"/>
            <w:shd w:val="clear" w:color="auto" w:fill="auto"/>
            <w:tcMar>
              <w:top w:w="40" w:type="dxa"/>
              <w:left w:w="260" w:type="dxa"/>
              <w:bottom w:w="40" w:type="dxa"/>
              <w:right w:w="20" w:type="dxa"/>
            </w:tcMar>
          </w:tcPr>
          <w:p w14:paraId="5C7C55E6" w14:textId="77777777" w:rsidR="0008009C" w:rsidRDefault="00936FDF">
            <w:pPr>
              <w:textAlignment w:val="top"/>
            </w:pPr>
            <w:r>
              <w:rPr>
                <w:rFonts w:ascii="Arial" w:eastAsia="宋体" w:hAnsi="Arial" w:cs="Arial"/>
                <w:color w:val="262626"/>
                <w:sz w:val="18"/>
                <w:szCs w:val="18"/>
              </w:rPr>
              <w:t>Amortization of intangibles</w:t>
            </w:r>
          </w:p>
        </w:tc>
        <w:tc>
          <w:tcPr>
            <w:tcW w:w="0" w:type="auto"/>
            <w:gridSpan w:val="3"/>
            <w:shd w:val="clear" w:color="auto" w:fill="auto"/>
            <w:tcMar>
              <w:top w:w="0" w:type="dxa"/>
              <w:left w:w="20" w:type="dxa"/>
              <w:bottom w:w="0" w:type="dxa"/>
              <w:right w:w="20" w:type="dxa"/>
            </w:tcMar>
          </w:tcPr>
          <w:p w14:paraId="5C7C55E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E8" w14:textId="77777777" w:rsidR="0008009C" w:rsidRDefault="00936FDF">
            <w:pPr>
              <w:jc w:val="right"/>
              <w:textAlignment w:val="bottom"/>
            </w:pPr>
            <w:r>
              <w:rPr>
                <w:rFonts w:ascii="Arial" w:eastAsia="宋体" w:hAnsi="Arial" w:cs="Arial"/>
                <w:color w:val="0068B5"/>
                <w:sz w:val="18"/>
                <w:szCs w:val="18"/>
              </w:rPr>
              <w:t>448 </w:t>
            </w:r>
          </w:p>
        </w:tc>
        <w:tc>
          <w:tcPr>
            <w:tcW w:w="0" w:type="auto"/>
            <w:shd w:val="clear" w:color="auto" w:fill="auto"/>
            <w:tcMar>
              <w:top w:w="40" w:type="dxa"/>
              <w:left w:w="0" w:type="dxa"/>
              <w:bottom w:w="40" w:type="dxa"/>
              <w:right w:w="20" w:type="dxa"/>
            </w:tcMar>
            <w:vAlign w:val="bottom"/>
          </w:tcPr>
          <w:p w14:paraId="5C7C55E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5E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EB" w14:textId="77777777" w:rsidR="0008009C" w:rsidRDefault="00936FDF">
            <w:pPr>
              <w:jc w:val="right"/>
              <w:textAlignment w:val="bottom"/>
            </w:pPr>
            <w:r>
              <w:rPr>
                <w:rFonts w:ascii="Arial" w:eastAsia="宋体" w:hAnsi="Arial" w:cs="Arial"/>
                <w:color w:val="262626"/>
                <w:sz w:val="18"/>
                <w:szCs w:val="18"/>
              </w:rPr>
              <w:t>427 </w:t>
            </w:r>
          </w:p>
        </w:tc>
        <w:tc>
          <w:tcPr>
            <w:tcW w:w="0" w:type="auto"/>
            <w:shd w:val="clear" w:color="auto" w:fill="auto"/>
            <w:tcMar>
              <w:top w:w="40" w:type="dxa"/>
              <w:left w:w="0" w:type="dxa"/>
              <w:bottom w:w="40" w:type="dxa"/>
              <w:right w:w="20" w:type="dxa"/>
            </w:tcMar>
            <w:vAlign w:val="bottom"/>
          </w:tcPr>
          <w:p w14:paraId="5C7C55EC" w14:textId="77777777" w:rsidR="0008009C" w:rsidRDefault="0008009C">
            <w:pPr>
              <w:jc w:val="right"/>
              <w:rPr>
                <w:rFonts w:ascii="宋体"/>
              </w:rPr>
            </w:pPr>
          </w:p>
        </w:tc>
      </w:tr>
      <w:tr w:rsidR="0008009C" w14:paraId="5C7C55F5" w14:textId="77777777">
        <w:tc>
          <w:tcPr>
            <w:tcW w:w="0" w:type="auto"/>
            <w:gridSpan w:val="3"/>
            <w:shd w:val="clear" w:color="auto" w:fill="auto"/>
            <w:tcMar>
              <w:top w:w="40" w:type="dxa"/>
              <w:left w:w="260" w:type="dxa"/>
              <w:bottom w:w="40" w:type="dxa"/>
              <w:right w:w="20" w:type="dxa"/>
            </w:tcMar>
          </w:tcPr>
          <w:p w14:paraId="5C7C55EE" w14:textId="77777777" w:rsidR="0008009C" w:rsidRDefault="00936FDF">
            <w:pPr>
              <w:textAlignment w:val="top"/>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tcPr>
          <w:p w14:paraId="5C7C55E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F0" w14:textId="77777777" w:rsidR="0008009C" w:rsidRDefault="00936FDF">
            <w:pPr>
              <w:jc w:val="right"/>
              <w:textAlignment w:val="bottom"/>
            </w:pPr>
            <w:r>
              <w:rPr>
                <w:rFonts w:ascii="Arial" w:eastAsia="宋体" w:hAnsi="Arial" w:cs="Arial"/>
                <w:color w:val="0068B5"/>
                <w:sz w:val="18"/>
                <w:szCs w:val="18"/>
              </w:rPr>
              <w:t>(299)</w:t>
            </w:r>
          </w:p>
        </w:tc>
        <w:tc>
          <w:tcPr>
            <w:tcW w:w="0" w:type="auto"/>
            <w:shd w:val="clear" w:color="auto" w:fill="auto"/>
            <w:tcMar>
              <w:top w:w="40" w:type="dxa"/>
              <w:left w:w="0" w:type="dxa"/>
              <w:bottom w:w="40" w:type="dxa"/>
              <w:right w:w="20" w:type="dxa"/>
            </w:tcMar>
            <w:vAlign w:val="bottom"/>
          </w:tcPr>
          <w:p w14:paraId="5C7C55F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5F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5F3" w14:textId="77777777" w:rsidR="0008009C" w:rsidRDefault="00936FDF">
            <w:pPr>
              <w:jc w:val="right"/>
              <w:textAlignment w:val="bottom"/>
            </w:pPr>
            <w:r>
              <w:rPr>
                <w:rFonts w:ascii="Arial" w:eastAsia="宋体" w:hAnsi="Arial" w:cs="Arial"/>
                <w:color w:val="262626"/>
                <w:sz w:val="18"/>
                <w:szCs w:val="18"/>
              </w:rPr>
              <w:t>134 </w:t>
            </w:r>
          </w:p>
        </w:tc>
        <w:tc>
          <w:tcPr>
            <w:tcW w:w="0" w:type="auto"/>
            <w:shd w:val="clear" w:color="auto" w:fill="auto"/>
            <w:tcMar>
              <w:top w:w="40" w:type="dxa"/>
              <w:left w:w="0" w:type="dxa"/>
              <w:bottom w:w="40" w:type="dxa"/>
              <w:right w:w="20" w:type="dxa"/>
            </w:tcMar>
            <w:vAlign w:val="bottom"/>
          </w:tcPr>
          <w:p w14:paraId="5C7C55F4" w14:textId="77777777" w:rsidR="0008009C" w:rsidRDefault="0008009C">
            <w:pPr>
              <w:jc w:val="right"/>
              <w:rPr>
                <w:rFonts w:ascii="宋体"/>
              </w:rPr>
            </w:pPr>
          </w:p>
        </w:tc>
      </w:tr>
      <w:tr w:rsidR="0008009C" w14:paraId="5C7C55FB" w14:textId="77777777">
        <w:trPr>
          <w:hidden/>
        </w:trPr>
        <w:tc>
          <w:tcPr>
            <w:tcW w:w="0" w:type="auto"/>
            <w:gridSpan w:val="3"/>
            <w:shd w:val="clear" w:color="auto" w:fill="auto"/>
          </w:tcPr>
          <w:p w14:paraId="5C7C55F6" w14:textId="77777777" w:rsidR="0008009C" w:rsidRDefault="0008009C">
            <w:pPr>
              <w:rPr>
                <w:rFonts w:ascii="宋体"/>
                <w:vanish/>
              </w:rPr>
            </w:pPr>
          </w:p>
        </w:tc>
        <w:tc>
          <w:tcPr>
            <w:tcW w:w="0" w:type="auto"/>
            <w:gridSpan w:val="3"/>
            <w:shd w:val="clear" w:color="auto" w:fill="auto"/>
          </w:tcPr>
          <w:p w14:paraId="5C7C55F7" w14:textId="77777777" w:rsidR="0008009C" w:rsidRDefault="0008009C">
            <w:pPr>
              <w:rPr>
                <w:rFonts w:ascii="宋体"/>
                <w:vanish/>
              </w:rPr>
            </w:pPr>
          </w:p>
        </w:tc>
        <w:tc>
          <w:tcPr>
            <w:tcW w:w="0" w:type="auto"/>
            <w:gridSpan w:val="3"/>
            <w:shd w:val="clear" w:color="auto" w:fill="auto"/>
          </w:tcPr>
          <w:p w14:paraId="5C7C55F8" w14:textId="77777777" w:rsidR="0008009C" w:rsidRDefault="0008009C">
            <w:pPr>
              <w:rPr>
                <w:rFonts w:ascii="宋体"/>
                <w:vanish/>
              </w:rPr>
            </w:pPr>
          </w:p>
        </w:tc>
        <w:tc>
          <w:tcPr>
            <w:tcW w:w="0" w:type="auto"/>
            <w:gridSpan w:val="3"/>
            <w:shd w:val="clear" w:color="auto" w:fill="auto"/>
          </w:tcPr>
          <w:p w14:paraId="5C7C55F9" w14:textId="77777777" w:rsidR="0008009C" w:rsidRDefault="0008009C">
            <w:pPr>
              <w:rPr>
                <w:rFonts w:ascii="宋体"/>
                <w:vanish/>
              </w:rPr>
            </w:pPr>
          </w:p>
        </w:tc>
        <w:tc>
          <w:tcPr>
            <w:tcW w:w="0" w:type="auto"/>
            <w:gridSpan w:val="3"/>
            <w:shd w:val="clear" w:color="auto" w:fill="auto"/>
          </w:tcPr>
          <w:p w14:paraId="5C7C55FA" w14:textId="77777777" w:rsidR="0008009C" w:rsidRDefault="0008009C">
            <w:pPr>
              <w:rPr>
                <w:rFonts w:ascii="宋体"/>
                <w:vanish/>
              </w:rPr>
            </w:pPr>
          </w:p>
        </w:tc>
      </w:tr>
      <w:tr w:rsidR="0008009C" w14:paraId="5C7C5601" w14:textId="77777777">
        <w:trPr>
          <w:hidden/>
        </w:trPr>
        <w:tc>
          <w:tcPr>
            <w:tcW w:w="0" w:type="auto"/>
            <w:gridSpan w:val="3"/>
            <w:shd w:val="clear" w:color="auto" w:fill="auto"/>
          </w:tcPr>
          <w:p w14:paraId="5C7C55FC" w14:textId="77777777" w:rsidR="0008009C" w:rsidRDefault="0008009C">
            <w:pPr>
              <w:rPr>
                <w:rFonts w:ascii="宋体"/>
                <w:vanish/>
              </w:rPr>
            </w:pPr>
          </w:p>
        </w:tc>
        <w:tc>
          <w:tcPr>
            <w:tcW w:w="0" w:type="auto"/>
            <w:gridSpan w:val="3"/>
            <w:shd w:val="clear" w:color="auto" w:fill="auto"/>
          </w:tcPr>
          <w:p w14:paraId="5C7C55FD" w14:textId="77777777" w:rsidR="0008009C" w:rsidRDefault="0008009C">
            <w:pPr>
              <w:rPr>
                <w:rFonts w:ascii="宋体"/>
                <w:vanish/>
              </w:rPr>
            </w:pPr>
          </w:p>
        </w:tc>
        <w:tc>
          <w:tcPr>
            <w:tcW w:w="0" w:type="auto"/>
            <w:gridSpan w:val="3"/>
            <w:shd w:val="clear" w:color="auto" w:fill="auto"/>
          </w:tcPr>
          <w:p w14:paraId="5C7C55FE" w14:textId="77777777" w:rsidR="0008009C" w:rsidRDefault="0008009C">
            <w:pPr>
              <w:rPr>
                <w:rFonts w:ascii="宋体"/>
                <w:vanish/>
              </w:rPr>
            </w:pPr>
          </w:p>
        </w:tc>
        <w:tc>
          <w:tcPr>
            <w:tcW w:w="0" w:type="auto"/>
            <w:gridSpan w:val="3"/>
            <w:shd w:val="clear" w:color="auto" w:fill="auto"/>
          </w:tcPr>
          <w:p w14:paraId="5C7C55FF" w14:textId="77777777" w:rsidR="0008009C" w:rsidRDefault="0008009C">
            <w:pPr>
              <w:rPr>
                <w:rFonts w:ascii="宋体"/>
                <w:vanish/>
              </w:rPr>
            </w:pPr>
          </w:p>
        </w:tc>
        <w:tc>
          <w:tcPr>
            <w:tcW w:w="0" w:type="auto"/>
            <w:gridSpan w:val="3"/>
            <w:shd w:val="clear" w:color="auto" w:fill="auto"/>
          </w:tcPr>
          <w:p w14:paraId="5C7C5600" w14:textId="77777777" w:rsidR="0008009C" w:rsidRDefault="0008009C">
            <w:pPr>
              <w:rPr>
                <w:rFonts w:ascii="宋体"/>
                <w:vanish/>
              </w:rPr>
            </w:pPr>
          </w:p>
        </w:tc>
      </w:tr>
      <w:tr w:rsidR="0008009C" w14:paraId="5C7C5607" w14:textId="77777777">
        <w:trPr>
          <w:hidden/>
        </w:trPr>
        <w:tc>
          <w:tcPr>
            <w:tcW w:w="0" w:type="auto"/>
            <w:gridSpan w:val="3"/>
            <w:shd w:val="clear" w:color="auto" w:fill="auto"/>
          </w:tcPr>
          <w:p w14:paraId="5C7C5602" w14:textId="77777777" w:rsidR="0008009C" w:rsidRDefault="0008009C">
            <w:pPr>
              <w:rPr>
                <w:rFonts w:ascii="宋体"/>
                <w:vanish/>
              </w:rPr>
            </w:pPr>
          </w:p>
        </w:tc>
        <w:tc>
          <w:tcPr>
            <w:tcW w:w="0" w:type="auto"/>
            <w:gridSpan w:val="3"/>
            <w:shd w:val="clear" w:color="auto" w:fill="auto"/>
          </w:tcPr>
          <w:p w14:paraId="5C7C5603" w14:textId="77777777" w:rsidR="0008009C" w:rsidRDefault="0008009C">
            <w:pPr>
              <w:rPr>
                <w:rFonts w:ascii="宋体"/>
                <w:vanish/>
              </w:rPr>
            </w:pPr>
          </w:p>
        </w:tc>
        <w:tc>
          <w:tcPr>
            <w:tcW w:w="0" w:type="auto"/>
            <w:gridSpan w:val="3"/>
            <w:shd w:val="clear" w:color="auto" w:fill="auto"/>
          </w:tcPr>
          <w:p w14:paraId="5C7C5604" w14:textId="77777777" w:rsidR="0008009C" w:rsidRDefault="0008009C">
            <w:pPr>
              <w:rPr>
                <w:rFonts w:ascii="宋体"/>
                <w:vanish/>
              </w:rPr>
            </w:pPr>
          </w:p>
        </w:tc>
        <w:tc>
          <w:tcPr>
            <w:tcW w:w="0" w:type="auto"/>
            <w:gridSpan w:val="3"/>
            <w:shd w:val="clear" w:color="auto" w:fill="auto"/>
          </w:tcPr>
          <w:p w14:paraId="5C7C5605" w14:textId="77777777" w:rsidR="0008009C" w:rsidRDefault="0008009C">
            <w:pPr>
              <w:rPr>
                <w:rFonts w:ascii="宋体"/>
                <w:vanish/>
              </w:rPr>
            </w:pPr>
          </w:p>
        </w:tc>
        <w:tc>
          <w:tcPr>
            <w:tcW w:w="0" w:type="auto"/>
            <w:gridSpan w:val="3"/>
            <w:shd w:val="clear" w:color="auto" w:fill="auto"/>
          </w:tcPr>
          <w:p w14:paraId="5C7C5606" w14:textId="77777777" w:rsidR="0008009C" w:rsidRDefault="0008009C">
            <w:pPr>
              <w:rPr>
                <w:rFonts w:ascii="宋体"/>
                <w:vanish/>
              </w:rPr>
            </w:pPr>
          </w:p>
        </w:tc>
      </w:tr>
      <w:tr w:rsidR="0008009C" w14:paraId="5C7C560D" w14:textId="77777777">
        <w:tc>
          <w:tcPr>
            <w:tcW w:w="0" w:type="auto"/>
            <w:gridSpan w:val="3"/>
            <w:shd w:val="clear" w:color="auto" w:fill="auto"/>
            <w:tcMar>
              <w:top w:w="40" w:type="dxa"/>
              <w:left w:w="260" w:type="dxa"/>
              <w:bottom w:w="40" w:type="dxa"/>
              <w:right w:w="20" w:type="dxa"/>
            </w:tcMar>
          </w:tcPr>
          <w:p w14:paraId="5C7C5608" w14:textId="77777777" w:rsidR="0008009C" w:rsidRDefault="00936FDF">
            <w:pPr>
              <w:textAlignment w:val="top"/>
            </w:pPr>
            <w:r>
              <w:rPr>
                <w:rFonts w:ascii="Arial" w:eastAsia="宋体" w:hAnsi="Arial" w:cs="Arial"/>
                <w:color w:val="262626"/>
                <w:sz w:val="18"/>
                <w:szCs w:val="18"/>
              </w:rPr>
              <w:t>Changes in assets and liabilities:</w:t>
            </w:r>
          </w:p>
        </w:tc>
        <w:tc>
          <w:tcPr>
            <w:tcW w:w="0" w:type="auto"/>
            <w:gridSpan w:val="3"/>
            <w:shd w:val="clear" w:color="auto" w:fill="auto"/>
            <w:tcMar>
              <w:top w:w="0" w:type="dxa"/>
              <w:left w:w="20" w:type="dxa"/>
              <w:bottom w:w="0" w:type="dxa"/>
              <w:right w:w="20" w:type="dxa"/>
            </w:tcMar>
          </w:tcPr>
          <w:p w14:paraId="5C7C560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60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60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60C" w14:textId="77777777" w:rsidR="0008009C" w:rsidRDefault="0008009C">
            <w:pPr>
              <w:rPr>
                <w:rFonts w:ascii="宋体"/>
              </w:rPr>
            </w:pPr>
          </w:p>
        </w:tc>
      </w:tr>
      <w:tr w:rsidR="0008009C" w14:paraId="5C7C5615" w14:textId="77777777">
        <w:tc>
          <w:tcPr>
            <w:tcW w:w="0" w:type="auto"/>
            <w:gridSpan w:val="3"/>
            <w:shd w:val="clear" w:color="auto" w:fill="auto"/>
            <w:tcMar>
              <w:top w:w="40" w:type="dxa"/>
              <w:left w:w="380" w:type="dxa"/>
              <w:bottom w:w="40" w:type="dxa"/>
              <w:right w:w="20" w:type="dxa"/>
            </w:tcMar>
          </w:tcPr>
          <w:p w14:paraId="5C7C560E" w14:textId="77777777" w:rsidR="0008009C" w:rsidRDefault="00936FDF">
            <w:pPr>
              <w:textAlignment w:val="top"/>
            </w:pPr>
            <w:r>
              <w:rPr>
                <w:rFonts w:ascii="Arial" w:eastAsia="宋体" w:hAnsi="Arial" w:cs="Arial"/>
                <w:color w:val="262626"/>
                <w:sz w:val="18"/>
                <w:szCs w:val="18"/>
              </w:rPr>
              <w:t>Accounts receivable</w:t>
            </w:r>
          </w:p>
        </w:tc>
        <w:tc>
          <w:tcPr>
            <w:tcW w:w="0" w:type="auto"/>
            <w:gridSpan w:val="3"/>
            <w:shd w:val="clear" w:color="auto" w:fill="auto"/>
            <w:tcMar>
              <w:top w:w="0" w:type="dxa"/>
              <w:left w:w="20" w:type="dxa"/>
              <w:bottom w:w="0" w:type="dxa"/>
              <w:right w:w="20" w:type="dxa"/>
            </w:tcMar>
          </w:tcPr>
          <w:p w14:paraId="5C7C560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10" w14:textId="77777777" w:rsidR="0008009C" w:rsidRDefault="00936FDF">
            <w:pPr>
              <w:jc w:val="right"/>
              <w:textAlignment w:val="bottom"/>
            </w:pPr>
            <w:r>
              <w:rPr>
                <w:rFonts w:ascii="Arial" w:eastAsia="宋体" w:hAnsi="Arial" w:cs="Arial"/>
                <w:color w:val="0068B5"/>
                <w:sz w:val="18"/>
                <w:szCs w:val="18"/>
              </w:rPr>
              <w:t>(426)</w:t>
            </w:r>
          </w:p>
        </w:tc>
        <w:tc>
          <w:tcPr>
            <w:tcW w:w="0" w:type="auto"/>
            <w:shd w:val="clear" w:color="auto" w:fill="auto"/>
            <w:tcMar>
              <w:top w:w="40" w:type="dxa"/>
              <w:left w:w="0" w:type="dxa"/>
              <w:bottom w:w="40" w:type="dxa"/>
              <w:right w:w="20" w:type="dxa"/>
            </w:tcMar>
            <w:vAlign w:val="bottom"/>
          </w:tcPr>
          <w:p w14:paraId="5C7C561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1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13" w14:textId="77777777" w:rsidR="0008009C" w:rsidRDefault="00936FDF">
            <w:pPr>
              <w:jc w:val="right"/>
              <w:textAlignment w:val="bottom"/>
            </w:pPr>
            <w:r>
              <w:rPr>
                <w:rFonts w:ascii="Arial" w:eastAsia="宋体" w:hAnsi="Arial" w:cs="Arial"/>
                <w:color w:val="262626"/>
                <w:sz w:val="18"/>
                <w:szCs w:val="18"/>
              </w:rPr>
              <w:t>(796)</w:t>
            </w:r>
          </w:p>
        </w:tc>
        <w:tc>
          <w:tcPr>
            <w:tcW w:w="0" w:type="auto"/>
            <w:shd w:val="clear" w:color="auto" w:fill="auto"/>
            <w:tcMar>
              <w:top w:w="40" w:type="dxa"/>
              <w:left w:w="0" w:type="dxa"/>
              <w:bottom w:w="40" w:type="dxa"/>
              <w:right w:w="20" w:type="dxa"/>
            </w:tcMar>
            <w:vAlign w:val="bottom"/>
          </w:tcPr>
          <w:p w14:paraId="5C7C5614" w14:textId="77777777" w:rsidR="0008009C" w:rsidRDefault="0008009C">
            <w:pPr>
              <w:jc w:val="right"/>
              <w:rPr>
                <w:rFonts w:ascii="宋体"/>
              </w:rPr>
            </w:pPr>
          </w:p>
        </w:tc>
      </w:tr>
      <w:tr w:rsidR="0008009C" w14:paraId="5C7C561D" w14:textId="77777777">
        <w:tc>
          <w:tcPr>
            <w:tcW w:w="0" w:type="auto"/>
            <w:gridSpan w:val="3"/>
            <w:shd w:val="clear" w:color="auto" w:fill="auto"/>
            <w:tcMar>
              <w:top w:w="40" w:type="dxa"/>
              <w:left w:w="380" w:type="dxa"/>
              <w:bottom w:w="40" w:type="dxa"/>
              <w:right w:w="20" w:type="dxa"/>
            </w:tcMar>
          </w:tcPr>
          <w:p w14:paraId="5C7C5616" w14:textId="77777777" w:rsidR="0008009C" w:rsidRDefault="00936FDF">
            <w:pPr>
              <w:textAlignment w:val="top"/>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tcPr>
          <w:p w14:paraId="5C7C561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18" w14:textId="77777777" w:rsidR="0008009C" w:rsidRDefault="00936FDF">
            <w:pPr>
              <w:jc w:val="right"/>
              <w:textAlignment w:val="bottom"/>
            </w:pPr>
            <w:r>
              <w:rPr>
                <w:rFonts w:ascii="Arial" w:eastAsia="宋体" w:hAnsi="Arial" w:cs="Arial"/>
                <w:color w:val="0068B5"/>
                <w:sz w:val="18"/>
                <w:szCs w:val="18"/>
              </w:rPr>
              <w:t>180 </w:t>
            </w:r>
          </w:p>
        </w:tc>
        <w:tc>
          <w:tcPr>
            <w:tcW w:w="0" w:type="auto"/>
            <w:shd w:val="clear" w:color="auto" w:fill="auto"/>
            <w:tcMar>
              <w:top w:w="40" w:type="dxa"/>
              <w:left w:w="0" w:type="dxa"/>
              <w:bottom w:w="40" w:type="dxa"/>
              <w:right w:w="20" w:type="dxa"/>
            </w:tcMar>
            <w:vAlign w:val="bottom"/>
          </w:tcPr>
          <w:p w14:paraId="5C7C561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1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1B" w14:textId="77777777" w:rsidR="0008009C" w:rsidRDefault="00936FDF">
            <w:pPr>
              <w:jc w:val="right"/>
              <w:textAlignment w:val="bottom"/>
            </w:pPr>
            <w:r>
              <w:rPr>
                <w:rFonts w:ascii="Arial" w:eastAsia="宋体" w:hAnsi="Arial" w:cs="Arial"/>
                <w:color w:val="262626"/>
                <w:sz w:val="18"/>
                <w:szCs w:val="18"/>
              </w:rPr>
              <w:t>(548)</w:t>
            </w:r>
          </w:p>
        </w:tc>
        <w:tc>
          <w:tcPr>
            <w:tcW w:w="0" w:type="auto"/>
            <w:shd w:val="clear" w:color="auto" w:fill="auto"/>
            <w:tcMar>
              <w:top w:w="40" w:type="dxa"/>
              <w:left w:w="0" w:type="dxa"/>
              <w:bottom w:w="40" w:type="dxa"/>
              <w:right w:w="20" w:type="dxa"/>
            </w:tcMar>
            <w:vAlign w:val="bottom"/>
          </w:tcPr>
          <w:p w14:paraId="5C7C561C" w14:textId="77777777" w:rsidR="0008009C" w:rsidRDefault="0008009C">
            <w:pPr>
              <w:jc w:val="right"/>
              <w:rPr>
                <w:rFonts w:ascii="宋体"/>
              </w:rPr>
            </w:pPr>
          </w:p>
        </w:tc>
      </w:tr>
      <w:tr w:rsidR="0008009C" w14:paraId="5C7C5625" w14:textId="77777777">
        <w:tc>
          <w:tcPr>
            <w:tcW w:w="0" w:type="auto"/>
            <w:gridSpan w:val="3"/>
            <w:shd w:val="clear" w:color="auto" w:fill="auto"/>
            <w:tcMar>
              <w:top w:w="40" w:type="dxa"/>
              <w:left w:w="380" w:type="dxa"/>
              <w:bottom w:w="40" w:type="dxa"/>
              <w:right w:w="20" w:type="dxa"/>
            </w:tcMar>
          </w:tcPr>
          <w:p w14:paraId="5C7C561E" w14:textId="77777777" w:rsidR="0008009C" w:rsidRDefault="00936FDF">
            <w:pPr>
              <w:textAlignment w:val="top"/>
            </w:pPr>
            <w:r>
              <w:rPr>
                <w:rFonts w:ascii="Arial" w:eastAsia="宋体" w:hAnsi="Arial" w:cs="Arial"/>
                <w:color w:val="262626"/>
                <w:sz w:val="18"/>
                <w:szCs w:val="18"/>
              </w:rPr>
              <w:t>Accounts payable</w:t>
            </w:r>
          </w:p>
        </w:tc>
        <w:tc>
          <w:tcPr>
            <w:tcW w:w="0" w:type="auto"/>
            <w:gridSpan w:val="3"/>
            <w:shd w:val="clear" w:color="auto" w:fill="auto"/>
            <w:tcMar>
              <w:top w:w="0" w:type="dxa"/>
              <w:left w:w="20" w:type="dxa"/>
              <w:bottom w:w="0" w:type="dxa"/>
              <w:right w:w="20" w:type="dxa"/>
            </w:tcMar>
          </w:tcPr>
          <w:p w14:paraId="5C7C561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20" w14:textId="77777777" w:rsidR="0008009C" w:rsidRDefault="00936FDF">
            <w:pPr>
              <w:jc w:val="right"/>
              <w:textAlignment w:val="bottom"/>
            </w:pPr>
            <w:r>
              <w:rPr>
                <w:rFonts w:ascii="Arial" w:eastAsia="宋体" w:hAnsi="Arial" w:cs="Arial"/>
                <w:color w:val="0068B5"/>
                <w:sz w:val="18"/>
                <w:szCs w:val="18"/>
              </w:rPr>
              <w:t>303 </w:t>
            </w:r>
          </w:p>
        </w:tc>
        <w:tc>
          <w:tcPr>
            <w:tcW w:w="0" w:type="auto"/>
            <w:shd w:val="clear" w:color="auto" w:fill="auto"/>
            <w:tcMar>
              <w:top w:w="40" w:type="dxa"/>
              <w:left w:w="0" w:type="dxa"/>
              <w:bottom w:w="40" w:type="dxa"/>
              <w:right w:w="20" w:type="dxa"/>
            </w:tcMar>
            <w:vAlign w:val="bottom"/>
          </w:tcPr>
          <w:p w14:paraId="5C7C562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2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23" w14:textId="77777777" w:rsidR="0008009C" w:rsidRDefault="00936FDF">
            <w:pPr>
              <w:jc w:val="right"/>
              <w:textAlignment w:val="bottom"/>
            </w:pPr>
            <w:r>
              <w:rPr>
                <w:rFonts w:ascii="Arial" w:eastAsia="宋体" w:hAnsi="Arial" w:cs="Arial"/>
                <w:color w:val="262626"/>
                <w:sz w:val="18"/>
                <w:szCs w:val="18"/>
              </w:rPr>
              <w:t>117 </w:t>
            </w:r>
          </w:p>
        </w:tc>
        <w:tc>
          <w:tcPr>
            <w:tcW w:w="0" w:type="auto"/>
            <w:shd w:val="clear" w:color="auto" w:fill="auto"/>
            <w:tcMar>
              <w:top w:w="40" w:type="dxa"/>
              <w:left w:w="0" w:type="dxa"/>
              <w:bottom w:w="40" w:type="dxa"/>
              <w:right w:w="20" w:type="dxa"/>
            </w:tcMar>
            <w:vAlign w:val="bottom"/>
          </w:tcPr>
          <w:p w14:paraId="5C7C5624" w14:textId="77777777" w:rsidR="0008009C" w:rsidRDefault="0008009C">
            <w:pPr>
              <w:jc w:val="right"/>
              <w:rPr>
                <w:rFonts w:ascii="宋体"/>
              </w:rPr>
            </w:pPr>
          </w:p>
        </w:tc>
      </w:tr>
      <w:tr w:rsidR="0008009C" w14:paraId="5C7C562D" w14:textId="77777777">
        <w:tc>
          <w:tcPr>
            <w:tcW w:w="0" w:type="auto"/>
            <w:gridSpan w:val="3"/>
            <w:shd w:val="clear" w:color="auto" w:fill="auto"/>
            <w:tcMar>
              <w:top w:w="40" w:type="dxa"/>
              <w:left w:w="380" w:type="dxa"/>
              <w:bottom w:w="40" w:type="dxa"/>
              <w:right w:w="20" w:type="dxa"/>
            </w:tcMar>
          </w:tcPr>
          <w:p w14:paraId="5C7C5626" w14:textId="77777777" w:rsidR="0008009C" w:rsidRDefault="00936FDF">
            <w:pPr>
              <w:textAlignment w:val="top"/>
            </w:pPr>
            <w:r>
              <w:rPr>
                <w:rFonts w:ascii="Arial" w:eastAsia="宋体" w:hAnsi="Arial" w:cs="Arial"/>
                <w:color w:val="262626"/>
                <w:sz w:val="18"/>
                <w:szCs w:val="18"/>
              </w:rPr>
              <w:t xml:space="preserve">Accrued compensation and </w:t>
            </w:r>
            <w:r>
              <w:rPr>
                <w:rFonts w:ascii="Arial" w:eastAsia="宋体" w:hAnsi="Arial" w:cs="Arial"/>
                <w:color w:val="262626"/>
                <w:sz w:val="18"/>
                <w:szCs w:val="18"/>
              </w:rPr>
              <w:t>benefits</w:t>
            </w:r>
          </w:p>
        </w:tc>
        <w:tc>
          <w:tcPr>
            <w:tcW w:w="0" w:type="auto"/>
            <w:gridSpan w:val="3"/>
            <w:shd w:val="clear" w:color="auto" w:fill="auto"/>
            <w:tcMar>
              <w:top w:w="0" w:type="dxa"/>
              <w:left w:w="20" w:type="dxa"/>
              <w:bottom w:w="0" w:type="dxa"/>
              <w:right w:w="20" w:type="dxa"/>
            </w:tcMar>
          </w:tcPr>
          <w:p w14:paraId="5C7C562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28" w14:textId="77777777" w:rsidR="0008009C" w:rsidRDefault="00936FDF">
            <w:pPr>
              <w:jc w:val="right"/>
              <w:textAlignment w:val="bottom"/>
            </w:pPr>
            <w:r>
              <w:rPr>
                <w:rFonts w:ascii="Arial" w:eastAsia="宋体" w:hAnsi="Arial" w:cs="Arial"/>
                <w:color w:val="0068B5"/>
                <w:sz w:val="18"/>
                <w:szCs w:val="18"/>
              </w:rPr>
              <w:t>(1,283)</w:t>
            </w:r>
          </w:p>
        </w:tc>
        <w:tc>
          <w:tcPr>
            <w:tcW w:w="0" w:type="auto"/>
            <w:shd w:val="clear" w:color="auto" w:fill="auto"/>
            <w:tcMar>
              <w:top w:w="40" w:type="dxa"/>
              <w:left w:w="0" w:type="dxa"/>
              <w:bottom w:w="40" w:type="dxa"/>
              <w:right w:w="20" w:type="dxa"/>
            </w:tcMar>
            <w:vAlign w:val="bottom"/>
          </w:tcPr>
          <w:p w14:paraId="5C7C562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2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2B" w14:textId="77777777" w:rsidR="0008009C" w:rsidRDefault="00936FDF">
            <w:pPr>
              <w:jc w:val="right"/>
              <w:textAlignment w:val="bottom"/>
            </w:pPr>
            <w:r>
              <w:rPr>
                <w:rFonts w:ascii="Arial" w:eastAsia="宋体" w:hAnsi="Arial" w:cs="Arial"/>
                <w:color w:val="262626"/>
                <w:sz w:val="18"/>
                <w:szCs w:val="18"/>
              </w:rPr>
              <w:t>(1,605)</w:t>
            </w:r>
          </w:p>
        </w:tc>
        <w:tc>
          <w:tcPr>
            <w:tcW w:w="0" w:type="auto"/>
            <w:shd w:val="clear" w:color="auto" w:fill="auto"/>
            <w:tcMar>
              <w:top w:w="40" w:type="dxa"/>
              <w:left w:w="0" w:type="dxa"/>
              <w:bottom w:w="40" w:type="dxa"/>
              <w:right w:w="20" w:type="dxa"/>
            </w:tcMar>
            <w:vAlign w:val="bottom"/>
          </w:tcPr>
          <w:p w14:paraId="5C7C562C" w14:textId="77777777" w:rsidR="0008009C" w:rsidRDefault="0008009C">
            <w:pPr>
              <w:jc w:val="right"/>
              <w:rPr>
                <w:rFonts w:ascii="宋体"/>
              </w:rPr>
            </w:pPr>
          </w:p>
        </w:tc>
      </w:tr>
      <w:tr w:rsidR="0008009C" w14:paraId="5C7C5635" w14:textId="77777777">
        <w:tc>
          <w:tcPr>
            <w:tcW w:w="0" w:type="auto"/>
            <w:gridSpan w:val="3"/>
            <w:shd w:val="clear" w:color="auto" w:fill="auto"/>
            <w:tcMar>
              <w:top w:w="40" w:type="dxa"/>
              <w:left w:w="380" w:type="dxa"/>
              <w:bottom w:w="40" w:type="dxa"/>
              <w:right w:w="20" w:type="dxa"/>
            </w:tcMar>
          </w:tcPr>
          <w:p w14:paraId="5C7C562E" w14:textId="77777777" w:rsidR="0008009C" w:rsidRDefault="00936FDF">
            <w:pPr>
              <w:textAlignment w:val="top"/>
            </w:pPr>
            <w:r>
              <w:rPr>
                <w:rFonts w:ascii="Arial" w:eastAsia="宋体" w:hAnsi="Arial" w:cs="Arial"/>
                <w:color w:val="262626"/>
                <w:sz w:val="18"/>
                <w:szCs w:val="18"/>
              </w:rPr>
              <w:t>Prepaid supply agreements</w:t>
            </w:r>
          </w:p>
        </w:tc>
        <w:tc>
          <w:tcPr>
            <w:tcW w:w="0" w:type="auto"/>
            <w:gridSpan w:val="3"/>
            <w:shd w:val="clear" w:color="auto" w:fill="auto"/>
            <w:tcMar>
              <w:top w:w="0" w:type="dxa"/>
              <w:left w:w="20" w:type="dxa"/>
              <w:bottom w:w="0" w:type="dxa"/>
              <w:right w:w="20" w:type="dxa"/>
            </w:tcMar>
          </w:tcPr>
          <w:p w14:paraId="5C7C562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30" w14:textId="77777777" w:rsidR="0008009C" w:rsidRDefault="00936FDF">
            <w:pPr>
              <w:jc w:val="right"/>
              <w:textAlignment w:val="bottom"/>
            </w:pPr>
            <w:r>
              <w:rPr>
                <w:rFonts w:ascii="Arial" w:eastAsia="宋体" w:hAnsi="Arial" w:cs="Arial"/>
                <w:color w:val="0068B5"/>
                <w:sz w:val="18"/>
                <w:szCs w:val="18"/>
              </w:rPr>
              <w:t>(1,566)</w:t>
            </w:r>
          </w:p>
        </w:tc>
        <w:tc>
          <w:tcPr>
            <w:tcW w:w="0" w:type="auto"/>
            <w:shd w:val="clear" w:color="auto" w:fill="auto"/>
            <w:tcMar>
              <w:top w:w="40" w:type="dxa"/>
              <w:left w:w="0" w:type="dxa"/>
              <w:bottom w:w="40" w:type="dxa"/>
              <w:right w:w="20" w:type="dxa"/>
            </w:tcMar>
            <w:vAlign w:val="bottom"/>
          </w:tcPr>
          <w:p w14:paraId="5C7C563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3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33" w14:textId="77777777" w:rsidR="0008009C" w:rsidRDefault="00936FDF">
            <w:pPr>
              <w:jc w:val="right"/>
              <w:textAlignment w:val="bottom"/>
            </w:pPr>
            <w:r>
              <w:rPr>
                <w:rFonts w:ascii="Arial" w:eastAsia="宋体" w:hAnsi="Arial" w:cs="Arial"/>
                <w:color w:val="262626"/>
                <w:sz w:val="18"/>
                <w:szCs w:val="18"/>
              </w:rPr>
              <w:t>(87)</w:t>
            </w:r>
          </w:p>
        </w:tc>
        <w:tc>
          <w:tcPr>
            <w:tcW w:w="0" w:type="auto"/>
            <w:shd w:val="clear" w:color="auto" w:fill="auto"/>
            <w:tcMar>
              <w:top w:w="40" w:type="dxa"/>
              <w:left w:w="0" w:type="dxa"/>
              <w:bottom w:w="40" w:type="dxa"/>
              <w:right w:w="20" w:type="dxa"/>
            </w:tcMar>
            <w:vAlign w:val="bottom"/>
          </w:tcPr>
          <w:p w14:paraId="5C7C5634" w14:textId="77777777" w:rsidR="0008009C" w:rsidRDefault="0008009C">
            <w:pPr>
              <w:jc w:val="right"/>
              <w:rPr>
                <w:rFonts w:ascii="宋体"/>
              </w:rPr>
            </w:pPr>
          </w:p>
        </w:tc>
      </w:tr>
      <w:tr w:rsidR="0008009C" w14:paraId="5C7C563D" w14:textId="77777777">
        <w:tc>
          <w:tcPr>
            <w:tcW w:w="0" w:type="auto"/>
            <w:gridSpan w:val="3"/>
            <w:shd w:val="clear" w:color="auto" w:fill="auto"/>
            <w:tcMar>
              <w:top w:w="40" w:type="dxa"/>
              <w:left w:w="380" w:type="dxa"/>
              <w:bottom w:w="40" w:type="dxa"/>
              <w:right w:w="20" w:type="dxa"/>
            </w:tcMar>
          </w:tcPr>
          <w:p w14:paraId="5C7C5636" w14:textId="77777777" w:rsidR="0008009C" w:rsidRDefault="00936FDF">
            <w:pPr>
              <w:textAlignment w:val="top"/>
            </w:pPr>
            <w:r>
              <w:rPr>
                <w:rFonts w:ascii="Arial" w:eastAsia="宋体" w:hAnsi="Arial" w:cs="Arial"/>
                <w:color w:val="262626"/>
                <w:sz w:val="18"/>
                <w:szCs w:val="18"/>
              </w:rPr>
              <w:t>Income taxes</w:t>
            </w:r>
          </w:p>
        </w:tc>
        <w:tc>
          <w:tcPr>
            <w:tcW w:w="0" w:type="auto"/>
            <w:gridSpan w:val="3"/>
            <w:shd w:val="clear" w:color="auto" w:fill="auto"/>
            <w:tcMar>
              <w:top w:w="0" w:type="dxa"/>
              <w:left w:w="20" w:type="dxa"/>
              <w:bottom w:w="0" w:type="dxa"/>
              <w:right w:w="20" w:type="dxa"/>
            </w:tcMar>
          </w:tcPr>
          <w:p w14:paraId="5C7C563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38" w14:textId="77777777" w:rsidR="0008009C" w:rsidRDefault="00936FDF">
            <w:pPr>
              <w:jc w:val="right"/>
              <w:textAlignment w:val="bottom"/>
            </w:pPr>
            <w:r>
              <w:rPr>
                <w:rFonts w:ascii="Arial" w:eastAsia="宋体" w:hAnsi="Arial" w:cs="Arial"/>
                <w:color w:val="0068B5"/>
                <w:sz w:val="18"/>
                <w:szCs w:val="18"/>
              </w:rPr>
              <w:t>383 </w:t>
            </w:r>
          </w:p>
        </w:tc>
        <w:tc>
          <w:tcPr>
            <w:tcW w:w="0" w:type="auto"/>
            <w:shd w:val="clear" w:color="auto" w:fill="auto"/>
            <w:tcMar>
              <w:top w:w="40" w:type="dxa"/>
              <w:left w:w="0" w:type="dxa"/>
              <w:bottom w:w="40" w:type="dxa"/>
              <w:right w:w="20" w:type="dxa"/>
            </w:tcMar>
            <w:vAlign w:val="bottom"/>
          </w:tcPr>
          <w:p w14:paraId="5C7C563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3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3B" w14:textId="77777777" w:rsidR="0008009C" w:rsidRDefault="00936FDF">
            <w:pPr>
              <w:jc w:val="right"/>
              <w:textAlignment w:val="bottom"/>
            </w:pPr>
            <w:r>
              <w:rPr>
                <w:rFonts w:ascii="Arial" w:eastAsia="宋体" w:hAnsi="Arial" w:cs="Arial"/>
                <w:color w:val="262626"/>
                <w:sz w:val="18"/>
                <w:szCs w:val="18"/>
              </w:rPr>
              <w:t>753 </w:t>
            </w:r>
          </w:p>
        </w:tc>
        <w:tc>
          <w:tcPr>
            <w:tcW w:w="0" w:type="auto"/>
            <w:shd w:val="clear" w:color="auto" w:fill="auto"/>
            <w:tcMar>
              <w:top w:w="40" w:type="dxa"/>
              <w:left w:w="0" w:type="dxa"/>
              <w:bottom w:w="40" w:type="dxa"/>
              <w:right w:w="20" w:type="dxa"/>
            </w:tcMar>
            <w:vAlign w:val="bottom"/>
          </w:tcPr>
          <w:p w14:paraId="5C7C563C" w14:textId="77777777" w:rsidR="0008009C" w:rsidRDefault="0008009C">
            <w:pPr>
              <w:jc w:val="right"/>
              <w:rPr>
                <w:rFonts w:ascii="宋体"/>
              </w:rPr>
            </w:pPr>
          </w:p>
        </w:tc>
      </w:tr>
      <w:tr w:rsidR="0008009C" w14:paraId="5C7C5645" w14:textId="77777777">
        <w:tc>
          <w:tcPr>
            <w:tcW w:w="0" w:type="auto"/>
            <w:gridSpan w:val="3"/>
            <w:shd w:val="clear" w:color="auto" w:fill="auto"/>
            <w:tcMar>
              <w:top w:w="40" w:type="dxa"/>
              <w:left w:w="380" w:type="dxa"/>
              <w:bottom w:w="40" w:type="dxa"/>
              <w:right w:w="20" w:type="dxa"/>
            </w:tcMar>
          </w:tcPr>
          <w:p w14:paraId="5C7C563E" w14:textId="77777777" w:rsidR="0008009C" w:rsidRDefault="00936FDF">
            <w:pPr>
              <w:textAlignment w:val="top"/>
            </w:pPr>
            <w:r>
              <w:rPr>
                <w:rFonts w:ascii="Arial" w:eastAsia="宋体" w:hAnsi="Arial" w:cs="Arial"/>
                <w:color w:val="262626"/>
                <w:sz w:val="18"/>
                <w:szCs w:val="18"/>
              </w:rPr>
              <w:t>Other assets and liabilities</w:t>
            </w:r>
          </w:p>
        </w:tc>
        <w:tc>
          <w:tcPr>
            <w:tcW w:w="0" w:type="auto"/>
            <w:gridSpan w:val="3"/>
            <w:shd w:val="clear" w:color="auto" w:fill="auto"/>
            <w:tcMar>
              <w:top w:w="0" w:type="dxa"/>
              <w:left w:w="20" w:type="dxa"/>
              <w:bottom w:w="0" w:type="dxa"/>
              <w:right w:w="20" w:type="dxa"/>
            </w:tcMar>
          </w:tcPr>
          <w:p w14:paraId="5C7C563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40" w14:textId="77777777" w:rsidR="0008009C" w:rsidRDefault="00936FDF">
            <w:pPr>
              <w:jc w:val="right"/>
              <w:textAlignment w:val="bottom"/>
            </w:pPr>
            <w:r>
              <w:rPr>
                <w:rFonts w:ascii="Arial" w:eastAsia="宋体" w:hAnsi="Arial" w:cs="Arial"/>
                <w:color w:val="0068B5"/>
                <w:sz w:val="18"/>
                <w:szCs w:val="18"/>
              </w:rPr>
              <w:t>(641)</w:t>
            </w:r>
          </w:p>
        </w:tc>
        <w:tc>
          <w:tcPr>
            <w:tcW w:w="0" w:type="auto"/>
            <w:shd w:val="clear" w:color="auto" w:fill="auto"/>
            <w:tcMar>
              <w:top w:w="40" w:type="dxa"/>
              <w:left w:w="0" w:type="dxa"/>
              <w:bottom w:w="40" w:type="dxa"/>
              <w:right w:w="20" w:type="dxa"/>
            </w:tcMar>
            <w:vAlign w:val="bottom"/>
          </w:tcPr>
          <w:p w14:paraId="5C7C564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4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43" w14:textId="77777777" w:rsidR="0008009C" w:rsidRDefault="00936FDF">
            <w:pPr>
              <w:jc w:val="right"/>
              <w:textAlignment w:val="bottom"/>
            </w:pPr>
            <w:r>
              <w:rPr>
                <w:rFonts w:ascii="Arial" w:eastAsia="宋体" w:hAnsi="Arial" w:cs="Arial"/>
                <w:color w:val="262626"/>
                <w:sz w:val="18"/>
                <w:szCs w:val="18"/>
              </w:rPr>
              <w:t>(1,132)</w:t>
            </w:r>
          </w:p>
        </w:tc>
        <w:tc>
          <w:tcPr>
            <w:tcW w:w="0" w:type="auto"/>
            <w:shd w:val="clear" w:color="auto" w:fill="auto"/>
            <w:tcMar>
              <w:top w:w="40" w:type="dxa"/>
              <w:left w:w="0" w:type="dxa"/>
              <w:bottom w:w="40" w:type="dxa"/>
              <w:right w:w="20" w:type="dxa"/>
            </w:tcMar>
            <w:vAlign w:val="bottom"/>
          </w:tcPr>
          <w:p w14:paraId="5C7C5644" w14:textId="77777777" w:rsidR="0008009C" w:rsidRDefault="0008009C">
            <w:pPr>
              <w:jc w:val="right"/>
              <w:rPr>
                <w:rFonts w:ascii="宋体"/>
              </w:rPr>
            </w:pPr>
          </w:p>
        </w:tc>
      </w:tr>
      <w:tr w:rsidR="0008009C" w14:paraId="5C7C564D" w14:textId="77777777">
        <w:tc>
          <w:tcPr>
            <w:tcW w:w="0" w:type="auto"/>
            <w:gridSpan w:val="3"/>
            <w:shd w:val="clear" w:color="auto" w:fill="auto"/>
            <w:tcMar>
              <w:top w:w="40" w:type="dxa"/>
              <w:left w:w="140" w:type="dxa"/>
              <w:bottom w:w="40" w:type="dxa"/>
              <w:right w:w="20" w:type="dxa"/>
            </w:tcMar>
          </w:tcPr>
          <w:p w14:paraId="5C7C5646" w14:textId="77777777" w:rsidR="0008009C" w:rsidRDefault="00936FDF">
            <w:pPr>
              <w:textAlignment w:val="top"/>
            </w:pPr>
            <w:r>
              <w:rPr>
                <w:rFonts w:ascii="Arial" w:eastAsia="宋体" w:hAnsi="Arial" w:cs="Arial"/>
                <w:color w:val="262626"/>
                <w:sz w:val="18"/>
                <w:szCs w:val="18"/>
              </w:rPr>
              <w:t>Total adjustments</w:t>
            </w:r>
          </w:p>
        </w:tc>
        <w:tc>
          <w:tcPr>
            <w:tcW w:w="0" w:type="auto"/>
            <w:gridSpan w:val="3"/>
            <w:shd w:val="clear" w:color="auto" w:fill="auto"/>
            <w:tcMar>
              <w:top w:w="0" w:type="dxa"/>
              <w:left w:w="20" w:type="dxa"/>
              <w:bottom w:w="0" w:type="dxa"/>
              <w:right w:w="20" w:type="dxa"/>
            </w:tcMar>
          </w:tcPr>
          <w:p w14:paraId="5C7C5647"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648" w14:textId="77777777" w:rsidR="0008009C" w:rsidRDefault="00936FDF">
            <w:pPr>
              <w:jc w:val="right"/>
              <w:textAlignment w:val="bottom"/>
            </w:pPr>
            <w:r>
              <w:rPr>
                <w:rFonts w:ascii="Arial" w:eastAsia="宋体" w:hAnsi="Arial" w:cs="Arial"/>
                <w:color w:val="0068B5"/>
                <w:sz w:val="18"/>
                <w:szCs w:val="18"/>
              </w:rPr>
              <w:t>2,187 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64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4A"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64B" w14:textId="77777777" w:rsidR="0008009C" w:rsidRDefault="00936FDF">
            <w:pPr>
              <w:jc w:val="right"/>
              <w:textAlignment w:val="bottom"/>
            </w:pPr>
            <w:r>
              <w:rPr>
                <w:rFonts w:ascii="Arial" w:eastAsia="宋体" w:hAnsi="Arial" w:cs="Arial"/>
                <w:color w:val="262626"/>
                <w:sz w:val="18"/>
                <w:szCs w:val="18"/>
              </w:rPr>
              <w:t>497 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64C" w14:textId="77777777" w:rsidR="0008009C" w:rsidRDefault="0008009C">
            <w:pPr>
              <w:jc w:val="right"/>
              <w:rPr>
                <w:rFonts w:ascii="宋体"/>
              </w:rPr>
            </w:pPr>
          </w:p>
        </w:tc>
      </w:tr>
      <w:tr w:rsidR="0008009C" w14:paraId="5C7C5655" w14:textId="77777777">
        <w:tc>
          <w:tcPr>
            <w:tcW w:w="0" w:type="auto"/>
            <w:gridSpan w:val="3"/>
            <w:shd w:val="clear" w:color="auto" w:fill="auto"/>
            <w:tcMar>
              <w:top w:w="40" w:type="dxa"/>
              <w:left w:w="20" w:type="dxa"/>
              <w:bottom w:w="40" w:type="dxa"/>
              <w:right w:w="20" w:type="dxa"/>
            </w:tcMar>
          </w:tcPr>
          <w:p w14:paraId="5C7C564E" w14:textId="77777777" w:rsidR="0008009C" w:rsidRDefault="00936FDF">
            <w:pPr>
              <w:textAlignment w:val="top"/>
            </w:pPr>
            <w:r>
              <w:rPr>
                <w:rFonts w:ascii="Arial" w:eastAsia="宋体" w:hAnsi="Arial" w:cs="Arial"/>
                <w:b/>
                <w:bCs/>
                <w:color w:val="262626"/>
                <w:sz w:val="18"/>
                <w:szCs w:val="18"/>
              </w:rPr>
              <w:t>Net cash provided by operating activities</w:t>
            </w:r>
          </w:p>
        </w:tc>
        <w:tc>
          <w:tcPr>
            <w:tcW w:w="0" w:type="auto"/>
            <w:gridSpan w:val="3"/>
            <w:shd w:val="clear" w:color="auto" w:fill="auto"/>
            <w:tcMar>
              <w:top w:w="0" w:type="dxa"/>
              <w:left w:w="20" w:type="dxa"/>
              <w:bottom w:w="0" w:type="dxa"/>
              <w:right w:w="20" w:type="dxa"/>
            </w:tcMar>
          </w:tcPr>
          <w:p w14:paraId="5C7C564F"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650" w14:textId="77777777" w:rsidR="0008009C" w:rsidRDefault="00936FDF">
            <w:pPr>
              <w:jc w:val="right"/>
              <w:textAlignment w:val="bottom"/>
            </w:pPr>
            <w:r>
              <w:rPr>
                <w:rFonts w:ascii="Arial" w:eastAsia="宋体" w:hAnsi="Arial" w:cs="Arial"/>
                <w:b/>
                <w:bCs/>
                <w:color w:val="0068B5"/>
                <w:sz w:val="18"/>
                <w:szCs w:val="18"/>
              </w:rPr>
              <w:t>5,548</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65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52"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653" w14:textId="77777777" w:rsidR="0008009C" w:rsidRDefault="00936FDF">
            <w:pPr>
              <w:jc w:val="right"/>
              <w:textAlignment w:val="bottom"/>
            </w:pPr>
            <w:r>
              <w:rPr>
                <w:rFonts w:ascii="Arial" w:eastAsia="宋体" w:hAnsi="Arial" w:cs="Arial"/>
                <w:b/>
                <w:bCs/>
                <w:color w:val="262626"/>
                <w:sz w:val="18"/>
                <w:szCs w:val="18"/>
              </w:rPr>
              <w:t>6,158</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654" w14:textId="77777777" w:rsidR="0008009C" w:rsidRDefault="0008009C">
            <w:pPr>
              <w:jc w:val="right"/>
              <w:rPr>
                <w:rFonts w:ascii="宋体"/>
              </w:rPr>
            </w:pPr>
          </w:p>
        </w:tc>
      </w:tr>
      <w:tr w:rsidR="0008009C" w14:paraId="5C7C565B" w14:textId="77777777">
        <w:tc>
          <w:tcPr>
            <w:tcW w:w="0" w:type="auto"/>
            <w:gridSpan w:val="3"/>
            <w:shd w:val="clear" w:color="auto" w:fill="auto"/>
            <w:tcMar>
              <w:top w:w="40" w:type="dxa"/>
              <w:left w:w="20" w:type="dxa"/>
              <w:bottom w:w="40" w:type="dxa"/>
              <w:right w:w="20" w:type="dxa"/>
            </w:tcMar>
          </w:tcPr>
          <w:p w14:paraId="5C7C5656" w14:textId="77777777" w:rsidR="0008009C" w:rsidRDefault="00936FDF">
            <w:pPr>
              <w:textAlignment w:val="top"/>
            </w:pPr>
            <w:r>
              <w:rPr>
                <w:rFonts w:ascii="Arial" w:eastAsia="宋体" w:hAnsi="Arial" w:cs="Arial"/>
                <w:color w:val="262626"/>
                <w:sz w:val="18"/>
                <w:szCs w:val="18"/>
              </w:rPr>
              <w:t xml:space="preserve">Cash </w:t>
            </w:r>
            <w:r>
              <w:rPr>
                <w:rFonts w:ascii="Arial" w:eastAsia="宋体" w:hAnsi="Arial" w:cs="Arial"/>
                <w:color w:val="262626"/>
                <w:sz w:val="18"/>
                <w:szCs w:val="18"/>
              </w:rPr>
              <w:t>flows provided by (used for) investing activities:</w:t>
            </w:r>
          </w:p>
        </w:tc>
        <w:tc>
          <w:tcPr>
            <w:tcW w:w="0" w:type="auto"/>
            <w:gridSpan w:val="3"/>
            <w:shd w:val="clear" w:color="auto" w:fill="auto"/>
            <w:tcMar>
              <w:top w:w="0" w:type="dxa"/>
              <w:left w:w="20" w:type="dxa"/>
              <w:bottom w:w="0" w:type="dxa"/>
              <w:right w:w="20" w:type="dxa"/>
            </w:tcMar>
          </w:tcPr>
          <w:p w14:paraId="5C7C5657" w14:textId="77777777" w:rsidR="0008009C" w:rsidRDefault="0008009C">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5C7C565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659" w14:textId="77777777" w:rsidR="0008009C" w:rsidRDefault="0008009C">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5C7C565A" w14:textId="77777777" w:rsidR="0008009C" w:rsidRDefault="0008009C">
            <w:pPr>
              <w:rPr>
                <w:rFonts w:ascii="宋体"/>
              </w:rPr>
            </w:pPr>
          </w:p>
        </w:tc>
      </w:tr>
      <w:tr w:rsidR="0008009C" w14:paraId="5C7C5663" w14:textId="77777777">
        <w:tc>
          <w:tcPr>
            <w:tcW w:w="0" w:type="auto"/>
            <w:gridSpan w:val="3"/>
            <w:shd w:val="clear" w:color="auto" w:fill="auto"/>
            <w:tcMar>
              <w:top w:w="40" w:type="dxa"/>
              <w:left w:w="140" w:type="dxa"/>
              <w:bottom w:w="40" w:type="dxa"/>
              <w:right w:w="20" w:type="dxa"/>
            </w:tcMar>
          </w:tcPr>
          <w:p w14:paraId="5C7C565C" w14:textId="77777777" w:rsidR="0008009C" w:rsidRDefault="00936FDF">
            <w:pPr>
              <w:textAlignment w:val="top"/>
            </w:pPr>
            <w:r>
              <w:rPr>
                <w:rFonts w:ascii="Arial" w:eastAsia="宋体" w:hAnsi="Arial" w:cs="Arial"/>
                <w:color w:val="262626"/>
                <w:sz w:val="18"/>
                <w:szCs w:val="18"/>
              </w:rPr>
              <w:t>Additions to property, plant and equipment</w:t>
            </w:r>
          </w:p>
        </w:tc>
        <w:tc>
          <w:tcPr>
            <w:tcW w:w="0" w:type="auto"/>
            <w:gridSpan w:val="3"/>
            <w:shd w:val="clear" w:color="auto" w:fill="auto"/>
            <w:tcMar>
              <w:top w:w="0" w:type="dxa"/>
              <w:left w:w="20" w:type="dxa"/>
              <w:bottom w:w="0" w:type="dxa"/>
              <w:right w:w="20" w:type="dxa"/>
            </w:tcMar>
          </w:tcPr>
          <w:p w14:paraId="5C7C565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5E" w14:textId="77777777" w:rsidR="0008009C" w:rsidRDefault="00936FDF">
            <w:pPr>
              <w:jc w:val="right"/>
              <w:textAlignment w:val="bottom"/>
            </w:pPr>
            <w:r>
              <w:rPr>
                <w:rFonts w:ascii="Arial" w:eastAsia="宋体" w:hAnsi="Arial" w:cs="Arial"/>
                <w:color w:val="0068B5"/>
                <w:sz w:val="18"/>
                <w:szCs w:val="18"/>
              </w:rPr>
              <w:t>(3,972)</w:t>
            </w:r>
          </w:p>
        </w:tc>
        <w:tc>
          <w:tcPr>
            <w:tcW w:w="0" w:type="auto"/>
            <w:shd w:val="clear" w:color="auto" w:fill="auto"/>
            <w:tcMar>
              <w:top w:w="40" w:type="dxa"/>
              <w:left w:w="0" w:type="dxa"/>
              <w:bottom w:w="40" w:type="dxa"/>
              <w:right w:w="20" w:type="dxa"/>
            </w:tcMar>
            <w:vAlign w:val="bottom"/>
          </w:tcPr>
          <w:p w14:paraId="5C7C565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6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61" w14:textId="77777777" w:rsidR="0008009C" w:rsidRDefault="00936FDF">
            <w:pPr>
              <w:jc w:val="right"/>
              <w:textAlignment w:val="bottom"/>
            </w:pPr>
            <w:r>
              <w:rPr>
                <w:rFonts w:ascii="Arial" w:eastAsia="宋体" w:hAnsi="Arial" w:cs="Arial"/>
                <w:color w:val="262626"/>
                <w:sz w:val="18"/>
                <w:szCs w:val="18"/>
              </w:rPr>
              <w:t>(3,268)</w:t>
            </w:r>
          </w:p>
        </w:tc>
        <w:tc>
          <w:tcPr>
            <w:tcW w:w="0" w:type="auto"/>
            <w:shd w:val="clear" w:color="auto" w:fill="auto"/>
            <w:tcMar>
              <w:top w:w="40" w:type="dxa"/>
              <w:left w:w="0" w:type="dxa"/>
              <w:bottom w:w="40" w:type="dxa"/>
              <w:right w:w="20" w:type="dxa"/>
            </w:tcMar>
            <w:vAlign w:val="bottom"/>
          </w:tcPr>
          <w:p w14:paraId="5C7C5662" w14:textId="77777777" w:rsidR="0008009C" w:rsidRDefault="0008009C">
            <w:pPr>
              <w:jc w:val="right"/>
              <w:rPr>
                <w:rFonts w:ascii="宋体"/>
              </w:rPr>
            </w:pPr>
          </w:p>
        </w:tc>
      </w:tr>
      <w:tr w:rsidR="0008009C" w14:paraId="5C7C566B" w14:textId="77777777">
        <w:tc>
          <w:tcPr>
            <w:tcW w:w="0" w:type="auto"/>
            <w:gridSpan w:val="3"/>
            <w:shd w:val="clear" w:color="auto" w:fill="auto"/>
            <w:tcMar>
              <w:top w:w="40" w:type="dxa"/>
              <w:left w:w="140" w:type="dxa"/>
              <w:bottom w:w="40" w:type="dxa"/>
              <w:right w:w="20" w:type="dxa"/>
            </w:tcMar>
          </w:tcPr>
          <w:p w14:paraId="5C7C5664" w14:textId="77777777" w:rsidR="0008009C" w:rsidRDefault="00936FDF">
            <w:pPr>
              <w:textAlignment w:val="top"/>
            </w:pPr>
            <w:r>
              <w:rPr>
                <w:rFonts w:ascii="Arial" w:eastAsia="宋体" w:hAnsi="Arial" w:cs="Arial"/>
                <w:color w:val="262626"/>
                <w:sz w:val="18"/>
                <w:szCs w:val="18"/>
              </w:rPr>
              <w:t>Additions to held for sale NAND property, plant and equipment</w:t>
            </w:r>
          </w:p>
        </w:tc>
        <w:tc>
          <w:tcPr>
            <w:tcW w:w="0" w:type="auto"/>
            <w:gridSpan w:val="3"/>
            <w:shd w:val="clear" w:color="auto" w:fill="auto"/>
            <w:tcMar>
              <w:top w:w="0" w:type="dxa"/>
              <w:left w:w="20" w:type="dxa"/>
              <w:bottom w:w="0" w:type="dxa"/>
              <w:right w:w="20" w:type="dxa"/>
            </w:tcMar>
          </w:tcPr>
          <w:p w14:paraId="5C7C566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66" w14:textId="77777777" w:rsidR="0008009C" w:rsidRDefault="00936FDF">
            <w:pPr>
              <w:jc w:val="right"/>
              <w:textAlignment w:val="bottom"/>
            </w:pPr>
            <w:r>
              <w:rPr>
                <w:rFonts w:ascii="Arial" w:eastAsia="宋体" w:hAnsi="Arial" w:cs="Arial"/>
                <w:color w:val="0068B5"/>
                <w:sz w:val="18"/>
                <w:szCs w:val="18"/>
              </w:rPr>
              <w:t>(416)</w:t>
            </w:r>
          </w:p>
        </w:tc>
        <w:tc>
          <w:tcPr>
            <w:tcW w:w="0" w:type="auto"/>
            <w:shd w:val="clear" w:color="auto" w:fill="auto"/>
            <w:tcMar>
              <w:top w:w="40" w:type="dxa"/>
              <w:left w:w="0" w:type="dxa"/>
              <w:bottom w:w="40" w:type="dxa"/>
              <w:right w:w="20" w:type="dxa"/>
            </w:tcMar>
            <w:vAlign w:val="bottom"/>
          </w:tcPr>
          <w:p w14:paraId="5C7C566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6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69"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66A" w14:textId="77777777" w:rsidR="0008009C" w:rsidRDefault="0008009C">
            <w:pPr>
              <w:jc w:val="right"/>
              <w:rPr>
                <w:rFonts w:ascii="宋体"/>
              </w:rPr>
            </w:pPr>
          </w:p>
        </w:tc>
      </w:tr>
      <w:tr w:rsidR="0008009C" w14:paraId="5C7C5671" w14:textId="77777777">
        <w:trPr>
          <w:hidden/>
        </w:trPr>
        <w:tc>
          <w:tcPr>
            <w:tcW w:w="0" w:type="auto"/>
            <w:gridSpan w:val="3"/>
            <w:shd w:val="clear" w:color="auto" w:fill="auto"/>
          </w:tcPr>
          <w:p w14:paraId="5C7C566C" w14:textId="77777777" w:rsidR="0008009C" w:rsidRDefault="0008009C">
            <w:pPr>
              <w:rPr>
                <w:rFonts w:ascii="宋体"/>
                <w:vanish/>
              </w:rPr>
            </w:pPr>
          </w:p>
        </w:tc>
        <w:tc>
          <w:tcPr>
            <w:tcW w:w="0" w:type="auto"/>
            <w:gridSpan w:val="3"/>
            <w:shd w:val="clear" w:color="auto" w:fill="auto"/>
          </w:tcPr>
          <w:p w14:paraId="5C7C566D" w14:textId="77777777" w:rsidR="0008009C" w:rsidRDefault="0008009C">
            <w:pPr>
              <w:rPr>
                <w:rFonts w:ascii="宋体"/>
                <w:vanish/>
              </w:rPr>
            </w:pPr>
          </w:p>
        </w:tc>
        <w:tc>
          <w:tcPr>
            <w:tcW w:w="0" w:type="auto"/>
            <w:gridSpan w:val="3"/>
            <w:shd w:val="clear" w:color="auto" w:fill="auto"/>
          </w:tcPr>
          <w:p w14:paraId="5C7C566E" w14:textId="77777777" w:rsidR="0008009C" w:rsidRDefault="0008009C">
            <w:pPr>
              <w:rPr>
                <w:rFonts w:ascii="宋体"/>
                <w:vanish/>
              </w:rPr>
            </w:pPr>
          </w:p>
        </w:tc>
        <w:tc>
          <w:tcPr>
            <w:tcW w:w="0" w:type="auto"/>
            <w:gridSpan w:val="3"/>
            <w:shd w:val="clear" w:color="auto" w:fill="auto"/>
          </w:tcPr>
          <w:p w14:paraId="5C7C566F" w14:textId="77777777" w:rsidR="0008009C" w:rsidRDefault="0008009C">
            <w:pPr>
              <w:rPr>
                <w:rFonts w:ascii="宋体"/>
                <w:vanish/>
              </w:rPr>
            </w:pPr>
          </w:p>
        </w:tc>
        <w:tc>
          <w:tcPr>
            <w:tcW w:w="0" w:type="auto"/>
            <w:gridSpan w:val="3"/>
            <w:shd w:val="clear" w:color="auto" w:fill="auto"/>
          </w:tcPr>
          <w:p w14:paraId="5C7C5670" w14:textId="77777777" w:rsidR="0008009C" w:rsidRDefault="0008009C">
            <w:pPr>
              <w:rPr>
                <w:rFonts w:ascii="宋体"/>
                <w:vanish/>
              </w:rPr>
            </w:pPr>
          </w:p>
        </w:tc>
      </w:tr>
      <w:tr w:rsidR="0008009C" w14:paraId="5C7C5679" w14:textId="77777777">
        <w:tc>
          <w:tcPr>
            <w:tcW w:w="0" w:type="auto"/>
            <w:gridSpan w:val="3"/>
            <w:shd w:val="clear" w:color="auto" w:fill="auto"/>
            <w:tcMar>
              <w:top w:w="40" w:type="dxa"/>
              <w:left w:w="140" w:type="dxa"/>
              <w:bottom w:w="40" w:type="dxa"/>
              <w:right w:w="20" w:type="dxa"/>
            </w:tcMar>
          </w:tcPr>
          <w:p w14:paraId="5C7C5672" w14:textId="77777777" w:rsidR="0008009C" w:rsidRDefault="00936FDF">
            <w:pPr>
              <w:textAlignment w:val="top"/>
            </w:pPr>
            <w:r>
              <w:rPr>
                <w:rFonts w:ascii="Arial" w:eastAsia="宋体" w:hAnsi="Arial" w:cs="Arial"/>
                <w:color w:val="262626"/>
                <w:sz w:val="18"/>
                <w:szCs w:val="18"/>
              </w:rPr>
              <w:t xml:space="preserve">Purchases of available-for-sale debt </w:t>
            </w:r>
            <w:r>
              <w:rPr>
                <w:rFonts w:ascii="Arial" w:eastAsia="宋体" w:hAnsi="Arial" w:cs="Arial"/>
                <w:color w:val="262626"/>
                <w:sz w:val="18"/>
                <w:szCs w:val="18"/>
              </w:rPr>
              <w:t>investments</w:t>
            </w:r>
          </w:p>
        </w:tc>
        <w:tc>
          <w:tcPr>
            <w:tcW w:w="0" w:type="auto"/>
            <w:gridSpan w:val="3"/>
            <w:shd w:val="clear" w:color="auto" w:fill="auto"/>
            <w:tcMar>
              <w:top w:w="0" w:type="dxa"/>
              <w:left w:w="20" w:type="dxa"/>
              <w:bottom w:w="0" w:type="dxa"/>
              <w:right w:w="20" w:type="dxa"/>
            </w:tcMar>
          </w:tcPr>
          <w:p w14:paraId="5C7C567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74" w14:textId="77777777" w:rsidR="0008009C" w:rsidRDefault="00936FDF">
            <w:pPr>
              <w:jc w:val="right"/>
              <w:textAlignment w:val="bottom"/>
            </w:pPr>
            <w:r>
              <w:rPr>
                <w:rFonts w:ascii="Arial" w:eastAsia="宋体" w:hAnsi="Arial" w:cs="Arial"/>
                <w:color w:val="0068B5"/>
                <w:sz w:val="18"/>
                <w:szCs w:val="18"/>
              </w:rPr>
              <w:t>(593)</w:t>
            </w:r>
          </w:p>
        </w:tc>
        <w:tc>
          <w:tcPr>
            <w:tcW w:w="0" w:type="auto"/>
            <w:shd w:val="clear" w:color="auto" w:fill="auto"/>
            <w:tcMar>
              <w:top w:w="40" w:type="dxa"/>
              <w:left w:w="0" w:type="dxa"/>
              <w:bottom w:w="40" w:type="dxa"/>
              <w:right w:w="20" w:type="dxa"/>
            </w:tcMar>
            <w:vAlign w:val="bottom"/>
          </w:tcPr>
          <w:p w14:paraId="5C7C567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7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77" w14:textId="77777777" w:rsidR="0008009C" w:rsidRDefault="00936FDF">
            <w:pPr>
              <w:jc w:val="right"/>
              <w:textAlignment w:val="bottom"/>
            </w:pPr>
            <w:r>
              <w:rPr>
                <w:rFonts w:ascii="Arial" w:eastAsia="宋体" w:hAnsi="Arial" w:cs="Arial"/>
                <w:color w:val="262626"/>
                <w:sz w:val="18"/>
                <w:szCs w:val="18"/>
              </w:rPr>
              <w:t>(513)</w:t>
            </w:r>
          </w:p>
        </w:tc>
        <w:tc>
          <w:tcPr>
            <w:tcW w:w="0" w:type="auto"/>
            <w:shd w:val="clear" w:color="auto" w:fill="auto"/>
            <w:tcMar>
              <w:top w:w="40" w:type="dxa"/>
              <w:left w:w="0" w:type="dxa"/>
              <w:bottom w:w="40" w:type="dxa"/>
              <w:right w:w="20" w:type="dxa"/>
            </w:tcMar>
            <w:vAlign w:val="bottom"/>
          </w:tcPr>
          <w:p w14:paraId="5C7C5678" w14:textId="77777777" w:rsidR="0008009C" w:rsidRDefault="0008009C">
            <w:pPr>
              <w:jc w:val="right"/>
              <w:rPr>
                <w:rFonts w:ascii="宋体"/>
              </w:rPr>
            </w:pPr>
          </w:p>
        </w:tc>
      </w:tr>
      <w:tr w:rsidR="0008009C" w14:paraId="5C7C567F" w14:textId="77777777">
        <w:trPr>
          <w:hidden/>
        </w:trPr>
        <w:tc>
          <w:tcPr>
            <w:tcW w:w="0" w:type="auto"/>
            <w:gridSpan w:val="3"/>
            <w:shd w:val="clear" w:color="auto" w:fill="auto"/>
          </w:tcPr>
          <w:p w14:paraId="5C7C567A" w14:textId="77777777" w:rsidR="0008009C" w:rsidRDefault="0008009C">
            <w:pPr>
              <w:rPr>
                <w:rFonts w:ascii="宋体"/>
                <w:vanish/>
              </w:rPr>
            </w:pPr>
          </w:p>
        </w:tc>
        <w:tc>
          <w:tcPr>
            <w:tcW w:w="0" w:type="auto"/>
            <w:gridSpan w:val="3"/>
            <w:shd w:val="clear" w:color="auto" w:fill="auto"/>
          </w:tcPr>
          <w:p w14:paraId="5C7C567B" w14:textId="77777777" w:rsidR="0008009C" w:rsidRDefault="0008009C">
            <w:pPr>
              <w:rPr>
                <w:rFonts w:ascii="宋体"/>
                <w:vanish/>
              </w:rPr>
            </w:pPr>
          </w:p>
        </w:tc>
        <w:tc>
          <w:tcPr>
            <w:tcW w:w="0" w:type="auto"/>
            <w:gridSpan w:val="3"/>
            <w:shd w:val="clear" w:color="auto" w:fill="auto"/>
          </w:tcPr>
          <w:p w14:paraId="5C7C567C" w14:textId="77777777" w:rsidR="0008009C" w:rsidRDefault="0008009C">
            <w:pPr>
              <w:rPr>
                <w:rFonts w:ascii="宋体"/>
                <w:vanish/>
              </w:rPr>
            </w:pPr>
          </w:p>
        </w:tc>
        <w:tc>
          <w:tcPr>
            <w:tcW w:w="0" w:type="auto"/>
            <w:gridSpan w:val="3"/>
            <w:shd w:val="clear" w:color="auto" w:fill="auto"/>
          </w:tcPr>
          <w:p w14:paraId="5C7C567D" w14:textId="77777777" w:rsidR="0008009C" w:rsidRDefault="0008009C">
            <w:pPr>
              <w:rPr>
                <w:rFonts w:ascii="宋体"/>
                <w:vanish/>
              </w:rPr>
            </w:pPr>
          </w:p>
        </w:tc>
        <w:tc>
          <w:tcPr>
            <w:tcW w:w="0" w:type="auto"/>
            <w:gridSpan w:val="3"/>
            <w:shd w:val="clear" w:color="auto" w:fill="auto"/>
          </w:tcPr>
          <w:p w14:paraId="5C7C567E" w14:textId="77777777" w:rsidR="0008009C" w:rsidRDefault="0008009C">
            <w:pPr>
              <w:rPr>
                <w:rFonts w:ascii="宋体"/>
                <w:vanish/>
              </w:rPr>
            </w:pPr>
          </w:p>
        </w:tc>
      </w:tr>
      <w:tr w:rsidR="0008009C" w14:paraId="5C7C5687" w14:textId="77777777">
        <w:tc>
          <w:tcPr>
            <w:tcW w:w="0" w:type="auto"/>
            <w:gridSpan w:val="3"/>
            <w:shd w:val="clear" w:color="auto" w:fill="auto"/>
            <w:tcMar>
              <w:top w:w="40" w:type="dxa"/>
              <w:left w:w="140" w:type="dxa"/>
              <w:bottom w:w="40" w:type="dxa"/>
              <w:right w:w="20" w:type="dxa"/>
            </w:tcMar>
          </w:tcPr>
          <w:p w14:paraId="5C7C5680" w14:textId="77777777" w:rsidR="0008009C" w:rsidRDefault="00936FDF">
            <w:pPr>
              <w:textAlignment w:val="top"/>
            </w:pPr>
            <w:r>
              <w:rPr>
                <w:rFonts w:ascii="Arial" w:eastAsia="宋体" w:hAnsi="Arial" w:cs="Arial"/>
                <w:color w:val="262626"/>
                <w:sz w:val="18"/>
                <w:szCs w:val="18"/>
              </w:rPr>
              <w:t>Maturities and sales of available-for-sale debt investments</w:t>
            </w:r>
          </w:p>
        </w:tc>
        <w:tc>
          <w:tcPr>
            <w:tcW w:w="0" w:type="auto"/>
            <w:gridSpan w:val="3"/>
            <w:shd w:val="clear" w:color="auto" w:fill="auto"/>
            <w:tcMar>
              <w:top w:w="0" w:type="dxa"/>
              <w:left w:w="20" w:type="dxa"/>
              <w:bottom w:w="0" w:type="dxa"/>
              <w:right w:w="20" w:type="dxa"/>
            </w:tcMar>
          </w:tcPr>
          <w:p w14:paraId="5C7C568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82" w14:textId="77777777" w:rsidR="0008009C" w:rsidRDefault="00936FDF">
            <w:pPr>
              <w:jc w:val="right"/>
              <w:textAlignment w:val="bottom"/>
            </w:pPr>
            <w:r>
              <w:rPr>
                <w:rFonts w:ascii="Arial" w:eastAsia="宋体" w:hAnsi="Arial" w:cs="Arial"/>
                <w:color w:val="0068B5"/>
                <w:sz w:val="18"/>
                <w:szCs w:val="18"/>
              </w:rPr>
              <w:t>1,232 </w:t>
            </w:r>
          </w:p>
        </w:tc>
        <w:tc>
          <w:tcPr>
            <w:tcW w:w="0" w:type="auto"/>
            <w:shd w:val="clear" w:color="auto" w:fill="auto"/>
            <w:tcMar>
              <w:top w:w="40" w:type="dxa"/>
              <w:left w:w="0" w:type="dxa"/>
              <w:bottom w:w="40" w:type="dxa"/>
              <w:right w:w="20" w:type="dxa"/>
            </w:tcMar>
            <w:vAlign w:val="bottom"/>
          </w:tcPr>
          <w:p w14:paraId="5C7C568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8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85" w14:textId="77777777" w:rsidR="0008009C" w:rsidRDefault="00936FDF">
            <w:pPr>
              <w:jc w:val="right"/>
              <w:textAlignment w:val="bottom"/>
            </w:pPr>
            <w:r>
              <w:rPr>
                <w:rFonts w:ascii="Arial" w:eastAsia="宋体" w:hAnsi="Arial" w:cs="Arial"/>
                <w:color w:val="262626"/>
                <w:sz w:val="18"/>
                <w:szCs w:val="18"/>
              </w:rPr>
              <w:t>625 </w:t>
            </w:r>
          </w:p>
        </w:tc>
        <w:tc>
          <w:tcPr>
            <w:tcW w:w="0" w:type="auto"/>
            <w:shd w:val="clear" w:color="auto" w:fill="auto"/>
            <w:tcMar>
              <w:top w:w="40" w:type="dxa"/>
              <w:left w:w="0" w:type="dxa"/>
              <w:bottom w:w="40" w:type="dxa"/>
              <w:right w:w="20" w:type="dxa"/>
            </w:tcMar>
            <w:vAlign w:val="bottom"/>
          </w:tcPr>
          <w:p w14:paraId="5C7C5686" w14:textId="77777777" w:rsidR="0008009C" w:rsidRDefault="0008009C">
            <w:pPr>
              <w:jc w:val="right"/>
              <w:rPr>
                <w:rFonts w:ascii="宋体"/>
              </w:rPr>
            </w:pPr>
          </w:p>
        </w:tc>
      </w:tr>
      <w:tr w:rsidR="0008009C" w14:paraId="5C7C568F" w14:textId="77777777">
        <w:tc>
          <w:tcPr>
            <w:tcW w:w="0" w:type="auto"/>
            <w:gridSpan w:val="3"/>
            <w:shd w:val="clear" w:color="auto" w:fill="auto"/>
            <w:tcMar>
              <w:top w:w="40" w:type="dxa"/>
              <w:left w:w="140" w:type="dxa"/>
              <w:bottom w:w="40" w:type="dxa"/>
              <w:right w:w="20" w:type="dxa"/>
            </w:tcMar>
          </w:tcPr>
          <w:p w14:paraId="5C7C5688" w14:textId="77777777" w:rsidR="0008009C" w:rsidRDefault="00936FDF">
            <w:pPr>
              <w:textAlignment w:val="top"/>
            </w:pPr>
            <w:r>
              <w:rPr>
                <w:rFonts w:ascii="Arial" w:eastAsia="宋体" w:hAnsi="Arial" w:cs="Arial"/>
                <w:color w:val="262626"/>
                <w:sz w:val="18"/>
                <w:szCs w:val="18"/>
              </w:rPr>
              <w:t>Purchases of trading assets</w:t>
            </w:r>
          </w:p>
        </w:tc>
        <w:tc>
          <w:tcPr>
            <w:tcW w:w="0" w:type="auto"/>
            <w:gridSpan w:val="3"/>
            <w:shd w:val="clear" w:color="auto" w:fill="auto"/>
            <w:tcMar>
              <w:top w:w="0" w:type="dxa"/>
              <w:left w:w="20" w:type="dxa"/>
              <w:bottom w:w="0" w:type="dxa"/>
              <w:right w:w="20" w:type="dxa"/>
            </w:tcMar>
          </w:tcPr>
          <w:p w14:paraId="5C7C568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8A" w14:textId="77777777" w:rsidR="0008009C" w:rsidRDefault="00936FDF">
            <w:pPr>
              <w:jc w:val="right"/>
              <w:textAlignment w:val="bottom"/>
            </w:pPr>
            <w:r>
              <w:rPr>
                <w:rFonts w:ascii="Arial" w:eastAsia="宋体" w:hAnsi="Arial" w:cs="Arial"/>
                <w:color w:val="0068B5"/>
                <w:sz w:val="18"/>
                <w:szCs w:val="18"/>
              </w:rPr>
              <w:t>(5,981)</w:t>
            </w:r>
          </w:p>
        </w:tc>
        <w:tc>
          <w:tcPr>
            <w:tcW w:w="0" w:type="auto"/>
            <w:shd w:val="clear" w:color="auto" w:fill="auto"/>
            <w:tcMar>
              <w:top w:w="40" w:type="dxa"/>
              <w:left w:w="0" w:type="dxa"/>
              <w:bottom w:w="40" w:type="dxa"/>
              <w:right w:w="20" w:type="dxa"/>
            </w:tcMar>
            <w:vAlign w:val="bottom"/>
          </w:tcPr>
          <w:p w14:paraId="5C7C568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8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8D" w14:textId="77777777" w:rsidR="0008009C" w:rsidRDefault="00936FDF">
            <w:pPr>
              <w:jc w:val="right"/>
              <w:textAlignment w:val="bottom"/>
            </w:pPr>
            <w:r>
              <w:rPr>
                <w:rFonts w:ascii="Arial" w:eastAsia="宋体" w:hAnsi="Arial" w:cs="Arial"/>
                <w:color w:val="262626"/>
                <w:sz w:val="18"/>
                <w:szCs w:val="18"/>
              </w:rPr>
              <w:t>(3,897)</w:t>
            </w:r>
          </w:p>
        </w:tc>
        <w:tc>
          <w:tcPr>
            <w:tcW w:w="0" w:type="auto"/>
            <w:shd w:val="clear" w:color="auto" w:fill="auto"/>
            <w:tcMar>
              <w:top w:w="40" w:type="dxa"/>
              <w:left w:w="0" w:type="dxa"/>
              <w:bottom w:w="40" w:type="dxa"/>
              <w:right w:w="20" w:type="dxa"/>
            </w:tcMar>
            <w:vAlign w:val="bottom"/>
          </w:tcPr>
          <w:p w14:paraId="5C7C568E" w14:textId="77777777" w:rsidR="0008009C" w:rsidRDefault="0008009C">
            <w:pPr>
              <w:jc w:val="right"/>
              <w:rPr>
                <w:rFonts w:ascii="宋体"/>
              </w:rPr>
            </w:pPr>
          </w:p>
        </w:tc>
      </w:tr>
      <w:tr w:rsidR="0008009C" w14:paraId="5C7C5697" w14:textId="77777777">
        <w:tc>
          <w:tcPr>
            <w:tcW w:w="0" w:type="auto"/>
            <w:gridSpan w:val="3"/>
            <w:shd w:val="clear" w:color="auto" w:fill="auto"/>
            <w:tcMar>
              <w:top w:w="40" w:type="dxa"/>
              <w:left w:w="140" w:type="dxa"/>
              <w:bottom w:w="40" w:type="dxa"/>
              <w:right w:w="20" w:type="dxa"/>
            </w:tcMar>
          </w:tcPr>
          <w:p w14:paraId="5C7C5690" w14:textId="77777777" w:rsidR="0008009C" w:rsidRDefault="00936FDF">
            <w:pPr>
              <w:textAlignment w:val="top"/>
            </w:pPr>
            <w:r>
              <w:rPr>
                <w:rFonts w:ascii="Arial" w:eastAsia="宋体" w:hAnsi="Arial" w:cs="Arial"/>
                <w:color w:val="262626"/>
                <w:sz w:val="18"/>
                <w:szCs w:val="18"/>
              </w:rPr>
              <w:t>Maturities and sales of trading assets</w:t>
            </w:r>
          </w:p>
        </w:tc>
        <w:tc>
          <w:tcPr>
            <w:tcW w:w="0" w:type="auto"/>
            <w:gridSpan w:val="3"/>
            <w:shd w:val="clear" w:color="auto" w:fill="auto"/>
            <w:tcMar>
              <w:top w:w="0" w:type="dxa"/>
              <w:left w:w="20" w:type="dxa"/>
              <w:bottom w:w="0" w:type="dxa"/>
              <w:right w:w="20" w:type="dxa"/>
            </w:tcMar>
          </w:tcPr>
          <w:p w14:paraId="5C7C569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92" w14:textId="77777777" w:rsidR="0008009C" w:rsidRDefault="00936FDF">
            <w:pPr>
              <w:jc w:val="right"/>
              <w:textAlignment w:val="bottom"/>
            </w:pPr>
            <w:r>
              <w:rPr>
                <w:rFonts w:ascii="Arial" w:eastAsia="宋体" w:hAnsi="Arial" w:cs="Arial"/>
                <w:color w:val="0068B5"/>
                <w:sz w:val="18"/>
                <w:szCs w:val="18"/>
              </w:rPr>
              <w:t>6,777 </w:t>
            </w:r>
          </w:p>
        </w:tc>
        <w:tc>
          <w:tcPr>
            <w:tcW w:w="0" w:type="auto"/>
            <w:shd w:val="clear" w:color="auto" w:fill="auto"/>
            <w:tcMar>
              <w:top w:w="40" w:type="dxa"/>
              <w:left w:w="0" w:type="dxa"/>
              <w:bottom w:w="40" w:type="dxa"/>
              <w:right w:w="20" w:type="dxa"/>
            </w:tcMar>
            <w:vAlign w:val="bottom"/>
          </w:tcPr>
          <w:p w14:paraId="5C7C569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9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95" w14:textId="77777777" w:rsidR="0008009C" w:rsidRDefault="00936FDF">
            <w:pPr>
              <w:jc w:val="right"/>
              <w:textAlignment w:val="bottom"/>
            </w:pPr>
            <w:r>
              <w:rPr>
                <w:rFonts w:ascii="Arial" w:eastAsia="宋体" w:hAnsi="Arial" w:cs="Arial"/>
                <w:color w:val="262626"/>
                <w:sz w:val="18"/>
                <w:szCs w:val="18"/>
              </w:rPr>
              <w:t>3,660 </w:t>
            </w:r>
          </w:p>
        </w:tc>
        <w:tc>
          <w:tcPr>
            <w:tcW w:w="0" w:type="auto"/>
            <w:shd w:val="clear" w:color="auto" w:fill="auto"/>
            <w:tcMar>
              <w:top w:w="40" w:type="dxa"/>
              <w:left w:w="0" w:type="dxa"/>
              <w:bottom w:w="40" w:type="dxa"/>
              <w:right w:w="20" w:type="dxa"/>
            </w:tcMar>
            <w:vAlign w:val="bottom"/>
          </w:tcPr>
          <w:p w14:paraId="5C7C5696" w14:textId="77777777" w:rsidR="0008009C" w:rsidRDefault="0008009C">
            <w:pPr>
              <w:jc w:val="right"/>
              <w:rPr>
                <w:rFonts w:ascii="宋体"/>
              </w:rPr>
            </w:pPr>
          </w:p>
        </w:tc>
      </w:tr>
      <w:tr w:rsidR="0008009C" w14:paraId="5C7C569D" w14:textId="77777777">
        <w:trPr>
          <w:hidden/>
        </w:trPr>
        <w:tc>
          <w:tcPr>
            <w:tcW w:w="0" w:type="auto"/>
            <w:gridSpan w:val="3"/>
            <w:shd w:val="clear" w:color="auto" w:fill="auto"/>
          </w:tcPr>
          <w:p w14:paraId="5C7C5698" w14:textId="77777777" w:rsidR="0008009C" w:rsidRDefault="0008009C">
            <w:pPr>
              <w:rPr>
                <w:rFonts w:ascii="宋体"/>
                <w:vanish/>
              </w:rPr>
            </w:pPr>
          </w:p>
        </w:tc>
        <w:tc>
          <w:tcPr>
            <w:tcW w:w="0" w:type="auto"/>
            <w:gridSpan w:val="3"/>
            <w:shd w:val="clear" w:color="auto" w:fill="auto"/>
          </w:tcPr>
          <w:p w14:paraId="5C7C5699" w14:textId="77777777" w:rsidR="0008009C" w:rsidRDefault="0008009C">
            <w:pPr>
              <w:rPr>
                <w:rFonts w:ascii="宋体"/>
                <w:vanish/>
              </w:rPr>
            </w:pPr>
          </w:p>
        </w:tc>
        <w:tc>
          <w:tcPr>
            <w:tcW w:w="0" w:type="auto"/>
            <w:gridSpan w:val="3"/>
            <w:shd w:val="clear" w:color="auto" w:fill="auto"/>
          </w:tcPr>
          <w:p w14:paraId="5C7C569A" w14:textId="77777777" w:rsidR="0008009C" w:rsidRDefault="0008009C">
            <w:pPr>
              <w:rPr>
                <w:rFonts w:ascii="宋体"/>
                <w:vanish/>
              </w:rPr>
            </w:pPr>
          </w:p>
        </w:tc>
        <w:tc>
          <w:tcPr>
            <w:tcW w:w="0" w:type="auto"/>
            <w:gridSpan w:val="3"/>
            <w:shd w:val="clear" w:color="auto" w:fill="auto"/>
          </w:tcPr>
          <w:p w14:paraId="5C7C569B" w14:textId="77777777" w:rsidR="0008009C" w:rsidRDefault="0008009C">
            <w:pPr>
              <w:rPr>
                <w:rFonts w:ascii="宋体"/>
                <w:vanish/>
              </w:rPr>
            </w:pPr>
          </w:p>
        </w:tc>
        <w:tc>
          <w:tcPr>
            <w:tcW w:w="0" w:type="auto"/>
            <w:gridSpan w:val="3"/>
            <w:shd w:val="clear" w:color="auto" w:fill="auto"/>
          </w:tcPr>
          <w:p w14:paraId="5C7C569C" w14:textId="77777777" w:rsidR="0008009C" w:rsidRDefault="0008009C">
            <w:pPr>
              <w:rPr>
                <w:rFonts w:ascii="宋体"/>
                <w:vanish/>
              </w:rPr>
            </w:pPr>
          </w:p>
        </w:tc>
      </w:tr>
      <w:tr w:rsidR="0008009C" w14:paraId="5C7C56A3" w14:textId="77777777">
        <w:trPr>
          <w:hidden/>
        </w:trPr>
        <w:tc>
          <w:tcPr>
            <w:tcW w:w="0" w:type="auto"/>
            <w:gridSpan w:val="3"/>
            <w:shd w:val="clear" w:color="auto" w:fill="auto"/>
          </w:tcPr>
          <w:p w14:paraId="5C7C569E" w14:textId="77777777" w:rsidR="0008009C" w:rsidRDefault="0008009C">
            <w:pPr>
              <w:rPr>
                <w:rFonts w:ascii="宋体"/>
                <w:vanish/>
              </w:rPr>
            </w:pPr>
          </w:p>
        </w:tc>
        <w:tc>
          <w:tcPr>
            <w:tcW w:w="0" w:type="auto"/>
            <w:gridSpan w:val="3"/>
            <w:shd w:val="clear" w:color="auto" w:fill="auto"/>
          </w:tcPr>
          <w:p w14:paraId="5C7C569F" w14:textId="77777777" w:rsidR="0008009C" w:rsidRDefault="0008009C">
            <w:pPr>
              <w:rPr>
                <w:rFonts w:ascii="宋体"/>
                <w:vanish/>
              </w:rPr>
            </w:pPr>
          </w:p>
        </w:tc>
        <w:tc>
          <w:tcPr>
            <w:tcW w:w="0" w:type="auto"/>
            <w:gridSpan w:val="3"/>
            <w:shd w:val="clear" w:color="auto" w:fill="auto"/>
          </w:tcPr>
          <w:p w14:paraId="5C7C56A0" w14:textId="77777777" w:rsidR="0008009C" w:rsidRDefault="0008009C">
            <w:pPr>
              <w:rPr>
                <w:rFonts w:ascii="宋体"/>
                <w:vanish/>
              </w:rPr>
            </w:pPr>
          </w:p>
        </w:tc>
        <w:tc>
          <w:tcPr>
            <w:tcW w:w="0" w:type="auto"/>
            <w:gridSpan w:val="3"/>
            <w:shd w:val="clear" w:color="auto" w:fill="auto"/>
          </w:tcPr>
          <w:p w14:paraId="5C7C56A1" w14:textId="77777777" w:rsidR="0008009C" w:rsidRDefault="0008009C">
            <w:pPr>
              <w:rPr>
                <w:rFonts w:ascii="宋体"/>
                <w:vanish/>
              </w:rPr>
            </w:pPr>
          </w:p>
        </w:tc>
        <w:tc>
          <w:tcPr>
            <w:tcW w:w="0" w:type="auto"/>
            <w:gridSpan w:val="3"/>
            <w:shd w:val="clear" w:color="auto" w:fill="auto"/>
          </w:tcPr>
          <w:p w14:paraId="5C7C56A2" w14:textId="77777777" w:rsidR="0008009C" w:rsidRDefault="0008009C">
            <w:pPr>
              <w:rPr>
                <w:rFonts w:ascii="宋体"/>
                <w:vanish/>
              </w:rPr>
            </w:pPr>
          </w:p>
        </w:tc>
      </w:tr>
      <w:tr w:rsidR="0008009C" w14:paraId="5C7C56A9" w14:textId="77777777">
        <w:trPr>
          <w:hidden/>
        </w:trPr>
        <w:tc>
          <w:tcPr>
            <w:tcW w:w="0" w:type="auto"/>
            <w:gridSpan w:val="3"/>
            <w:shd w:val="clear" w:color="auto" w:fill="auto"/>
          </w:tcPr>
          <w:p w14:paraId="5C7C56A4" w14:textId="77777777" w:rsidR="0008009C" w:rsidRDefault="0008009C">
            <w:pPr>
              <w:rPr>
                <w:rFonts w:ascii="宋体"/>
                <w:vanish/>
              </w:rPr>
            </w:pPr>
          </w:p>
        </w:tc>
        <w:tc>
          <w:tcPr>
            <w:tcW w:w="0" w:type="auto"/>
            <w:gridSpan w:val="3"/>
            <w:shd w:val="clear" w:color="auto" w:fill="auto"/>
          </w:tcPr>
          <w:p w14:paraId="5C7C56A5" w14:textId="77777777" w:rsidR="0008009C" w:rsidRDefault="0008009C">
            <w:pPr>
              <w:rPr>
                <w:rFonts w:ascii="宋体"/>
                <w:vanish/>
              </w:rPr>
            </w:pPr>
          </w:p>
        </w:tc>
        <w:tc>
          <w:tcPr>
            <w:tcW w:w="0" w:type="auto"/>
            <w:gridSpan w:val="3"/>
            <w:shd w:val="clear" w:color="auto" w:fill="auto"/>
          </w:tcPr>
          <w:p w14:paraId="5C7C56A6" w14:textId="77777777" w:rsidR="0008009C" w:rsidRDefault="0008009C">
            <w:pPr>
              <w:rPr>
                <w:rFonts w:ascii="宋体"/>
                <w:vanish/>
              </w:rPr>
            </w:pPr>
          </w:p>
        </w:tc>
        <w:tc>
          <w:tcPr>
            <w:tcW w:w="0" w:type="auto"/>
            <w:gridSpan w:val="3"/>
            <w:shd w:val="clear" w:color="auto" w:fill="auto"/>
          </w:tcPr>
          <w:p w14:paraId="5C7C56A7" w14:textId="77777777" w:rsidR="0008009C" w:rsidRDefault="0008009C">
            <w:pPr>
              <w:rPr>
                <w:rFonts w:ascii="宋体"/>
                <w:vanish/>
              </w:rPr>
            </w:pPr>
          </w:p>
        </w:tc>
        <w:tc>
          <w:tcPr>
            <w:tcW w:w="0" w:type="auto"/>
            <w:gridSpan w:val="3"/>
            <w:shd w:val="clear" w:color="auto" w:fill="auto"/>
          </w:tcPr>
          <w:p w14:paraId="5C7C56A8" w14:textId="77777777" w:rsidR="0008009C" w:rsidRDefault="0008009C">
            <w:pPr>
              <w:rPr>
                <w:rFonts w:ascii="宋体"/>
                <w:vanish/>
              </w:rPr>
            </w:pPr>
          </w:p>
        </w:tc>
      </w:tr>
      <w:tr w:rsidR="0008009C" w14:paraId="5C7C56AF" w14:textId="77777777">
        <w:trPr>
          <w:hidden/>
        </w:trPr>
        <w:tc>
          <w:tcPr>
            <w:tcW w:w="0" w:type="auto"/>
            <w:gridSpan w:val="3"/>
            <w:shd w:val="clear" w:color="auto" w:fill="auto"/>
          </w:tcPr>
          <w:p w14:paraId="5C7C56AA" w14:textId="77777777" w:rsidR="0008009C" w:rsidRDefault="0008009C">
            <w:pPr>
              <w:rPr>
                <w:rFonts w:ascii="宋体"/>
                <w:vanish/>
              </w:rPr>
            </w:pPr>
          </w:p>
        </w:tc>
        <w:tc>
          <w:tcPr>
            <w:tcW w:w="0" w:type="auto"/>
            <w:gridSpan w:val="3"/>
            <w:shd w:val="clear" w:color="auto" w:fill="auto"/>
          </w:tcPr>
          <w:p w14:paraId="5C7C56AB" w14:textId="77777777" w:rsidR="0008009C" w:rsidRDefault="0008009C">
            <w:pPr>
              <w:rPr>
                <w:rFonts w:ascii="宋体"/>
                <w:vanish/>
              </w:rPr>
            </w:pPr>
          </w:p>
        </w:tc>
        <w:tc>
          <w:tcPr>
            <w:tcW w:w="0" w:type="auto"/>
            <w:gridSpan w:val="3"/>
            <w:shd w:val="clear" w:color="auto" w:fill="auto"/>
          </w:tcPr>
          <w:p w14:paraId="5C7C56AC" w14:textId="77777777" w:rsidR="0008009C" w:rsidRDefault="0008009C">
            <w:pPr>
              <w:rPr>
                <w:rFonts w:ascii="宋体"/>
                <w:vanish/>
              </w:rPr>
            </w:pPr>
          </w:p>
        </w:tc>
        <w:tc>
          <w:tcPr>
            <w:tcW w:w="0" w:type="auto"/>
            <w:gridSpan w:val="3"/>
            <w:shd w:val="clear" w:color="auto" w:fill="auto"/>
          </w:tcPr>
          <w:p w14:paraId="5C7C56AD" w14:textId="77777777" w:rsidR="0008009C" w:rsidRDefault="0008009C">
            <w:pPr>
              <w:rPr>
                <w:rFonts w:ascii="宋体"/>
                <w:vanish/>
              </w:rPr>
            </w:pPr>
          </w:p>
        </w:tc>
        <w:tc>
          <w:tcPr>
            <w:tcW w:w="0" w:type="auto"/>
            <w:gridSpan w:val="3"/>
            <w:shd w:val="clear" w:color="auto" w:fill="auto"/>
          </w:tcPr>
          <w:p w14:paraId="5C7C56AE" w14:textId="77777777" w:rsidR="0008009C" w:rsidRDefault="0008009C">
            <w:pPr>
              <w:rPr>
                <w:rFonts w:ascii="宋体"/>
                <w:vanish/>
              </w:rPr>
            </w:pPr>
          </w:p>
        </w:tc>
      </w:tr>
      <w:tr w:rsidR="0008009C" w14:paraId="5C7C56B5" w14:textId="77777777">
        <w:trPr>
          <w:hidden/>
        </w:trPr>
        <w:tc>
          <w:tcPr>
            <w:tcW w:w="0" w:type="auto"/>
            <w:gridSpan w:val="3"/>
            <w:shd w:val="clear" w:color="auto" w:fill="auto"/>
          </w:tcPr>
          <w:p w14:paraId="5C7C56B0" w14:textId="77777777" w:rsidR="0008009C" w:rsidRDefault="0008009C">
            <w:pPr>
              <w:rPr>
                <w:rFonts w:ascii="宋体"/>
                <w:vanish/>
              </w:rPr>
            </w:pPr>
          </w:p>
        </w:tc>
        <w:tc>
          <w:tcPr>
            <w:tcW w:w="0" w:type="auto"/>
            <w:gridSpan w:val="3"/>
            <w:shd w:val="clear" w:color="auto" w:fill="auto"/>
          </w:tcPr>
          <w:p w14:paraId="5C7C56B1" w14:textId="77777777" w:rsidR="0008009C" w:rsidRDefault="0008009C">
            <w:pPr>
              <w:rPr>
                <w:rFonts w:ascii="宋体"/>
                <w:vanish/>
              </w:rPr>
            </w:pPr>
          </w:p>
        </w:tc>
        <w:tc>
          <w:tcPr>
            <w:tcW w:w="0" w:type="auto"/>
            <w:gridSpan w:val="3"/>
            <w:shd w:val="clear" w:color="auto" w:fill="auto"/>
          </w:tcPr>
          <w:p w14:paraId="5C7C56B2" w14:textId="77777777" w:rsidR="0008009C" w:rsidRDefault="0008009C">
            <w:pPr>
              <w:rPr>
                <w:rFonts w:ascii="宋体"/>
                <w:vanish/>
              </w:rPr>
            </w:pPr>
          </w:p>
        </w:tc>
        <w:tc>
          <w:tcPr>
            <w:tcW w:w="0" w:type="auto"/>
            <w:gridSpan w:val="3"/>
            <w:shd w:val="clear" w:color="auto" w:fill="auto"/>
          </w:tcPr>
          <w:p w14:paraId="5C7C56B3" w14:textId="77777777" w:rsidR="0008009C" w:rsidRDefault="0008009C">
            <w:pPr>
              <w:rPr>
                <w:rFonts w:ascii="宋体"/>
                <w:vanish/>
              </w:rPr>
            </w:pPr>
          </w:p>
        </w:tc>
        <w:tc>
          <w:tcPr>
            <w:tcW w:w="0" w:type="auto"/>
            <w:gridSpan w:val="3"/>
            <w:shd w:val="clear" w:color="auto" w:fill="auto"/>
          </w:tcPr>
          <w:p w14:paraId="5C7C56B4" w14:textId="77777777" w:rsidR="0008009C" w:rsidRDefault="0008009C">
            <w:pPr>
              <w:rPr>
                <w:rFonts w:ascii="宋体"/>
                <w:vanish/>
              </w:rPr>
            </w:pPr>
          </w:p>
        </w:tc>
      </w:tr>
      <w:tr w:rsidR="0008009C" w14:paraId="5C7C56BB" w14:textId="77777777">
        <w:trPr>
          <w:hidden/>
        </w:trPr>
        <w:tc>
          <w:tcPr>
            <w:tcW w:w="0" w:type="auto"/>
            <w:gridSpan w:val="3"/>
            <w:shd w:val="clear" w:color="auto" w:fill="auto"/>
          </w:tcPr>
          <w:p w14:paraId="5C7C56B6" w14:textId="77777777" w:rsidR="0008009C" w:rsidRDefault="0008009C">
            <w:pPr>
              <w:rPr>
                <w:rFonts w:ascii="宋体"/>
                <w:vanish/>
              </w:rPr>
            </w:pPr>
          </w:p>
        </w:tc>
        <w:tc>
          <w:tcPr>
            <w:tcW w:w="0" w:type="auto"/>
            <w:gridSpan w:val="3"/>
            <w:shd w:val="clear" w:color="auto" w:fill="auto"/>
          </w:tcPr>
          <w:p w14:paraId="5C7C56B7" w14:textId="77777777" w:rsidR="0008009C" w:rsidRDefault="0008009C">
            <w:pPr>
              <w:rPr>
                <w:rFonts w:ascii="宋体"/>
                <w:vanish/>
              </w:rPr>
            </w:pPr>
          </w:p>
        </w:tc>
        <w:tc>
          <w:tcPr>
            <w:tcW w:w="0" w:type="auto"/>
            <w:gridSpan w:val="3"/>
            <w:shd w:val="clear" w:color="auto" w:fill="auto"/>
          </w:tcPr>
          <w:p w14:paraId="5C7C56B8" w14:textId="77777777" w:rsidR="0008009C" w:rsidRDefault="0008009C">
            <w:pPr>
              <w:rPr>
                <w:rFonts w:ascii="宋体"/>
                <w:vanish/>
              </w:rPr>
            </w:pPr>
          </w:p>
        </w:tc>
        <w:tc>
          <w:tcPr>
            <w:tcW w:w="0" w:type="auto"/>
            <w:gridSpan w:val="3"/>
            <w:shd w:val="clear" w:color="auto" w:fill="auto"/>
          </w:tcPr>
          <w:p w14:paraId="5C7C56B9" w14:textId="77777777" w:rsidR="0008009C" w:rsidRDefault="0008009C">
            <w:pPr>
              <w:rPr>
                <w:rFonts w:ascii="宋体"/>
                <w:vanish/>
              </w:rPr>
            </w:pPr>
          </w:p>
        </w:tc>
        <w:tc>
          <w:tcPr>
            <w:tcW w:w="0" w:type="auto"/>
            <w:gridSpan w:val="3"/>
            <w:shd w:val="clear" w:color="auto" w:fill="auto"/>
          </w:tcPr>
          <w:p w14:paraId="5C7C56BA" w14:textId="77777777" w:rsidR="0008009C" w:rsidRDefault="0008009C">
            <w:pPr>
              <w:rPr>
                <w:rFonts w:ascii="宋体"/>
                <w:vanish/>
              </w:rPr>
            </w:pPr>
          </w:p>
        </w:tc>
      </w:tr>
      <w:tr w:rsidR="0008009C" w14:paraId="5C7C56C1" w14:textId="77777777">
        <w:trPr>
          <w:hidden/>
        </w:trPr>
        <w:tc>
          <w:tcPr>
            <w:tcW w:w="0" w:type="auto"/>
            <w:gridSpan w:val="3"/>
            <w:shd w:val="clear" w:color="auto" w:fill="auto"/>
          </w:tcPr>
          <w:p w14:paraId="5C7C56BC" w14:textId="77777777" w:rsidR="0008009C" w:rsidRDefault="0008009C">
            <w:pPr>
              <w:rPr>
                <w:rFonts w:ascii="宋体"/>
                <w:vanish/>
              </w:rPr>
            </w:pPr>
          </w:p>
        </w:tc>
        <w:tc>
          <w:tcPr>
            <w:tcW w:w="0" w:type="auto"/>
            <w:gridSpan w:val="3"/>
            <w:shd w:val="clear" w:color="auto" w:fill="auto"/>
          </w:tcPr>
          <w:p w14:paraId="5C7C56BD" w14:textId="77777777" w:rsidR="0008009C" w:rsidRDefault="0008009C">
            <w:pPr>
              <w:rPr>
                <w:rFonts w:ascii="宋体"/>
                <w:vanish/>
              </w:rPr>
            </w:pPr>
          </w:p>
        </w:tc>
        <w:tc>
          <w:tcPr>
            <w:tcW w:w="0" w:type="auto"/>
            <w:gridSpan w:val="3"/>
            <w:shd w:val="clear" w:color="auto" w:fill="auto"/>
          </w:tcPr>
          <w:p w14:paraId="5C7C56BE" w14:textId="77777777" w:rsidR="0008009C" w:rsidRDefault="0008009C">
            <w:pPr>
              <w:rPr>
                <w:rFonts w:ascii="宋体"/>
                <w:vanish/>
              </w:rPr>
            </w:pPr>
          </w:p>
        </w:tc>
        <w:tc>
          <w:tcPr>
            <w:tcW w:w="0" w:type="auto"/>
            <w:gridSpan w:val="3"/>
            <w:shd w:val="clear" w:color="auto" w:fill="auto"/>
          </w:tcPr>
          <w:p w14:paraId="5C7C56BF" w14:textId="77777777" w:rsidR="0008009C" w:rsidRDefault="0008009C">
            <w:pPr>
              <w:rPr>
                <w:rFonts w:ascii="宋体"/>
                <w:vanish/>
              </w:rPr>
            </w:pPr>
          </w:p>
        </w:tc>
        <w:tc>
          <w:tcPr>
            <w:tcW w:w="0" w:type="auto"/>
            <w:gridSpan w:val="3"/>
            <w:shd w:val="clear" w:color="auto" w:fill="auto"/>
          </w:tcPr>
          <w:p w14:paraId="5C7C56C0" w14:textId="77777777" w:rsidR="0008009C" w:rsidRDefault="0008009C">
            <w:pPr>
              <w:rPr>
                <w:rFonts w:ascii="宋体"/>
                <w:vanish/>
              </w:rPr>
            </w:pPr>
          </w:p>
        </w:tc>
      </w:tr>
      <w:tr w:rsidR="0008009C" w14:paraId="5C7C56C9" w14:textId="77777777">
        <w:tc>
          <w:tcPr>
            <w:tcW w:w="0" w:type="auto"/>
            <w:gridSpan w:val="3"/>
            <w:shd w:val="clear" w:color="auto" w:fill="auto"/>
            <w:tcMar>
              <w:top w:w="40" w:type="dxa"/>
              <w:left w:w="140" w:type="dxa"/>
              <w:bottom w:w="40" w:type="dxa"/>
              <w:right w:w="20" w:type="dxa"/>
            </w:tcMar>
          </w:tcPr>
          <w:p w14:paraId="5C7C56C2" w14:textId="77777777" w:rsidR="0008009C" w:rsidRDefault="00936FDF">
            <w:pPr>
              <w:textAlignment w:val="top"/>
            </w:pPr>
            <w:r>
              <w:rPr>
                <w:rFonts w:ascii="Arial" w:eastAsia="宋体" w:hAnsi="Arial" w:cs="Arial"/>
                <w:color w:val="262626"/>
                <w:sz w:val="18"/>
                <w:szCs w:val="18"/>
              </w:rPr>
              <w:t>Other investing</w:t>
            </w:r>
          </w:p>
        </w:tc>
        <w:tc>
          <w:tcPr>
            <w:tcW w:w="0" w:type="auto"/>
            <w:gridSpan w:val="3"/>
            <w:shd w:val="clear" w:color="auto" w:fill="auto"/>
            <w:tcMar>
              <w:top w:w="0" w:type="dxa"/>
              <w:left w:w="20" w:type="dxa"/>
              <w:bottom w:w="0" w:type="dxa"/>
              <w:right w:w="20" w:type="dxa"/>
            </w:tcMar>
          </w:tcPr>
          <w:p w14:paraId="5C7C56C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C4" w14:textId="77777777" w:rsidR="0008009C" w:rsidRDefault="00936FDF">
            <w:pPr>
              <w:jc w:val="right"/>
              <w:textAlignment w:val="bottom"/>
            </w:pPr>
            <w:r>
              <w:rPr>
                <w:rFonts w:ascii="Arial" w:eastAsia="宋体" w:hAnsi="Arial" w:cs="Arial"/>
                <w:color w:val="0068B5"/>
                <w:sz w:val="18"/>
                <w:szCs w:val="18"/>
              </w:rPr>
              <w:t>406 </w:t>
            </w:r>
          </w:p>
        </w:tc>
        <w:tc>
          <w:tcPr>
            <w:tcW w:w="0" w:type="auto"/>
            <w:shd w:val="clear" w:color="auto" w:fill="auto"/>
            <w:tcMar>
              <w:top w:w="40" w:type="dxa"/>
              <w:left w:w="0" w:type="dxa"/>
              <w:bottom w:w="40" w:type="dxa"/>
              <w:right w:w="20" w:type="dxa"/>
            </w:tcMar>
            <w:vAlign w:val="bottom"/>
          </w:tcPr>
          <w:p w14:paraId="5C7C56C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C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C7" w14:textId="77777777" w:rsidR="0008009C" w:rsidRDefault="00936FDF">
            <w:pPr>
              <w:jc w:val="right"/>
              <w:textAlignment w:val="bottom"/>
            </w:pPr>
            <w:r>
              <w:rPr>
                <w:rFonts w:ascii="Arial" w:eastAsia="宋体" w:hAnsi="Arial" w:cs="Arial"/>
                <w:color w:val="262626"/>
                <w:sz w:val="18"/>
                <w:szCs w:val="18"/>
              </w:rPr>
              <w:t>(343)</w:t>
            </w:r>
          </w:p>
        </w:tc>
        <w:tc>
          <w:tcPr>
            <w:tcW w:w="0" w:type="auto"/>
            <w:shd w:val="clear" w:color="auto" w:fill="auto"/>
            <w:tcMar>
              <w:top w:w="40" w:type="dxa"/>
              <w:left w:w="0" w:type="dxa"/>
              <w:bottom w:w="40" w:type="dxa"/>
              <w:right w:w="20" w:type="dxa"/>
            </w:tcMar>
            <w:vAlign w:val="bottom"/>
          </w:tcPr>
          <w:p w14:paraId="5C7C56C8" w14:textId="77777777" w:rsidR="0008009C" w:rsidRDefault="0008009C">
            <w:pPr>
              <w:jc w:val="right"/>
              <w:rPr>
                <w:rFonts w:ascii="宋体"/>
              </w:rPr>
            </w:pPr>
          </w:p>
        </w:tc>
      </w:tr>
      <w:tr w:rsidR="0008009C" w14:paraId="5C7C56D1" w14:textId="77777777">
        <w:tc>
          <w:tcPr>
            <w:tcW w:w="0" w:type="auto"/>
            <w:gridSpan w:val="3"/>
            <w:shd w:val="clear" w:color="auto" w:fill="auto"/>
            <w:tcMar>
              <w:top w:w="40" w:type="dxa"/>
              <w:left w:w="20" w:type="dxa"/>
              <w:bottom w:w="40" w:type="dxa"/>
              <w:right w:w="20" w:type="dxa"/>
            </w:tcMar>
          </w:tcPr>
          <w:p w14:paraId="5C7C56CA" w14:textId="77777777" w:rsidR="0008009C" w:rsidRDefault="00936FDF">
            <w:pPr>
              <w:textAlignment w:val="top"/>
            </w:pPr>
            <w:r>
              <w:rPr>
                <w:rFonts w:ascii="Arial" w:eastAsia="宋体" w:hAnsi="Arial" w:cs="Arial"/>
                <w:b/>
                <w:bCs/>
                <w:color w:val="262626"/>
                <w:sz w:val="18"/>
                <w:szCs w:val="18"/>
              </w:rPr>
              <w:t>Net cash used for investing activities</w:t>
            </w:r>
          </w:p>
        </w:tc>
        <w:tc>
          <w:tcPr>
            <w:tcW w:w="0" w:type="auto"/>
            <w:gridSpan w:val="3"/>
            <w:shd w:val="clear" w:color="auto" w:fill="auto"/>
            <w:tcMar>
              <w:top w:w="0" w:type="dxa"/>
              <w:left w:w="20" w:type="dxa"/>
              <w:bottom w:w="0" w:type="dxa"/>
              <w:right w:w="20" w:type="dxa"/>
            </w:tcMar>
          </w:tcPr>
          <w:p w14:paraId="5C7C56CB"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6CC" w14:textId="77777777" w:rsidR="0008009C" w:rsidRDefault="00936FDF">
            <w:pPr>
              <w:jc w:val="right"/>
              <w:textAlignment w:val="bottom"/>
            </w:pPr>
            <w:r>
              <w:rPr>
                <w:rFonts w:ascii="Arial" w:eastAsia="宋体" w:hAnsi="Arial" w:cs="Arial"/>
                <w:b/>
                <w:bCs/>
                <w:color w:val="0068B5"/>
                <w:sz w:val="18"/>
                <w:szCs w:val="18"/>
              </w:rPr>
              <w:t>(2,547)</w:t>
            </w:r>
          </w:p>
        </w:tc>
        <w:tc>
          <w:tcPr>
            <w:tcW w:w="0" w:type="auto"/>
            <w:tcBorders>
              <w:top w:val="single" w:sz="8" w:space="0" w:color="262626"/>
            </w:tcBorders>
            <w:shd w:val="clear" w:color="auto" w:fill="auto"/>
            <w:tcMar>
              <w:top w:w="40" w:type="dxa"/>
              <w:left w:w="0" w:type="dxa"/>
              <w:bottom w:w="40" w:type="dxa"/>
              <w:right w:w="20" w:type="dxa"/>
            </w:tcMar>
            <w:vAlign w:val="bottom"/>
          </w:tcPr>
          <w:p w14:paraId="5C7C56C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CE"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6CF" w14:textId="77777777" w:rsidR="0008009C" w:rsidRDefault="00936FDF">
            <w:pPr>
              <w:jc w:val="right"/>
              <w:textAlignment w:val="bottom"/>
            </w:pPr>
            <w:r>
              <w:rPr>
                <w:rFonts w:ascii="Arial" w:eastAsia="宋体" w:hAnsi="Arial" w:cs="Arial"/>
                <w:b/>
                <w:bCs/>
                <w:color w:val="262626"/>
                <w:sz w:val="18"/>
                <w:szCs w:val="18"/>
              </w:rPr>
              <w:t>(3,736)</w:t>
            </w:r>
          </w:p>
        </w:tc>
        <w:tc>
          <w:tcPr>
            <w:tcW w:w="0" w:type="auto"/>
            <w:tcBorders>
              <w:top w:val="single" w:sz="8" w:space="0" w:color="262626"/>
            </w:tcBorders>
            <w:shd w:val="clear" w:color="auto" w:fill="auto"/>
            <w:tcMar>
              <w:top w:w="40" w:type="dxa"/>
              <w:left w:w="0" w:type="dxa"/>
              <w:bottom w:w="40" w:type="dxa"/>
              <w:right w:w="20" w:type="dxa"/>
            </w:tcMar>
            <w:vAlign w:val="bottom"/>
          </w:tcPr>
          <w:p w14:paraId="5C7C56D0" w14:textId="77777777" w:rsidR="0008009C" w:rsidRDefault="0008009C">
            <w:pPr>
              <w:jc w:val="right"/>
              <w:rPr>
                <w:rFonts w:ascii="宋体"/>
              </w:rPr>
            </w:pPr>
          </w:p>
        </w:tc>
      </w:tr>
      <w:tr w:rsidR="0008009C" w14:paraId="5C7C56D7" w14:textId="77777777">
        <w:tc>
          <w:tcPr>
            <w:tcW w:w="0" w:type="auto"/>
            <w:gridSpan w:val="3"/>
            <w:shd w:val="clear" w:color="auto" w:fill="auto"/>
            <w:tcMar>
              <w:top w:w="40" w:type="dxa"/>
              <w:left w:w="20" w:type="dxa"/>
              <w:bottom w:w="40" w:type="dxa"/>
              <w:right w:w="20" w:type="dxa"/>
            </w:tcMar>
          </w:tcPr>
          <w:p w14:paraId="5C7C56D2" w14:textId="77777777" w:rsidR="0008009C" w:rsidRDefault="00936FDF">
            <w:pPr>
              <w:textAlignment w:val="top"/>
            </w:pPr>
            <w:r>
              <w:rPr>
                <w:rFonts w:ascii="Arial" w:eastAsia="宋体" w:hAnsi="Arial" w:cs="Arial"/>
                <w:color w:val="262626"/>
                <w:sz w:val="18"/>
                <w:szCs w:val="18"/>
              </w:rPr>
              <w:t>Cash flows provided by (used for) financing activities:</w:t>
            </w:r>
          </w:p>
        </w:tc>
        <w:tc>
          <w:tcPr>
            <w:tcW w:w="0" w:type="auto"/>
            <w:gridSpan w:val="3"/>
            <w:shd w:val="clear" w:color="auto" w:fill="auto"/>
            <w:tcMar>
              <w:top w:w="0" w:type="dxa"/>
              <w:left w:w="20" w:type="dxa"/>
              <w:bottom w:w="0" w:type="dxa"/>
              <w:right w:w="20" w:type="dxa"/>
            </w:tcMar>
          </w:tcPr>
          <w:p w14:paraId="5C7C56D3" w14:textId="77777777" w:rsidR="0008009C" w:rsidRDefault="0008009C">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5C7C56D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6D5" w14:textId="77777777" w:rsidR="0008009C" w:rsidRDefault="0008009C">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5C7C56D6" w14:textId="77777777" w:rsidR="0008009C" w:rsidRDefault="0008009C">
            <w:pPr>
              <w:rPr>
                <w:rFonts w:ascii="宋体"/>
              </w:rPr>
            </w:pPr>
          </w:p>
        </w:tc>
      </w:tr>
      <w:tr w:rsidR="0008009C" w14:paraId="5C7C56DD" w14:textId="77777777">
        <w:trPr>
          <w:hidden/>
        </w:trPr>
        <w:tc>
          <w:tcPr>
            <w:tcW w:w="0" w:type="auto"/>
            <w:gridSpan w:val="3"/>
            <w:shd w:val="clear" w:color="auto" w:fill="auto"/>
          </w:tcPr>
          <w:p w14:paraId="5C7C56D8" w14:textId="77777777" w:rsidR="0008009C" w:rsidRDefault="0008009C">
            <w:pPr>
              <w:rPr>
                <w:rFonts w:ascii="宋体"/>
                <w:vanish/>
              </w:rPr>
            </w:pPr>
          </w:p>
        </w:tc>
        <w:tc>
          <w:tcPr>
            <w:tcW w:w="0" w:type="auto"/>
            <w:gridSpan w:val="3"/>
            <w:shd w:val="clear" w:color="auto" w:fill="auto"/>
          </w:tcPr>
          <w:p w14:paraId="5C7C56D9" w14:textId="77777777" w:rsidR="0008009C" w:rsidRDefault="0008009C">
            <w:pPr>
              <w:rPr>
                <w:rFonts w:ascii="宋体"/>
                <w:vanish/>
              </w:rPr>
            </w:pPr>
          </w:p>
        </w:tc>
        <w:tc>
          <w:tcPr>
            <w:tcW w:w="0" w:type="auto"/>
            <w:gridSpan w:val="3"/>
            <w:shd w:val="clear" w:color="auto" w:fill="auto"/>
          </w:tcPr>
          <w:p w14:paraId="5C7C56DA" w14:textId="77777777" w:rsidR="0008009C" w:rsidRDefault="0008009C">
            <w:pPr>
              <w:rPr>
                <w:rFonts w:ascii="宋体"/>
                <w:vanish/>
              </w:rPr>
            </w:pPr>
          </w:p>
        </w:tc>
        <w:tc>
          <w:tcPr>
            <w:tcW w:w="0" w:type="auto"/>
            <w:gridSpan w:val="3"/>
            <w:shd w:val="clear" w:color="auto" w:fill="auto"/>
          </w:tcPr>
          <w:p w14:paraId="5C7C56DB" w14:textId="77777777" w:rsidR="0008009C" w:rsidRDefault="0008009C">
            <w:pPr>
              <w:rPr>
                <w:rFonts w:ascii="宋体"/>
                <w:vanish/>
              </w:rPr>
            </w:pPr>
          </w:p>
        </w:tc>
        <w:tc>
          <w:tcPr>
            <w:tcW w:w="0" w:type="auto"/>
            <w:gridSpan w:val="3"/>
            <w:shd w:val="clear" w:color="auto" w:fill="auto"/>
          </w:tcPr>
          <w:p w14:paraId="5C7C56DC" w14:textId="77777777" w:rsidR="0008009C" w:rsidRDefault="0008009C">
            <w:pPr>
              <w:rPr>
                <w:rFonts w:ascii="宋体"/>
                <w:vanish/>
              </w:rPr>
            </w:pPr>
          </w:p>
        </w:tc>
      </w:tr>
      <w:tr w:rsidR="0008009C" w14:paraId="5C7C56E3" w14:textId="77777777">
        <w:trPr>
          <w:hidden/>
        </w:trPr>
        <w:tc>
          <w:tcPr>
            <w:tcW w:w="0" w:type="auto"/>
            <w:gridSpan w:val="3"/>
            <w:shd w:val="clear" w:color="auto" w:fill="auto"/>
          </w:tcPr>
          <w:p w14:paraId="5C7C56DE" w14:textId="77777777" w:rsidR="0008009C" w:rsidRDefault="0008009C">
            <w:pPr>
              <w:rPr>
                <w:rFonts w:ascii="宋体"/>
                <w:vanish/>
              </w:rPr>
            </w:pPr>
          </w:p>
        </w:tc>
        <w:tc>
          <w:tcPr>
            <w:tcW w:w="0" w:type="auto"/>
            <w:gridSpan w:val="3"/>
            <w:shd w:val="clear" w:color="auto" w:fill="auto"/>
          </w:tcPr>
          <w:p w14:paraId="5C7C56DF" w14:textId="77777777" w:rsidR="0008009C" w:rsidRDefault="0008009C">
            <w:pPr>
              <w:rPr>
                <w:rFonts w:ascii="宋体"/>
                <w:vanish/>
              </w:rPr>
            </w:pPr>
          </w:p>
        </w:tc>
        <w:tc>
          <w:tcPr>
            <w:tcW w:w="0" w:type="auto"/>
            <w:gridSpan w:val="3"/>
            <w:shd w:val="clear" w:color="auto" w:fill="auto"/>
          </w:tcPr>
          <w:p w14:paraId="5C7C56E0" w14:textId="77777777" w:rsidR="0008009C" w:rsidRDefault="0008009C">
            <w:pPr>
              <w:rPr>
                <w:rFonts w:ascii="宋体"/>
                <w:vanish/>
              </w:rPr>
            </w:pPr>
          </w:p>
        </w:tc>
        <w:tc>
          <w:tcPr>
            <w:tcW w:w="0" w:type="auto"/>
            <w:gridSpan w:val="3"/>
            <w:shd w:val="clear" w:color="auto" w:fill="auto"/>
          </w:tcPr>
          <w:p w14:paraId="5C7C56E1" w14:textId="77777777" w:rsidR="0008009C" w:rsidRDefault="0008009C">
            <w:pPr>
              <w:rPr>
                <w:rFonts w:ascii="宋体"/>
                <w:vanish/>
              </w:rPr>
            </w:pPr>
          </w:p>
        </w:tc>
        <w:tc>
          <w:tcPr>
            <w:tcW w:w="0" w:type="auto"/>
            <w:gridSpan w:val="3"/>
            <w:shd w:val="clear" w:color="auto" w:fill="auto"/>
          </w:tcPr>
          <w:p w14:paraId="5C7C56E2" w14:textId="77777777" w:rsidR="0008009C" w:rsidRDefault="0008009C">
            <w:pPr>
              <w:rPr>
                <w:rFonts w:ascii="宋体"/>
                <w:vanish/>
              </w:rPr>
            </w:pPr>
          </w:p>
        </w:tc>
      </w:tr>
      <w:tr w:rsidR="0008009C" w14:paraId="5C7C56E9" w14:textId="77777777">
        <w:trPr>
          <w:hidden/>
        </w:trPr>
        <w:tc>
          <w:tcPr>
            <w:tcW w:w="0" w:type="auto"/>
            <w:gridSpan w:val="3"/>
            <w:shd w:val="clear" w:color="auto" w:fill="auto"/>
          </w:tcPr>
          <w:p w14:paraId="5C7C56E4" w14:textId="77777777" w:rsidR="0008009C" w:rsidRDefault="0008009C">
            <w:pPr>
              <w:rPr>
                <w:rFonts w:ascii="宋体"/>
                <w:vanish/>
              </w:rPr>
            </w:pPr>
          </w:p>
        </w:tc>
        <w:tc>
          <w:tcPr>
            <w:tcW w:w="0" w:type="auto"/>
            <w:gridSpan w:val="3"/>
            <w:shd w:val="clear" w:color="auto" w:fill="auto"/>
          </w:tcPr>
          <w:p w14:paraId="5C7C56E5" w14:textId="77777777" w:rsidR="0008009C" w:rsidRDefault="0008009C">
            <w:pPr>
              <w:rPr>
                <w:rFonts w:ascii="宋体"/>
                <w:vanish/>
              </w:rPr>
            </w:pPr>
          </w:p>
        </w:tc>
        <w:tc>
          <w:tcPr>
            <w:tcW w:w="0" w:type="auto"/>
            <w:gridSpan w:val="3"/>
            <w:shd w:val="clear" w:color="auto" w:fill="auto"/>
          </w:tcPr>
          <w:p w14:paraId="5C7C56E6" w14:textId="77777777" w:rsidR="0008009C" w:rsidRDefault="0008009C">
            <w:pPr>
              <w:rPr>
                <w:rFonts w:ascii="宋体"/>
                <w:vanish/>
              </w:rPr>
            </w:pPr>
          </w:p>
        </w:tc>
        <w:tc>
          <w:tcPr>
            <w:tcW w:w="0" w:type="auto"/>
            <w:gridSpan w:val="3"/>
            <w:shd w:val="clear" w:color="auto" w:fill="auto"/>
          </w:tcPr>
          <w:p w14:paraId="5C7C56E7" w14:textId="77777777" w:rsidR="0008009C" w:rsidRDefault="0008009C">
            <w:pPr>
              <w:rPr>
                <w:rFonts w:ascii="宋体"/>
                <w:vanish/>
              </w:rPr>
            </w:pPr>
          </w:p>
        </w:tc>
        <w:tc>
          <w:tcPr>
            <w:tcW w:w="0" w:type="auto"/>
            <w:gridSpan w:val="3"/>
            <w:shd w:val="clear" w:color="auto" w:fill="auto"/>
          </w:tcPr>
          <w:p w14:paraId="5C7C56E8" w14:textId="77777777" w:rsidR="0008009C" w:rsidRDefault="0008009C">
            <w:pPr>
              <w:rPr>
                <w:rFonts w:ascii="宋体"/>
                <w:vanish/>
              </w:rPr>
            </w:pPr>
          </w:p>
        </w:tc>
      </w:tr>
      <w:tr w:rsidR="0008009C" w14:paraId="5C7C56F1" w14:textId="77777777">
        <w:tc>
          <w:tcPr>
            <w:tcW w:w="0" w:type="auto"/>
            <w:gridSpan w:val="3"/>
            <w:shd w:val="clear" w:color="auto" w:fill="auto"/>
            <w:tcMar>
              <w:top w:w="40" w:type="dxa"/>
              <w:left w:w="140" w:type="dxa"/>
              <w:bottom w:w="40" w:type="dxa"/>
              <w:right w:w="20" w:type="dxa"/>
            </w:tcMar>
          </w:tcPr>
          <w:p w14:paraId="5C7C56EA" w14:textId="77777777" w:rsidR="0008009C" w:rsidRDefault="00936FDF">
            <w:pPr>
              <w:textAlignment w:val="top"/>
            </w:pPr>
            <w:r>
              <w:rPr>
                <w:rFonts w:ascii="Arial" w:eastAsia="宋体" w:hAnsi="Arial" w:cs="Arial"/>
                <w:color w:val="262626"/>
                <w:sz w:val="18"/>
                <w:szCs w:val="18"/>
              </w:rPr>
              <w:t>Issuance of long-term debt, net of issuance costs</w:t>
            </w:r>
          </w:p>
        </w:tc>
        <w:tc>
          <w:tcPr>
            <w:tcW w:w="0" w:type="auto"/>
            <w:gridSpan w:val="3"/>
            <w:shd w:val="clear" w:color="auto" w:fill="auto"/>
            <w:tcMar>
              <w:top w:w="0" w:type="dxa"/>
              <w:left w:w="20" w:type="dxa"/>
              <w:bottom w:w="0" w:type="dxa"/>
              <w:right w:w="20" w:type="dxa"/>
            </w:tcMar>
          </w:tcPr>
          <w:p w14:paraId="5C7C56E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EC"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6E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E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EF" w14:textId="77777777" w:rsidR="0008009C" w:rsidRDefault="00936FDF">
            <w:pPr>
              <w:jc w:val="right"/>
              <w:textAlignment w:val="bottom"/>
            </w:pPr>
            <w:r>
              <w:rPr>
                <w:rFonts w:ascii="Arial" w:eastAsia="宋体" w:hAnsi="Arial" w:cs="Arial"/>
                <w:color w:val="262626"/>
                <w:sz w:val="18"/>
                <w:szCs w:val="18"/>
              </w:rPr>
              <w:t>10,247 </w:t>
            </w:r>
          </w:p>
        </w:tc>
        <w:tc>
          <w:tcPr>
            <w:tcW w:w="0" w:type="auto"/>
            <w:shd w:val="clear" w:color="auto" w:fill="auto"/>
            <w:tcMar>
              <w:top w:w="40" w:type="dxa"/>
              <w:left w:w="0" w:type="dxa"/>
              <w:bottom w:w="40" w:type="dxa"/>
              <w:right w:w="20" w:type="dxa"/>
            </w:tcMar>
            <w:vAlign w:val="bottom"/>
          </w:tcPr>
          <w:p w14:paraId="5C7C56F0" w14:textId="77777777" w:rsidR="0008009C" w:rsidRDefault="0008009C">
            <w:pPr>
              <w:jc w:val="right"/>
              <w:rPr>
                <w:rFonts w:ascii="宋体"/>
              </w:rPr>
            </w:pPr>
          </w:p>
        </w:tc>
      </w:tr>
      <w:tr w:rsidR="0008009C" w14:paraId="5C7C56F9" w14:textId="77777777">
        <w:tc>
          <w:tcPr>
            <w:tcW w:w="0" w:type="auto"/>
            <w:gridSpan w:val="3"/>
            <w:shd w:val="clear" w:color="auto" w:fill="auto"/>
            <w:tcMar>
              <w:top w:w="40" w:type="dxa"/>
              <w:left w:w="140" w:type="dxa"/>
              <w:bottom w:w="40" w:type="dxa"/>
              <w:right w:w="20" w:type="dxa"/>
            </w:tcMar>
          </w:tcPr>
          <w:p w14:paraId="5C7C56F2" w14:textId="77777777" w:rsidR="0008009C" w:rsidRDefault="00936FDF">
            <w:pPr>
              <w:textAlignment w:val="top"/>
            </w:pPr>
            <w:r>
              <w:rPr>
                <w:rFonts w:ascii="Arial" w:eastAsia="宋体" w:hAnsi="Arial" w:cs="Arial"/>
                <w:color w:val="262626"/>
                <w:sz w:val="18"/>
                <w:szCs w:val="18"/>
              </w:rPr>
              <w:t>Repayment of debt and debt conversion</w:t>
            </w:r>
          </w:p>
        </w:tc>
        <w:tc>
          <w:tcPr>
            <w:tcW w:w="0" w:type="auto"/>
            <w:gridSpan w:val="3"/>
            <w:shd w:val="clear" w:color="auto" w:fill="auto"/>
            <w:tcMar>
              <w:top w:w="0" w:type="dxa"/>
              <w:left w:w="20" w:type="dxa"/>
              <w:bottom w:w="0" w:type="dxa"/>
              <w:right w:w="20" w:type="dxa"/>
            </w:tcMar>
          </w:tcPr>
          <w:p w14:paraId="5C7C56F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F4"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6F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F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F7" w14:textId="77777777" w:rsidR="0008009C" w:rsidRDefault="00936FDF">
            <w:pPr>
              <w:jc w:val="right"/>
              <w:textAlignment w:val="bottom"/>
            </w:pPr>
            <w:r>
              <w:rPr>
                <w:rFonts w:ascii="Arial" w:eastAsia="宋体" w:hAnsi="Arial" w:cs="Arial"/>
                <w:color w:val="262626"/>
                <w:sz w:val="18"/>
                <w:szCs w:val="18"/>
              </w:rPr>
              <w:t>(1,075)</w:t>
            </w:r>
          </w:p>
        </w:tc>
        <w:tc>
          <w:tcPr>
            <w:tcW w:w="0" w:type="auto"/>
            <w:shd w:val="clear" w:color="auto" w:fill="auto"/>
            <w:tcMar>
              <w:top w:w="40" w:type="dxa"/>
              <w:left w:w="0" w:type="dxa"/>
              <w:bottom w:w="40" w:type="dxa"/>
              <w:right w:w="20" w:type="dxa"/>
            </w:tcMar>
            <w:vAlign w:val="bottom"/>
          </w:tcPr>
          <w:p w14:paraId="5C7C56F8" w14:textId="77777777" w:rsidR="0008009C" w:rsidRDefault="0008009C">
            <w:pPr>
              <w:jc w:val="right"/>
              <w:rPr>
                <w:rFonts w:ascii="宋体"/>
              </w:rPr>
            </w:pPr>
          </w:p>
        </w:tc>
      </w:tr>
      <w:tr w:rsidR="0008009C" w14:paraId="5C7C5701" w14:textId="77777777">
        <w:tc>
          <w:tcPr>
            <w:tcW w:w="0" w:type="auto"/>
            <w:gridSpan w:val="3"/>
            <w:shd w:val="clear" w:color="auto" w:fill="auto"/>
            <w:tcMar>
              <w:top w:w="40" w:type="dxa"/>
              <w:left w:w="140" w:type="dxa"/>
              <w:bottom w:w="40" w:type="dxa"/>
              <w:right w:w="20" w:type="dxa"/>
            </w:tcMar>
          </w:tcPr>
          <w:p w14:paraId="5C7C56FA" w14:textId="77777777" w:rsidR="0008009C" w:rsidRDefault="00936FDF">
            <w:pPr>
              <w:textAlignment w:val="top"/>
            </w:pPr>
            <w:r>
              <w:rPr>
                <w:rFonts w:ascii="Arial" w:eastAsia="宋体" w:hAnsi="Arial" w:cs="Arial"/>
                <w:color w:val="262626"/>
                <w:sz w:val="18"/>
                <w:szCs w:val="18"/>
              </w:rPr>
              <w:t>Proceeds from sales of common stock through employee equity incentive plans</w:t>
            </w:r>
          </w:p>
        </w:tc>
        <w:tc>
          <w:tcPr>
            <w:tcW w:w="0" w:type="auto"/>
            <w:gridSpan w:val="3"/>
            <w:shd w:val="clear" w:color="auto" w:fill="auto"/>
            <w:tcMar>
              <w:top w:w="0" w:type="dxa"/>
              <w:left w:w="20" w:type="dxa"/>
              <w:bottom w:w="0" w:type="dxa"/>
              <w:right w:w="20" w:type="dxa"/>
            </w:tcMar>
          </w:tcPr>
          <w:p w14:paraId="5C7C56F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FC" w14:textId="77777777" w:rsidR="0008009C" w:rsidRDefault="00936FDF">
            <w:pPr>
              <w:jc w:val="right"/>
              <w:textAlignment w:val="bottom"/>
            </w:pPr>
            <w:r>
              <w:rPr>
                <w:rFonts w:ascii="Arial" w:eastAsia="宋体" w:hAnsi="Arial" w:cs="Arial"/>
                <w:color w:val="0068B5"/>
                <w:sz w:val="18"/>
                <w:szCs w:val="18"/>
              </w:rPr>
              <w:t>565 </w:t>
            </w:r>
          </w:p>
        </w:tc>
        <w:tc>
          <w:tcPr>
            <w:tcW w:w="0" w:type="auto"/>
            <w:shd w:val="clear" w:color="auto" w:fill="auto"/>
            <w:tcMar>
              <w:top w:w="40" w:type="dxa"/>
              <w:left w:w="0" w:type="dxa"/>
              <w:bottom w:w="40" w:type="dxa"/>
              <w:right w:w="20" w:type="dxa"/>
            </w:tcMar>
            <w:vAlign w:val="bottom"/>
          </w:tcPr>
          <w:p w14:paraId="5C7C56F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6F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6FF" w14:textId="77777777" w:rsidR="0008009C" w:rsidRDefault="00936FDF">
            <w:pPr>
              <w:jc w:val="right"/>
              <w:textAlignment w:val="bottom"/>
            </w:pPr>
            <w:r>
              <w:rPr>
                <w:rFonts w:ascii="Arial" w:eastAsia="宋体" w:hAnsi="Arial" w:cs="Arial"/>
                <w:color w:val="262626"/>
                <w:sz w:val="18"/>
                <w:szCs w:val="18"/>
              </w:rPr>
              <w:t>503 </w:t>
            </w:r>
          </w:p>
        </w:tc>
        <w:tc>
          <w:tcPr>
            <w:tcW w:w="0" w:type="auto"/>
            <w:shd w:val="clear" w:color="auto" w:fill="auto"/>
            <w:tcMar>
              <w:top w:w="40" w:type="dxa"/>
              <w:left w:w="0" w:type="dxa"/>
              <w:bottom w:w="40" w:type="dxa"/>
              <w:right w:w="20" w:type="dxa"/>
            </w:tcMar>
            <w:vAlign w:val="bottom"/>
          </w:tcPr>
          <w:p w14:paraId="5C7C5700" w14:textId="77777777" w:rsidR="0008009C" w:rsidRDefault="0008009C">
            <w:pPr>
              <w:jc w:val="right"/>
              <w:rPr>
                <w:rFonts w:ascii="宋体"/>
              </w:rPr>
            </w:pPr>
          </w:p>
        </w:tc>
      </w:tr>
      <w:tr w:rsidR="0008009C" w14:paraId="5C7C5709" w14:textId="77777777">
        <w:tc>
          <w:tcPr>
            <w:tcW w:w="0" w:type="auto"/>
            <w:gridSpan w:val="3"/>
            <w:shd w:val="clear" w:color="auto" w:fill="auto"/>
            <w:tcMar>
              <w:top w:w="40" w:type="dxa"/>
              <w:left w:w="140" w:type="dxa"/>
              <w:bottom w:w="40" w:type="dxa"/>
              <w:right w:w="20" w:type="dxa"/>
            </w:tcMar>
          </w:tcPr>
          <w:p w14:paraId="5C7C5702" w14:textId="77777777" w:rsidR="0008009C" w:rsidRDefault="00936FDF">
            <w:pPr>
              <w:textAlignment w:val="top"/>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tcPr>
          <w:p w14:paraId="5C7C570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704" w14:textId="77777777" w:rsidR="0008009C" w:rsidRDefault="00936FDF">
            <w:pPr>
              <w:jc w:val="right"/>
              <w:textAlignment w:val="bottom"/>
            </w:pPr>
            <w:r>
              <w:rPr>
                <w:rFonts w:ascii="Arial" w:eastAsia="宋体" w:hAnsi="Arial" w:cs="Arial"/>
                <w:color w:val="0068B5"/>
                <w:sz w:val="18"/>
                <w:szCs w:val="18"/>
              </w:rPr>
              <w:t>(2,301)</w:t>
            </w:r>
          </w:p>
        </w:tc>
        <w:tc>
          <w:tcPr>
            <w:tcW w:w="0" w:type="auto"/>
            <w:shd w:val="clear" w:color="auto" w:fill="auto"/>
            <w:tcMar>
              <w:top w:w="40" w:type="dxa"/>
              <w:left w:w="0" w:type="dxa"/>
              <w:bottom w:w="40" w:type="dxa"/>
              <w:right w:w="20" w:type="dxa"/>
            </w:tcMar>
            <w:vAlign w:val="bottom"/>
          </w:tcPr>
          <w:p w14:paraId="5C7C570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70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707" w14:textId="77777777" w:rsidR="0008009C" w:rsidRDefault="00936FDF">
            <w:pPr>
              <w:jc w:val="right"/>
              <w:textAlignment w:val="bottom"/>
            </w:pPr>
            <w:r>
              <w:rPr>
                <w:rFonts w:ascii="Arial" w:eastAsia="宋体" w:hAnsi="Arial" w:cs="Arial"/>
                <w:color w:val="262626"/>
                <w:sz w:val="18"/>
                <w:szCs w:val="18"/>
              </w:rPr>
              <w:t>(4,229)</w:t>
            </w:r>
          </w:p>
        </w:tc>
        <w:tc>
          <w:tcPr>
            <w:tcW w:w="0" w:type="auto"/>
            <w:shd w:val="clear" w:color="auto" w:fill="auto"/>
            <w:tcMar>
              <w:top w:w="40" w:type="dxa"/>
              <w:left w:w="0" w:type="dxa"/>
              <w:bottom w:w="40" w:type="dxa"/>
              <w:right w:w="20" w:type="dxa"/>
            </w:tcMar>
            <w:vAlign w:val="bottom"/>
          </w:tcPr>
          <w:p w14:paraId="5C7C5708" w14:textId="77777777" w:rsidR="0008009C" w:rsidRDefault="0008009C">
            <w:pPr>
              <w:jc w:val="right"/>
              <w:rPr>
                <w:rFonts w:ascii="宋体"/>
              </w:rPr>
            </w:pPr>
          </w:p>
        </w:tc>
      </w:tr>
      <w:tr w:rsidR="0008009C" w14:paraId="5C7C570F" w14:textId="77777777">
        <w:trPr>
          <w:hidden/>
        </w:trPr>
        <w:tc>
          <w:tcPr>
            <w:tcW w:w="0" w:type="auto"/>
            <w:gridSpan w:val="3"/>
            <w:shd w:val="clear" w:color="auto" w:fill="auto"/>
          </w:tcPr>
          <w:p w14:paraId="5C7C570A" w14:textId="77777777" w:rsidR="0008009C" w:rsidRDefault="0008009C">
            <w:pPr>
              <w:rPr>
                <w:rFonts w:ascii="宋体"/>
                <w:vanish/>
              </w:rPr>
            </w:pPr>
          </w:p>
        </w:tc>
        <w:tc>
          <w:tcPr>
            <w:tcW w:w="0" w:type="auto"/>
            <w:gridSpan w:val="3"/>
            <w:shd w:val="clear" w:color="auto" w:fill="auto"/>
          </w:tcPr>
          <w:p w14:paraId="5C7C570B" w14:textId="77777777" w:rsidR="0008009C" w:rsidRDefault="0008009C">
            <w:pPr>
              <w:rPr>
                <w:rFonts w:ascii="宋体"/>
                <w:vanish/>
              </w:rPr>
            </w:pPr>
          </w:p>
        </w:tc>
        <w:tc>
          <w:tcPr>
            <w:tcW w:w="0" w:type="auto"/>
            <w:gridSpan w:val="3"/>
            <w:shd w:val="clear" w:color="auto" w:fill="auto"/>
          </w:tcPr>
          <w:p w14:paraId="5C7C570C" w14:textId="77777777" w:rsidR="0008009C" w:rsidRDefault="0008009C">
            <w:pPr>
              <w:rPr>
                <w:rFonts w:ascii="宋体"/>
                <w:vanish/>
              </w:rPr>
            </w:pPr>
          </w:p>
        </w:tc>
        <w:tc>
          <w:tcPr>
            <w:tcW w:w="0" w:type="auto"/>
            <w:gridSpan w:val="3"/>
            <w:shd w:val="clear" w:color="auto" w:fill="auto"/>
          </w:tcPr>
          <w:p w14:paraId="5C7C570D" w14:textId="77777777" w:rsidR="0008009C" w:rsidRDefault="0008009C">
            <w:pPr>
              <w:rPr>
                <w:rFonts w:ascii="宋体"/>
                <w:vanish/>
              </w:rPr>
            </w:pPr>
          </w:p>
        </w:tc>
        <w:tc>
          <w:tcPr>
            <w:tcW w:w="0" w:type="auto"/>
            <w:gridSpan w:val="3"/>
            <w:shd w:val="clear" w:color="auto" w:fill="auto"/>
          </w:tcPr>
          <w:p w14:paraId="5C7C570E" w14:textId="77777777" w:rsidR="0008009C" w:rsidRDefault="0008009C">
            <w:pPr>
              <w:rPr>
                <w:rFonts w:ascii="宋体"/>
                <w:vanish/>
              </w:rPr>
            </w:pPr>
          </w:p>
        </w:tc>
      </w:tr>
      <w:tr w:rsidR="0008009C" w14:paraId="5C7C5715" w14:textId="77777777">
        <w:trPr>
          <w:hidden/>
        </w:trPr>
        <w:tc>
          <w:tcPr>
            <w:tcW w:w="0" w:type="auto"/>
            <w:gridSpan w:val="3"/>
            <w:shd w:val="clear" w:color="auto" w:fill="auto"/>
          </w:tcPr>
          <w:p w14:paraId="5C7C5710" w14:textId="77777777" w:rsidR="0008009C" w:rsidRDefault="0008009C">
            <w:pPr>
              <w:rPr>
                <w:rFonts w:ascii="宋体"/>
                <w:vanish/>
              </w:rPr>
            </w:pPr>
          </w:p>
        </w:tc>
        <w:tc>
          <w:tcPr>
            <w:tcW w:w="0" w:type="auto"/>
            <w:gridSpan w:val="3"/>
            <w:shd w:val="clear" w:color="auto" w:fill="auto"/>
          </w:tcPr>
          <w:p w14:paraId="5C7C5711" w14:textId="77777777" w:rsidR="0008009C" w:rsidRDefault="0008009C">
            <w:pPr>
              <w:rPr>
                <w:rFonts w:ascii="宋体"/>
                <w:vanish/>
              </w:rPr>
            </w:pPr>
          </w:p>
        </w:tc>
        <w:tc>
          <w:tcPr>
            <w:tcW w:w="0" w:type="auto"/>
            <w:gridSpan w:val="3"/>
            <w:shd w:val="clear" w:color="auto" w:fill="auto"/>
          </w:tcPr>
          <w:p w14:paraId="5C7C5712" w14:textId="77777777" w:rsidR="0008009C" w:rsidRDefault="0008009C">
            <w:pPr>
              <w:rPr>
                <w:rFonts w:ascii="宋体"/>
                <w:vanish/>
              </w:rPr>
            </w:pPr>
          </w:p>
        </w:tc>
        <w:tc>
          <w:tcPr>
            <w:tcW w:w="0" w:type="auto"/>
            <w:gridSpan w:val="3"/>
            <w:shd w:val="clear" w:color="auto" w:fill="auto"/>
          </w:tcPr>
          <w:p w14:paraId="5C7C5713" w14:textId="77777777" w:rsidR="0008009C" w:rsidRDefault="0008009C">
            <w:pPr>
              <w:rPr>
                <w:rFonts w:ascii="宋体"/>
                <w:vanish/>
              </w:rPr>
            </w:pPr>
          </w:p>
        </w:tc>
        <w:tc>
          <w:tcPr>
            <w:tcW w:w="0" w:type="auto"/>
            <w:gridSpan w:val="3"/>
            <w:shd w:val="clear" w:color="auto" w:fill="auto"/>
          </w:tcPr>
          <w:p w14:paraId="5C7C5714" w14:textId="77777777" w:rsidR="0008009C" w:rsidRDefault="0008009C">
            <w:pPr>
              <w:rPr>
                <w:rFonts w:ascii="宋体"/>
                <w:vanish/>
              </w:rPr>
            </w:pPr>
          </w:p>
        </w:tc>
      </w:tr>
      <w:tr w:rsidR="0008009C" w14:paraId="5C7C571D" w14:textId="77777777">
        <w:tc>
          <w:tcPr>
            <w:tcW w:w="0" w:type="auto"/>
            <w:gridSpan w:val="3"/>
            <w:shd w:val="clear" w:color="auto" w:fill="auto"/>
            <w:tcMar>
              <w:top w:w="40" w:type="dxa"/>
              <w:left w:w="140" w:type="dxa"/>
              <w:bottom w:w="40" w:type="dxa"/>
              <w:right w:w="20" w:type="dxa"/>
            </w:tcMar>
          </w:tcPr>
          <w:p w14:paraId="5C7C5716" w14:textId="77777777" w:rsidR="0008009C" w:rsidRDefault="00936FDF">
            <w:pPr>
              <w:textAlignment w:val="top"/>
            </w:pPr>
            <w:r>
              <w:rPr>
                <w:rFonts w:ascii="Arial" w:eastAsia="宋体" w:hAnsi="Arial" w:cs="Arial"/>
                <w:color w:val="262626"/>
                <w:sz w:val="18"/>
                <w:szCs w:val="18"/>
              </w:rPr>
              <w:t>Payment of dividends to stockholders</w:t>
            </w:r>
          </w:p>
        </w:tc>
        <w:tc>
          <w:tcPr>
            <w:tcW w:w="0" w:type="auto"/>
            <w:gridSpan w:val="3"/>
            <w:shd w:val="clear" w:color="auto" w:fill="auto"/>
            <w:tcMar>
              <w:top w:w="0" w:type="dxa"/>
              <w:left w:w="20" w:type="dxa"/>
              <w:bottom w:w="0" w:type="dxa"/>
              <w:right w:w="20" w:type="dxa"/>
            </w:tcMar>
          </w:tcPr>
          <w:p w14:paraId="5C7C571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718" w14:textId="77777777" w:rsidR="0008009C" w:rsidRDefault="00936FDF">
            <w:pPr>
              <w:jc w:val="right"/>
              <w:textAlignment w:val="bottom"/>
            </w:pPr>
            <w:r>
              <w:rPr>
                <w:rFonts w:ascii="Arial" w:eastAsia="宋体" w:hAnsi="Arial" w:cs="Arial"/>
                <w:color w:val="0068B5"/>
                <w:sz w:val="18"/>
                <w:szCs w:val="18"/>
              </w:rPr>
              <w:t>(1,411)</w:t>
            </w:r>
          </w:p>
        </w:tc>
        <w:tc>
          <w:tcPr>
            <w:tcW w:w="0" w:type="auto"/>
            <w:shd w:val="clear" w:color="auto" w:fill="auto"/>
            <w:tcMar>
              <w:top w:w="40" w:type="dxa"/>
              <w:left w:w="0" w:type="dxa"/>
              <w:bottom w:w="40" w:type="dxa"/>
              <w:right w:w="20" w:type="dxa"/>
            </w:tcMar>
            <w:vAlign w:val="bottom"/>
          </w:tcPr>
          <w:p w14:paraId="5C7C571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71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71B" w14:textId="77777777" w:rsidR="0008009C" w:rsidRDefault="00936FDF">
            <w:pPr>
              <w:jc w:val="right"/>
              <w:textAlignment w:val="bottom"/>
            </w:pPr>
            <w:r>
              <w:rPr>
                <w:rFonts w:ascii="Arial" w:eastAsia="宋体" w:hAnsi="Arial" w:cs="Arial"/>
                <w:color w:val="262626"/>
                <w:sz w:val="18"/>
                <w:szCs w:val="18"/>
              </w:rPr>
              <w:t>(1,408)</w:t>
            </w:r>
          </w:p>
        </w:tc>
        <w:tc>
          <w:tcPr>
            <w:tcW w:w="0" w:type="auto"/>
            <w:shd w:val="clear" w:color="auto" w:fill="auto"/>
            <w:tcMar>
              <w:top w:w="40" w:type="dxa"/>
              <w:left w:w="0" w:type="dxa"/>
              <w:bottom w:w="40" w:type="dxa"/>
              <w:right w:w="20" w:type="dxa"/>
            </w:tcMar>
            <w:vAlign w:val="bottom"/>
          </w:tcPr>
          <w:p w14:paraId="5C7C571C" w14:textId="77777777" w:rsidR="0008009C" w:rsidRDefault="0008009C">
            <w:pPr>
              <w:jc w:val="right"/>
              <w:rPr>
                <w:rFonts w:ascii="宋体"/>
              </w:rPr>
            </w:pPr>
          </w:p>
        </w:tc>
      </w:tr>
      <w:tr w:rsidR="0008009C" w14:paraId="5C7C5723" w14:textId="77777777">
        <w:trPr>
          <w:hidden/>
        </w:trPr>
        <w:tc>
          <w:tcPr>
            <w:tcW w:w="0" w:type="auto"/>
            <w:gridSpan w:val="3"/>
            <w:shd w:val="clear" w:color="auto" w:fill="auto"/>
          </w:tcPr>
          <w:p w14:paraId="5C7C571E" w14:textId="77777777" w:rsidR="0008009C" w:rsidRDefault="0008009C">
            <w:pPr>
              <w:rPr>
                <w:rFonts w:ascii="宋体"/>
                <w:vanish/>
              </w:rPr>
            </w:pPr>
          </w:p>
        </w:tc>
        <w:tc>
          <w:tcPr>
            <w:tcW w:w="0" w:type="auto"/>
            <w:gridSpan w:val="3"/>
            <w:shd w:val="clear" w:color="auto" w:fill="auto"/>
          </w:tcPr>
          <w:p w14:paraId="5C7C571F" w14:textId="77777777" w:rsidR="0008009C" w:rsidRDefault="0008009C">
            <w:pPr>
              <w:rPr>
                <w:rFonts w:ascii="宋体"/>
                <w:vanish/>
              </w:rPr>
            </w:pPr>
          </w:p>
        </w:tc>
        <w:tc>
          <w:tcPr>
            <w:tcW w:w="0" w:type="auto"/>
            <w:gridSpan w:val="3"/>
            <w:shd w:val="clear" w:color="auto" w:fill="auto"/>
          </w:tcPr>
          <w:p w14:paraId="5C7C5720" w14:textId="77777777" w:rsidR="0008009C" w:rsidRDefault="0008009C">
            <w:pPr>
              <w:rPr>
                <w:rFonts w:ascii="宋体"/>
                <w:vanish/>
              </w:rPr>
            </w:pPr>
          </w:p>
        </w:tc>
        <w:tc>
          <w:tcPr>
            <w:tcW w:w="0" w:type="auto"/>
            <w:gridSpan w:val="3"/>
            <w:shd w:val="clear" w:color="auto" w:fill="auto"/>
          </w:tcPr>
          <w:p w14:paraId="5C7C5721" w14:textId="77777777" w:rsidR="0008009C" w:rsidRDefault="0008009C">
            <w:pPr>
              <w:rPr>
                <w:rFonts w:ascii="宋体"/>
                <w:vanish/>
              </w:rPr>
            </w:pPr>
          </w:p>
        </w:tc>
        <w:tc>
          <w:tcPr>
            <w:tcW w:w="0" w:type="auto"/>
            <w:gridSpan w:val="3"/>
            <w:shd w:val="clear" w:color="auto" w:fill="auto"/>
          </w:tcPr>
          <w:p w14:paraId="5C7C5722" w14:textId="77777777" w:rsidR="0008009C" w:rsidRDefault="0008009C">
            <w:pPr>
              <w:rPr>
                <w:rFonts w:ascii="宋体"/>
                <w:vanish/>
              </w:rPr>
            </w:pPr>
          </w:p>
        </w:tc>
      </w:tr>
      <w:tr w:rsidR="0008009C" w14:paraId="5C7C5729" w14:textId="77777777">
        <w:trPr>
          <w:hidden/>
        </w:trPr>
        <w:tc>
          <w:tcPr>
            <w:tcW w:w="0" w:type="auto"/>
            <w:gridSpan w:val="3"/>
            <w:shd w:val="clear" w:color="auto" w:fill="auto"/>
          </w:tcPr>
          <w:p w14:paraId="5C7C5724" w14:textId="77777777" w:rsidR="0008009C" w:rsidRDefault="0008009C">
            <w:pPr>
              <w:rPr>
                <w:rFonts w:ascii="宋体"/>
                <w:vanish/>
              </w:rPr>
            </w:pPr>
          </w:p>
        </w:tc>
        <w:tc>
          <w:tcPr>
            <w:tcW w:w="0" w:type="auto"/>
            <w:gridSpan w:val="3"/>
            <w:shd w:val="clear" w:color="auto" w:fill="auto"/>
          </w:tcPr>
          <w:p w14:paraId="5C7C5725" w14:textId="77777777" w:rsidR="0008009C" w:rsidRDefault="0008009C">
            <w:pPr>
              <w:rPr>
                <w:rFonts w:ascii="宋体"/>
                <w:vanish/>
              </w:rPr>
            </w:pPr>
          </w:p>
        </w:tc>
        <w:tc>
          <w:tcPr>
            <w:tcW w:w="0" w:type="auto"/>
            <w:gridSpan w:val="3"/>
            <w:shd w:val="clear" w:color="auto" w:fill="auto"/>
          </w:tcPr>
          <w:p w14:paraId="5C7C5726" w14:textId="77777777" w:rsidR="0008009C" w:rsidRDefault="0008009C">
            <w:pPr>
              <w:rPr>
                <w:rFonts w:ascii="宋体"/>
                <w:vanish/>
              </w:rPr>
            </w:pPr>
          </w:p>
        </w:tc>
        <w:tc>
          <w:tcPr>
            <w:tcW w:w="0" w:type="auto"/>
            <w:gridSpan w:val="3"/>
            <w:shd w:val="clear" w:color="auto" w:fill="auto"/>
          </w:tcPr>
          <w:p w14:paraId="5C7C5727" w14:textId="77777777" w:rsidR="0008009C" w:rsidRDefault="0008009C">
            <w:pPr>
              <w:rPr>
                <w:rFonts w:ascii="宋体"/>
                <w:vanish/>
              </w:rPr>
            </w:pPr>
          </w:p>
        </w:tc>
        <w:tc>
          <w:tcPr>
            <w:tcW w:w="0" w:type="auto"/>
            <w:gridSpan w:val="3"/>
            <w:shd w:val="clear" w:color="auto" w:fill="auto"/>
          </w:tcPr>
          <w:p w14:paraId="5C7C5728" w14:textId="77777777" w:rsidR="0008009C" w:rsidRDefault="0008009C">
            <w:pPr>
              <w:rPr>
                <w:rFonts w:ascii="宋体"/>
                <w:vanish/>
              </w:rPr>
            </w:pPr>
          </w:p>
        </w:tc>
      </w:tr>
      <w:tr w:rsidR="0008009C" w14:paraId="5C7C572F" w14:textId="77777777">
        <w:trPr>
          <w:hidden/>
        </w:trPr>
        <w:tc>
          <w:tcPr>
            <w:tcW w:w="0" w:type="auto"/>
            <w:gridSpan w:val="3"/>
            <w:shd w:val="clear" w:color="auto" w:fill="auto"/>
          </w:tcPr>
          <w:p w14:paraId="5C7C572A" w14:textId="77777777" w:rsidR="0008009C" w:rsidRDefault="0008009C">
            <w:pPr>
              <w:rPr>
                <w:rFonts w:ascii="宋体"/>
                <w:vanish/>
              </w:rPr>
            </w:pPr>
          </w:p>
        </w:tc>
        <w:tc>
          <w:tcPr>
            <w:tcW w:w="0" w:type="auto"/>
            <w:gridSpan w:val="3"/>
            <w:shd w:val="clear" w:color="auto" w:fill="auto"/>
          </w:tcPr>
          <w:p w14:paraId="5C7C572B" w14:textId="77777777" w:rsidR="0008009C" w:rsidRDefault="0008009C">
            <w:pPr>
              <w:rPr>
                <w:rFonts w:ascii="宋体"/>
                <w:vanish/>
              </w:rPr>
            </w:pPr>
          </w:p>
        </w:tc>
        <w:tc>
          <w:tcPr>
            <w:tcW w:w="0" w:type="auto"/>
            <w:gridSpan w:val="3"/>
            <w:shd w:val="clear" w:color="auto" w:fill="auto"/>
          </w:tcPr>
          <w:p w14:paraId="5C7C572C" w14:textId="77777777" w:rsidR="0008009C" w:rsidRDefault="0008009C">
            <w:pPr>
              <w:rPr>
                <w:rFonts w:ascii="宋体"/>
                <w:vanish/>
              </w:rPr>
            </w:pPr>
          </w:p>
        </w:tc>
        <w:tc>
          <w:tcPr>
            <w:tcW w:w="0" w:type="auto"/>
            <w:gridSpan w:val="3"/>
            <w:shd w:val="clear" w:color="auto" w:fill="auto"/>
          </w:tcPr>
          <w:p w14:paraId="5C7C572D" w14:textId="77777777" w:rsidR="0008009C" w:rsidRDefault="0008009C">
            <w:pPr>
              <w:rPr>
                <w:rFonts w:ascii="宋体"/>
                <w:vanish/>
              </w:rPr>
            </w:pPr>
          </w:p>
        </w:tc>
        <w:tc>
          <w:tcPr>
            <w:tcW w:w="0" w:type="auto"/>
            <w:gridSpan w:val="3"/>
            <w:shd w:val="clear" w:color="auto" w:fill="auto"/>
          </w:tcPr>
          <w:p w14:paraId="5C7C572E" w14:textId="77777777" w:rsidR="0008009C" w:rsidRDefault="0008009C">
            <w:pPr>
              <w:rPr>
                <w:rFonts w:ascii="宋体"/>
                <w:vanish/>
              </w:rPr>
            </w:pPr>
          </w:p>
        </w:tc>
      </w:tr>
      <w:tr w:rsidR="0008009C" w14:paraId="5C7C5737" w14:textId="77777777">
        <w:tc>
          <w:tcPr>
            <w:tcW w:w="0" w:type="auto"/>
            <w:gridSpan w:val="3"/>
            <w:shd w:val="clear" w:color="auto" w:fill="auto"/>
            <w:tcMar>
              <w:top w:w="40" w:type="dxa"/>
              <w:left w:w="140" w:type="dxa"/>
              <w:bottom w:w="40" w:type="dxa"/>
              <w:right w:w="20" w:type="dxa"/>
            </w:tcMar>
          </w:tcPr>
          <w:p w14:paraId="5C7C5730" w14:textId="77777777" w:rsidR="0008009C" w:rsidRDefault="00936FDF">
            <w:pPr>
              <w:textAlignment w:val="top"/>
            </w:pPr>
            <w:r>
              <w:rPr>
                <w:rFonts w:ascii="Arial" w:eastAsia="宋体" w:hAnsi="Arial" w:cs="Arial"/>
                <w:color w:val="262626"/>
                <w:sz w:val="18"/>
                <w:szCs w:val="18"/>
              </w:rPr>
              <w:t>Other financing</w:t>
            </w:r>
          </w:p>
        </w:tc>
        <w:tc>
          <w:tcPr>
            <w:tcW w:w="0" w:type="auto"/>
            <w:gridSpan w:val="3"/>
            <w:shd w:val="clear" w:color="auto" w:fill="auto"/>
            <w:tcMar>
              <w:top w:w="0" w:type="dxa"/>
              <w:left w:w="20" w:type="dxa"/>
              <w:bottom w:w="0" w:type="dxa"/>
              <w:right w:w="20" w:type="dxa"/>
            </w:tcMar>
          </w:tcPr>
          <w:p w14:paraId="5C7C573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732" w14:textId="77777777" w:rsidR="0008009C" w:rsidRDefault="00936FDF">
            <w:pPr>
              <w:jc w:val="right"/>
              <w:textAlignment w:val="bottom"/>
            </w:pPr>
            <w:r>
              <w:rPr>
                <w:rFonts w:ascii="Arial" w:eastAsia="宋体" w:hAnsi="Arial" w:cs="Arial"/>
                <w:color w:val="0068B5"/>
                <w:sz w:val="18"/>
                <w:szCs w:val="18"/>
              </w:rPr>
              <w:t>(527)</w:t>
            </w:r>
          </w:p>
        </w:tc>
        <w:tc>
          <w:tcPr>
            <w:tcW w:w="0" w:type="auto"/>
            <w:shd w:val="clear" w:color="auto" w:fill="auto"/>
            <w:tcMar>
              <w:top w:w="40" w:type="dxa"/>
              <w:left w:w="0" w:type="dxa"/>
              <w:bottom w:w="40" w:type="dxa"/>
              <w:right w:w="20" w:type="dxa"/>
            </w:tcMar>
            <w:vAlign w:val="bottom"/>
          </w:tcPr>
          <w:p w14:paraId="5C7C573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73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735" w14:textId="77777777" w:rsidR="0008009C" w:rsidRDefault="00936FDF">
            <w:pPr>
              <w:jc w:val="right"/>
              <w:textAlignment w:val="bottom"/>
            </w:pPr>
            <w:r>
              <w:rPr>
                <w:rFonts w:ascii="Arial" w:eastAsia="宋体" w:hAnsi="Arial" w:cs="Arial"/>
                <w:color w:val="262626"/>
                <w:sz w:val="18"/>
                <w:szCs w:val="18"/>
              </w:rPr>
              <w:t>726 </w:t>
            </w:r>
          </w:p>
        </w:tc>
        <w:tc>
          <w:tcPr>
            <w:tcW w:w="0" w:type="auto"/>
            <w:shd w:val="clear" w:color="auto" w:fill="auto"/>
            <w:tcMar>
              <w:top w:w="40" w:type="dxa"/>
              <w:left w:w="0" w:type="dxa"/>
              <w:bottom w:w="40" w:type="dxa"/>
              <w:right w:w="20" w:type="dxa"/>
            </w:tcMar>
            <w:vAlign w:val="bottom"/>
          </w:tcPr>
          <w:p w14:paraId="5C7C5736" w14:textId="77777777" w:rsidR="0008009C" w:rsidRDefault="0008009C">
            <w:pPr>
              <w:jc w:val="right"/>
              <w:rPr>
                <w:rFonts w:ascii="宋体"/>
              </w:rPr>
            </w:pPr>
          </w:p>
        </w:tc>
      </w:tr>
      <w:tr w:rsidR="0008009C" w14:paraId="5C7C573F" w14:textId="77777777">
        <w:tc>
          <w:tcPr>
            <w:tcW w:w="0" w:type="auto"/>
            <w:gridSpan w:val="3"/>
            <w:shd w:val="clear" w:color="auto" w:fill="auto"/>
            <w:tcMar>
              <w:top w:w="40" w:type="dxa"/>
              <w:left w:w="20" w:type="dxa"/>
              <w:bottom w:w="40" w:type="dxa"/>
              <w:right w:w="20" w:type="dxa"/>
            </w:tcMar>
          </w:tcPr>
          <w:p w14:paraId="5C7C5738" w14:textId="77777777" w:rsidR="0008009C" w:rsidRDefault="00936FDF">
            <w:pPr>
              <w:textAlignment w:val="top"/>
            </w:pPr>
            <w:r>
              <w:rPr>
                <w:rFonts w:ascii="Arial" w:eastAsia="宋体" w:hAnsi="Arial" w:cs="Arial"/>
                <w:b/>
                <w:bCs/>
                <w:color w:val="262626"/>
                <w:sz w:val="18"/>
                <w:szCs w:val="18"/>
              </w:rPr>
              <w:t>Net cash provided by (used for) financing activities</w:t>
            </w:r>
          </w:p>
        </w:tc>
        <w:tc>
          <w:tcPr>
            <w:tcW w:w="0" w:type="auto"/>
            <w:gridSpan w:val="3"/>
            <w:shd w:val="clear" w:color="auto" w:fill="auto"/>
            <w:tcMar>
              <w:top w:w="0" w:type="dxa"/>
              <w:left w:w="20" w:type="dxa"/>
              <w:bottom w:w="0" w:type="dxa"/>
              <w:right w:w="20" w:type="dxa"/>
            </w:tcMar>
          </w:tcPr>
          <w:p w14:paraId="5C7C5739"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73A" w14:textId="77777777" w:rsidR="0008009C" w:rsidRDefault="00936FDF">
            <w:pPr>
              <w:jc w:val="right"/>
              <w:textAlignment w:val="bottom"/>
            </w:pPr>
            <w:r>
              <w:rPr>
                <w:rFonts w:ascii="Arial" w:eastAsia="宋体" w:hAnsi="Arial" w:cs="Arial"/>
                <w:b/>
                <w:bCs/>
                <w:color w:val="0068B5"/>
                <w:sz w:val="18"/>
                <w:szCs w:val="18"/>
              </w:rPr>
              <w:t>(3,674)</w:t>
            </w:r>
          </w:p>
        </w:tc>
        <w:tc>
          <w:tcPr>
            <w:tcW w:w="0" w:type="auto"/>
            <w:tcBorders>
              <w:top w:val="single" w:sz="8" w:space="0" w:color="262626"/>
            </w:tcBorders>
            <w:shd w:val="clear" w:color="auto" w:fill="auto"/>
            <w:tcMar>
              <w:top w:w="40" w:type="dxa"/>
              <w:left w:w="0" w:type="dxa"/>
              <w:bottom w:w="40" w:type="dxa"/>
              <w:right w:w="20" w:type="dxa"/>
            </w:tcMar>
            <w:vAlign w:val="bottom"/>
          </w:tcPr>
          <w:p w14:paraId="5C7C573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73C"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73D" w14:textId="77777777" w:rsidR="0008009C" w:rsidRDefault="00936FDF">
            <w:pPr>
              <w:jc w:val="right"/>
              <w:textAlignment w:val="bottom"/>
            </w:pPr>
            <w:r>
              <w:rPr>
                <w:rFonts w:ascii="Arial" w:eastAsia="宋体" w:hAnsi="Arial" w:cs="Arial"/>
                <w:b/>
                <w:bCs/>
                <w:color w:val="262626"/>
                <w:sz w:val="18"/>
                <w:szCs w:val="18"/>
              </w:rPr>
              <w:t>4,764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73E" w14:textId="77777777" w:rsidR="0008009C" w:rsidRDefault="0008009C">
            <w:pPr>
              <w:jc w:val="right"/>
              <w:rPr>
                <w:rFonts w:ascii="宋体"/>
              </w:rPr>
            </w:pPr>
          </w:p>
        </w:tc>
      </w:tr>
      <w:tr w:rsidR="0008009C" w14:paraId="5C7C5745" w14:textId="77777777">
        <w:trPr>
          <w:hidden/>
        </w:trPr>
        <w:tc>
          <w:tcPr>
            <w:tcW w:w="0" w:type="auto"/>
            <w:gridSpan w:val="3"/>
            <w:shd w:val="clear" w:color="auto" w:fill="auto"/>
          </w:tcPr>
          <w:p w14:paraId="5C7C5740" w14:textId="77777777" w:rsidR="0008009C" w:rsidRDefault="0008009C">
            <w:pPr>
              <w:rPr>
                <w:rFonts w:ascii="宋体"/>
                <w:vanish/>
              </w:rPr>
            </w:pPr>
          </w:p>
        </w:tc>
        <w:tc>
          <w:tcPr>
            <w:tcW w:w="0" w:type="auto"/>
            <w:gridSpan w:val="3"/>
            <w:shd w:val="clear" w:color="auto" w:fill="auto"/>
          </w:tcPr>
          <w:p w14:paraId="5C7C5741" w14:textId="77777777" w:rsidR="0008009C" w:rsidRDefault="0008009C">
            <w:pPr>
              <w:rPr>
                <w:rFonts w:ascii="宋体"/>
                <w:vanish/>
              </w:rPr>
            </w:pPr>
          </w:p>
        </w:tc>
        <w:tc>
          <w:tcPr>
            <w:tcW w:w="0" w:type="auto"/>
            <w:gridSpan w:val="3"/>
            <w:shd w:val="clear" w:color="auto" w:fill="auto"/>
          </w:tcPr>
          <w:p w14:paraId="5C7C5742" w14:textId="77777777" w:rsidR="0008009C" w:rsidRDefault="0008009C">
            <w:pPr>
              <w:rPr>
                <w:rFonts w:ascii="宋体"/>
                <w:vanish/>
              </w:rPr>
            </w:pPr>
          </w:p>
        </w:tc>
        <w:tc>
          <w:tcPr>
            <w:tcW w:w="0" w:type="auto"/>
            <w:gridSpan w:val="3"/>
            <w:shd w:val="clear" w:color="auto" w:fill="auto"/>
          </w:tcPr>
          <w:p w14:paraId="5C7C5743" w14:textId="77777777" w:rsidR="0008009C" w:rsidRDefault="0008009C">
            <w:pPr>
              <w:rPr>
                <w:rFonts w:ascii="宋体"/>
                <w:vanish/>
              </w:rPr>
            </w:pPr>
          </w:p>
        </w:tc>
        <w:tc>
          <w:tcPr>
            <w:tcW w:w="0" w:type="auto"/>
            <w:gridSpan w:val="3"/>
            <w:shd w:val="clear" w:color="auto" w:fill="auto"/>
          </w:tcPr>
          <w:p w14:paraId="5C7C5744" w14:textId="77777777" w:rsidR="0008009C" w:rsidRDefault="0008009C">
            <w:pPr>
              <w:rPr>
                <w:rFonts w:ascii="宋体"/>
                <w:vanish/>
              </w:rPr>
            </w:pPr>
          </w:p>
        </w:tc>
      </w:tr>
      <w:tr w:rsidR="0008009C" w14:paraId="5C7C574D" w14:textId="77777777">
        <w:tc>
          <w:tcPr>
            <w:tcW w:w="0" w:type="auto"/>
            <w:gridSpan w:val="3"/>
            <w:shd w:val="clear" w:color="auto" w:fill="auto"/>
            <w:tcMar>
              <w:top w:w="40" w:type="dxa"/>
              <w:left w:w="20" w:type="dxa"/>
              <w:bottom w:w="40" w:type="dxa"/>
              <w:right w:w="20" w:type="dxa"/>
            </w:tcMar>
          </w:tcPr>
          <w:p w14:paraId="5C7C5746" w14:textId="77777777" w:rsidR="0008009C" w:rsidRDefault="00936FDF">
            <w:pPr>
              <w:textAlignment w:val="top"/>
            </w:pPr>
            <w:r>
              <w:rPr>
                <w:rFonts w:ascii="Arial" w:eastAsia="宋体" w:hAnsi="Arial" w:cs="Arial"/>
                <w:b/>
                <w:bCs/>
                <w:color w:val="262626"/>
                <w:sz w:val="18"/>
                <w:szCs w:val="18"/>
              </w:rPr>
              <w:t>Net increase (decrease) in cash and cash equivalents</w:t>
            </w:r>
          </w:p>
        </w:tc>
        <w:tc>
          <w:tcPr>
            <w:tcW w:w="0" w:type="auto"/>
            <w:gridSpan w:val="3"/>
            <w:shd w:val="clear" w:color="auto" w:fill="auto"/>
            <w:tcMar>
              <w:top w:w="0" w:type="dxa"/>
              <w:left w:w="20" w:type="dxa"/>
              <w:bottom w:w="0" w:type="dxa"/>
              <w:right w:w="20" w:type="dxa"/>
            </w:tcMar>
          </w:tcPr>
          <w:p w14:paraId="5C7C5747"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748" w14:textId="77777777" w:rsidR="0008009C" w:rsidRDefault="00936FDF">
            <w:pPr>
              <w:jc w:val="right"/>
              <w:textAlignment w:val="bottom"/>
            </w:pPr>
            <w:r>
              <w:rPr>
                <w:rFonts w:ascii="Arial" w:eastAsia="宋体" w:hAnsi="Arial" w:cs="Arial"/>
                <w:b/>
                <w:bCs/>
                <w:color w:val="0068B5"/>
                <w:sz w:val="18"/>
                <w:szCs w:val="18"/>
              </w:rPr>
              <w:t>(673)</w:t>
            </w:r>
          </w:p>
        </w:tc>
        <w:tc>
          <w:tcPr>
            <w:tcW w:w="0" w:type="auto"/>
            <w:tcBorders>
              <w:top w:val="single" w:sz="8" w:space="0" w:color="262626"/>
            </w:tcBorders>
            <w:shd w:val="clear" w:color="auto" w:fill="auto"/>
            <w:tcMar>
              <w:top w:w="40" w:type="dxa"/>
              <w:left w:w="0" w:type="dxa"/>
              <w:bottom w:w="40" w:type="dxa"/>
              <w:right w:w="20" w:type="dxa"/>
            </w:tcMar>
            <w:vAlign w:val="bottom"/>
          </w:tcPr>
          <w:p w14:paraId="5C7C574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74A"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74B" w14:textId="77777777" w:rsidR="0008009C" w:rsidRDefault="00936FDF">
            <w:pPr>
              <w:jc w:val="right"/>
              <w:textAlignment w:val="bottom"/>
            </w:pPr>
            <w:r>
              <w:rPr>
                <w:rFonts w:ascii="Arial" w:eastAsia="宋体" w:hAnsi="Arial" w:cs="Arial"/>
                <w:b/>
                <w:bCs/>
                <w:color w:val="262626"/>
                <w:sz w:val="18"/>
                <w:szCs w:val="18"/>
              </w:rPr>
              <w:t>7,186</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74C" w14:textId="77777777" w:rsidR="0008009C" w:rsidRDefault="0008009C">
            <w:pPr>
              <w:jc w:val="right"/>
              <w:rPr>
                <w:rFonts w:ascii="宋体"/>
              </w:rPr>
            </w:pPr>
          </w:p>
        </w:tc>
      </w:tr>
      <w:tr w:rsidR="0008009C" w14:paraId="5C7C5757" w14:textId="77777777">
        <w:tc>
          <w:tcPr>
            <w:tcW w:w="0" w:type="auto"/>
            <w:gridSpan w:val="3"/>
            <w:shd w:val="clear" w:color="auto" w:fill="auto"/>
            <w:tcMar>
              <w:top w:w="40" w:type="dxa"/>
              <w:left w:w="20" w:type="dxa"/>
              <w:bottom w:w="40" w:type="dxa"/>
              <w:right w:w="20" w:type="dxa"/>
            </w:tcMar>
          </w:tcPr>
          <w:p w14:paraId="5C7C574E" w14:textId="77777777" w:rsidR="0008009C" w:rsidRDefault="00936FDF">
            <w:pPr>
              <w:textAlignment w:val="top"/>
            </w:pPr>
            <w:r>
              <w:rPr>
                <w:rFonts w:ascii="Arial" w:eastAsia="宋体" w:hAnsi="Arial" w:cs="Arial"/>
                <w:b/>
                <w:bCs/>
                <w:color w:val="262626"/>
                <w:sz w:val="18"/>
                <w:szCs w:val="18"/>
              </w:rPr>
              <w:t xml:space="preserve">Cash and cash </w:t>
            </w:r>
            <w:r>
              <w:rPr>
                <w:rFonts w:ascii="Arial" w:eastAsia="宋体" w:hAnsi="Arial" w:cs="Arial"/>
                <w:b/>
                <w:bCs/>
                <w:color w:val="262626"/>
                <w:sz w:val="18"/>
                <w:szCs w:val="18"/>
              </w:rPr>
              <w:t>equivalents, end of period</w:t>
            </w:r>
          </w:p>
        </w:tc>
        <w:tc>
          <w:tcPr>
            <w:tcW w:w="0" w:type="auto"/>
            <w:gridSpan w:val="3"/>
            <w:shd w:val="clear" w:color="auto" w:fill="auto"/>
            <w:tcMar>
              <w:top w:w="0" w:type="dxa"/>
              <w:left w:w="20" w:type="dxa"/>
              <w:bottom w:w="0" w:type="dxa"/>
              <w:right w:w="20" w:type="dxa"/>
            </w:tcMar>
          </w:tcPr>
          <w:p w14:paraId="5C7C574F"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5750"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5751" w14:textId="77777777" w:rsidR="0008009C" w:rsidRDefault="00936FDF">
            <w:pPr>
              <w:jc w:val="right"/>
              <w:textAlignment w:val="bottom"/>
            </w:pPr>
            <w:r>
              <w:rPr>
                <w:rFonts w:ascii="Arial" w:eastAsia="宋体" w:hAnsi="Arial" w:cs="Arial"/>
                <w:b/>
                <w:bCs/>
                <w:color w:val="0068B5"/>
                <w:sz w:val="18"/>
                <w:szCs w:val="18"/>
              </w:rPr>
              <w:t>5,192</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75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753"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5754"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5755" w14:textId="77777777" w:rsidR="0008009C" w:rsidRDefault="00936FDF">
            <w:pPr>
              <w:jc w:val="right"/>
              <w:textAlignment w:val="bottom"/>
            </w:pPr>
            <w:r>
              <w:rPr>
                <w:rFonts w:ascii="Arial" w:eastAsia="宋体" w:hAnsi="Arial" w:cs="Arial"/>
                <w:b/>
                <w:bCs/>
                <w:color w:val="262626"/>
                <w:sz w:val="18"/>
                <w:szCs w:val="18"/>
              </w:rPr>
              <w:t>11,380</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756" w14:textId="77777777" w:rsidR="0008009C" w:rsidRDefault="0008009C">
            <w:pPr>
              <w:jc w:val="right"/>
              <w:rPr>
                <w:rFonts w:ascii="宋体"/>
              </w:rPr>
            </w:pPr>
          </w:p>
        </w:tc>
      </w:tr>
      <w:tr w:rsidR="0008009C" w14:paraId="5C7C575D" w14:textId="77777777">
        <w:trPr>
          <w:trHeight w:val="100"/>
        </w:trPr>
        <w:tc>
          <w:tcPr>
            <w:tcW w:w="0" w:type="auto"/>
            <w:gridSpan w:val="3"/>
            <w:shd w:val="clear" w:color="auto" w:fill="auto"/>
            <w:tcMar>
              <w:top w:w="0" w:type="dxa"/>
              <w:left w:w="20" w:type="dxa"/>
              <w:bottom w:w="0" w:type="dxa"/>
              <w:right w:w="20" w:type="dxa"/>
            </w:tcMar>
          </w:tcPr>
          <w:p w14:paraId="5C7C575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759"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575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75B"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575C" w14:textId="77777777" w:rsidR="0008009C" w:rsidRDefault="0008009C">
            <w:pPr>
              <w:rPr>
                <w:rFonts w:ascii="宋体"/>
              </w:rPr>
            </w:pPr>
          </w:p>
        </w:tc>
      </w:tr>
      <w:tr w:rsidR="0008009C" w14:paraId="5C7C5763" w14:textId="77777777">
        <w:tc>
          <w:tcPr>
            <w:tcW w:w="0" w:type="auto"/>
            <w:gridSpan w:val="3"/>
            <w:shd w:val="clear" w:color="auto" w:fill="auto"/>
            <w:tcMar>
              <w:top w:w="40" w:type="dxa"/>
              <w:left w:w="20" w:type="dxa"/>
              <w:bottom w:w="40" w:type="dxa"/>
              <w:right w:w="20" w:type="dxa"/>
            </w:tcMar>
          </w:tcPr>
          <w:p w14:paraId="5C7C575E" w14:textId="77777777" w:rsidR="0008009C" w:rsidRDefault="00936FDF">
            <w:pPr>
              <w:textAlignment w:val="top"/>
            </w:pPr>
            <w:r>
              <w:rPr>
                <w:rFonts w:ascii="Arial" w:eastAsia="宋体" w:hAnsi="Arial" w:cs="Arial"/>
                <w:color w:val="262626"/>
                <w:sz w:val="18"/>
                <w:szCs w:val="18"/>
              </w:rPr>
              <w:t>Supplemental disclosures of noncash investing activities and cash flow information:</w:t>
            </w:r>
          </w:p>
        </w:tc>
        <w:tc>
          <w:tcPr>
            <w:tcW w:w="0" w:type="auto"/>
            <w:gridSpan w:val="3"/>
            <w:shd w:val="clear" w:color="auto" w:fill="auto"/>
            <w:tcMar>
              <w:top w:w="0" w:type="dxa"/>
              <w:left w:w="20" w:type="dxa"/>
              <w:bottom w:w="0" w:type="dxa"/>
              <w:right w:w="20" w:type="dxa"/>
            </w:tcMar>
          </w:tcPr>
          <w:p w14:paraId="5C7C575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76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76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762" w14:textId="77777777" w:rsidR="0008009C" w:rsidRDefault="0008009C">
            <w:pPr>
              <w:rPr>
                <w:rFonts w:ascii="宋体"/>
              </w:rPr>
            </w:pPr>
          </w:p>
        </w:tc>
      </w:tr>
      <w:tr w:rsidR="0008009C" w14:paraId="5C7C576D" w14:textId="77777777">
        <w:tc>
          <w:tcPr>
            <w:tcW w:w="0" w:type="auto"/>
            <w:gridSpan w:val="3"/>
            <w:shd w:val="clear" w:color="auto" w:fill="auto"/>
            <w:tcMar>
              <w:top w:w="40" w:type="dxa"/>
              <w:left w:w="140" w:type="dxa"/>
              <w:bottom w:w="40" w:type="dxa"/>
              <w:right w:w="20" w:type="dxa"/>
            </w:tcMar>
          </w:tcPr>
          <w:p w14:paraId="5C7C5764" w14:textId="77777777" w:rsidR="0008009C" w:rsidRDefault="00936FDF">
            <w:pPr>
              <w:textAlignment w:val="top"/>
            </w:pPr>
            <w:r>
              <w:rPr>
                <w:rFonts w:ascii="Arial" w:eastAsia="宋体" w:hAnsi="Arial" w:cs="Arial"/>
                <w:color w:val="262626"/>
                <w:sz w:val="18"/>
                <w:szCs w:val="18"/>
              </w:rPr>
              <w:t>Acquisition of property, plant, and equipment included in accounts payable and accrued liabilities</w:t>
            </w:r>
          </w:p>
        </w:tc>
        <w:tc>
          <w:tcPr>
            <w:tcW w:w="0" w:type="auto"/>
            <w:gridSpan w:val="3"/>
            <w:shd w:val="clear" w:color="auto" w:fill="auto"/>
            <w:tcMar>
              <w:top w:w="0" w:type="dxa"/>
              <w:left w:w="20" w:type="dxa"/>
              <w:bottom w:w="0" w:type="dxa"/>
              <w:right w:w="20" w:type="dxa"/>
            </w:tcMar>
          </w:tcPr>
          <w:p w14:paraId="5C7C5765"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766"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5767" w14:textId="77777777" w:rsidR="0008009C" w:rsidRDefault="00936FDF">
            <w:pPr>
              <w:jc w:val="right"/>
              <w:textAlignment w:val="bottom"/>
            </w:pPr>
            <w:r>
              <w:rPr>
                <w:rFonts w:ascii="Arial" w:eastAsia="宋体" w:hAnsi="Arial" w:cs="Arial"/>
                <w:color w:val="0068B5"/>
                <w:sz w:val="18"/>
                <w:szCs w:val="18"/>
              </w:rPr>
              <w:t>2,472 </w:t>
            </w:r>
          </w:p>
        </w:tc>
        <w:tc>
          <w:tcPr>
            <w:tcW w:w="0" w:type="auto"/>
            <w:shd w:val="clear" w:color="auto" w:fill="auto"/>
            <w:tcMar>
              <w:top w:w="40" w:type="dxa"/>
              <w:left w:w="0" w:type="dxa"/>
              <w:bottom w:w="40" w:type="dxa"/>
              <w:right w:w="20" w:type="dxa"/>
            </w:tcMar>
            <w:vAlign w:val="bottom"/>
          </w:tcPr>
          <w:p w14:paraId="5C7C576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769"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76A"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576B" w14:textId="77777777" w:rsidR="0008009C" w:rsidRDefault="00936FDF">
            <w:pPr>
              <w:jc w:val="right"/>
              <w:textAlignment w:val="bottom"/>
            </w:pPr>
            <w:r>
              <w:rPr>
                <w:rFonts w:ascii="Arial" w:eastAsia="宋体" w:hAnsi="Arial" w:cs="Arial"/>
                <w:color w:val="262626"/>
                <w:sz w:val="18"/>
                <w:szCs w:val="18"/>
              </w:rPr>
              <w:t>2,294 </w:t>
            </w:r>
          </w:p>
        </w:tc>
        <w:tc>
          <w:tcPr>
            <w:tcW w:w="0" w:type="auto"/>
            <w:shd w:val="clear" w:color="auto" w:fill="auto"/>
            <w:tcMar>
              <w:top w:w="40" w:type="dxa"/>
              <w:left w:w="0" w:type="dxa"/>
              <w:bottom w:w="40" w:type="dxa"/>
              <w:right w:w="20" w:type="dxa"/>
            </w:tcMar>
            <w:vAlign w:val="bottom"/>
          </w:tcPr>
          <w:p w14:paraId="5C7C576C" w14:textId="77777777" w:rsidR="0008009C" w:rsidRDefault="0008009C">
            <w:pPr>
              <w:jc w:val="right"/>
              <w:rPr>
                <w:rFonts w:ascii="宋体"/>
              </w:rPr>
            </w:pPr>
          </w:p>
        </w:tc>
      </w:tr>
      <w:tr w:rsidR="0008009C" w14:paraId="5C7C5773" w14:textId="77777777">
        <w:trPr>
          <w:hidden/>
        </w:trPr>
        <w:tc>
          <w:tcPr>
            <w:tcW w:w="0" w:type="auto"/>
            <w:gridSpan w:val="3"/>
            <w:shd w:val="clear" w:color="auto" w:fill="auto"/>
          </w:tcPr>
          <w:p w14:paraId="5C7C576E" w14:textId="77777777" w:rsidR="0008009C" w:rsidRDefault="0008009C">
            <w:pPr>
              <w:rPr>
                <w:rFonts w:ascii="宋体"/>
                <w:vanish/>
              </w:rPr>
            </w:pPr>
          </w:p>
        </w:tc>
        <w:tc>
          <w:tcPr>
            <w:tcW w:w="0" w:type="auto"/>
            <w:gridSpan w:val="3"/>
            <w:shd w:val="clear" w:color="auto" w:fill="auto"/>
          </w:tcPr>
          <w:p w14:paraId="5C7C576F" w14:textId="77777777" w:rsidR="0008009C" w:rsidRDefault="0008009C">
            <w:pPr>
              <w:rPr>
                <w:rFonts w:ascii="宋体"/>
                <w:vanish/>
              </w:rPr>
            </w:pPr>
          </w:p>
        </w:tc>
        <w:tc>
          <w:tcPr>
            <w:tcW w:w="0" w:type="auto"/>
            <w:gridSpan w:val="3"/>
            <w:shd w:val="clear" w:color="auto" w:fill="auto"/>
          </w:tcPr>
          <w:p w14:paraId="5C7C5770" w14:textId="77777777" w:rsidR="0008009C" w:rsidRDefault="0008009C">
            <w:pPr>
              <w:rPr>
                <w:rFonts w:ascii="宋体"/>
                <w:vanish/>
              </w:rPr>
            </w:pPr>
          </w:p>
        </w:tc>
        <w:tc>
          <w:tcPr>
            <w:tcW w:w="0" w:type="auto"/>
            <w:gridSpan w:val="3"/>
            <w:shd w:val="clear" w:color="auto" w:fill="auto"/>
          </w:tcPr>
          <w:p w14:paraId="5C7C5771" w14:textId="77777777" w:rsidR="0008009C" w:rsidRDefault="0008009C">
            <w:pPr>
              <w:rPr>
                <w:rFonts w:ascii="宋体"/>
                <w:vanish/>
              </w:rPr>
            </w:pPr>
          </w:p>
        </w:tc>
        <w:tc>
          <w:tcPr>
            <w:tcW w:w="0" w:type="auto"/>
            <w:gridSpan w:val="3"/>
            <w:shd w:val="clear" w:color="auto" w:fill="auto"/>
          </w:tcPr>
          <w:p w14:paraId="5C7C5772" w14:textId="77777777" w:rsidR="0008009C" w:rsidRDefault="0008009C">
            <w:pPr>
              <w:rPr>
                <w:rFonts w:ascii="宋体"/>
                <w:vanish/>
              </w:rPr>
            </w:pPr>
          </w:p>
        </w:tc>
      </w:tr>
      <w:tr w:rsidR="0008009C" w14:paraId="5C7C5779" w14:textId="77777777">
        <w:trPr>
          <w:hidden/>
        </w:trPr>
        <w:tc>
          <w:tcPr>
            <w:tcW w:w="0" w:type="auto"/>
            <w:gridSpan w:val="3"/>
            <w:shd w:val="clear" w:color="auto" w:fill="auto"/>
          </w:tcPr>
          <w:p w14:paraId="5C7C5774" w14:textId="77777777" w:rsidR="0008009C" w:rsidRDefault="0008009C">
            <w:pPr>
              <w:rPr>
                <w:rFonts w:ascii="宋体"/>
                <w:vanish/>
              </w:rPr>
            </w:pPr>
          </w:p>
        </w:tc>
        <w:tc>
          <w:tcPr>
            <w:tcW w:w="0" w:type="auto"/>
            <w:gridSpan w:val="3"/>
            <w:shd w:val="clear" w:color="auto" w:fill="auto"/>
          </w:tcPr>
          <w:p w14:paraId="5C7C5775" w14:textId="77777777" w:rsidR="0008009C" w:rsidRDefault="0008009C">
            <w:pPr>
              <w:rPr>
                <w:rFonts w:ascii="宋体"/>
                <w:vanish/>
              </w:rPr>
            </w:pPr>
          </w:p>
        </w:tc>
        <w:tc>
          <w:tcPr>
            <w:tcW w:w="0" w:type="auto"/>
            <w:gridSpan w:val="3"/>
            <w:shd w:val="clear" w:color="auto" w:fill="auto"/>
          </w:tcPr>
          <w:p w14:paraId="5C7C5776" w14:textId="77777777" w:rsidR="0008009C" w:rsidRDefault="0008009C">
            <w:pPr>
              <w:rPr>
                <w:rFonts w:ascii="宋体"/>
                <w:vanish/>
              </w:rPr>
            </w:pPr>
          </w:p>
        </w:tc>
        <w:tc>
          <w:tcPr>
            <w:tcW w:w="0" w:type="auto"/>
            <w:gridSpan w:val="3"/>
            <w:shd w:val="clear" w:color="auto" w:fill="auto"/>
          </w:tcPr>
          <w:p w14:paraId="5C7C5777" w14:textId="77777777" w:rsidR="0008009C" w:rsidRDefault="0008009C">
            <w:pPr>
              <w:rPr>
                <w:rFonts w:ascii="宋体"/>
                <w:vanish/>
              </w:rPr>
            </w:pPr>
          </w:p>
        </w:tc>
        <w:tc>
          <w:tcPr>
            <w:tcW w:w="0" w:type="auto"/>
            <w:gridSpan w:val="3"/>
            <w:shd w:val="clear" w:color="auto" w:fill="auto"/>
          </w:tcPr>
          <w:p w14:paraId="5C7C5778" w14:textId="77777777" w:rsidR="0008009C" w:rsidRDefault="0008009C">
            <w:pPr>
              <w:rPr>
                <w:rFonts w:ascii="宋体"/>
                <w:vanish/>
              </w:rPr>
            </w:pPr>
          </w:p>
        </w:tc>
      </w:tr>
      <w:tr w:rsidR="0008009C" w14:paraId="5C7C577F" w14:textId="77777777">
        <w:tc>
          <w:tcPr>
            <w:tcW w:w="0" w:type="auto"/>
            <w:gridSpan w:val="3"/>
            <w:shd w:val="clear" w:color="auto" w:fill="auto"/>
            <w:tcMar>
              <w:top w:w="40" w:type="dxa"/>
              <w:left w:w="140" w:type="dxa"/>
              <w:bottom w:w="40" w:type="dxa"/>
              <w:right w:w="20" w:type="dxa"/>
            </w:tcMar>
          </w:tcPr>
          <w:p w14:paraId="5C7C577A" w14:textId="77777777" w:rsidR="0008009C" w:rsidRDefault="00936FDF">
            <w:pPr>
              <w:textAlignment w:val="top"/>
            </w:pPr>
            <w:r>
              <w:rPr>
                <w:rFonts w:ascii="Arial" w:eastAsia="宋体" w:hAnsi="Arial" w:cs="Arial"/>
                <w:color w:val="262626"/>
                <w:sz w:val="18"/>
                <w:szCs w:val="18"/>
              </w:rPr>
              <w:t>Cash paid during the period for:</w:t>
            </w:r>
          </w:p>
        </w:tc>
        <w:tc>
          <w:tcPr>
            <w:tcW w:w="0" w:type="auto"/>
            <w:gridSpan w:val="3"/>
            <w:shd w:val="clear" w:color="auto" w:fill="auto"/>
            <w:tcMar>
              <w:top w:w="0" w:type="dxa"/>
              <w:left w:w="20" w:type="dxa"/>
              <w:bottom w:w="0" w:type="dxa"/>
              <w:right w:w="20" w:type="dxa"/>
            </w:tcMar>
          </w:tcPr>
          <w:p w14:paraId="5C7C577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77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77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77E" w14:textId="77777777" w:rsidR="0008009C" w:rsidRDefault="0008009C">
            <w:pPr>
              <w:rPr>
                <w:rFonts w:ascii="宋体"/>
              </w:rPr>
            </w:pPr>
          </w:p>
        </w:tc>
      </w:tr>
      <w:tr w:rsidR="0008009C" w14:paraId="5C7C5789" w14:textId="77777777">
        <w:tc>
          <w:tcPr>
            <w:tcW w:w="0" w:type="auto"/>
            <w:gridSpan w:val="3"/>
            <w:shd w:val="clear" w:color="auto" w:fill="auto"/>
            <w:tcMar>
              <w:top w:w="40" w:type="dxa"/>
              <w:left w:w="260" w:type="dxa"/>
              <w:bottom w:w="40" w:type="dxa"/>
              <w:right w:w="20" w:type="dxa"/>
            </w:tcMar>
          </w:tcPr>
          <w:p w14:paraId="5C7C5780" w14:textId="77777777" w:rsidR="0008009C" w:rsidRDefault="00936FDF">
            <w:pPr>
              <w:textAlignment w:val="top"/>
            </w:pPr>
            <w:r>
              <w:rPr>
                <w:rFonts w:ascii="Arial" w:eastAsia="宋体" w:hAnsi="Arial" w:cs="Arial"/>
                <w:color w:val="262626"/>
                <w:sz w:val="18"/>
                <w:szCs w:val="18"/>
              </w:rPr>
              <w:t>Interest, net of capitalized interest</w:t>
            </w:r>
          </w:p>
        </w:tc>
        <w:tc>
          <w:tcPr>
            <w:tcW w:w="0" w:type="auto"/>
            <w:gridSpan w:val="3"/>
            <w:shd w:val="clear" w:color="auto" w:fill="auto"/>
            <w:tcMar>
              <w:top w:w="0" w:type="dxa"/>
              <w:left w:w="20" w:type="dxa"/>
              <w:bottom w:w="0" w:type="dxa"/>
              <w:right w:w="20" w:type="dxa"/>
            </w:tcMar>
          </w:tcPr>
          <w:p w14:paraId="5C7C5781"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782"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5783" w14:textId="77777777" w:rsidR="0008009C" w:rsidRDefault="00936FDF">
            <w:pPr>
              <w:jc w:val="right"/>
              <w:textAlignment w:val="bottom"/>
            </w:pPr>
            <w:r>
              <w:rPr>
                <w:rFonts w:ascii="Arial" w:eastAsia="宋体" w:hAnsi="Arial" w:cs="Arial"/>
                <w:color w:val="0068B5"/>
                <w:sz w:val="18"/>
                <w:szCs w:val="18"/>
              </w:rPr>
              <w:t>161 </w:t>
            </w:r>
          </w:p>
        </w:tc>
        <w:tc>
          <w:tcPr>
            <w:tcW w:w="0" w:type="auto"/>
            <w:shd w:val="clear" w:color="auto" w:fill="auto"/>
            <w:tcMar>
              <w:top w:w="40" w:type="dxa"/>
              <w:left w:w="0" w:type="dxa"/>
              <w:bottom w:w="40" w:type="dxa"/>
              <w:right w:w="20" w:type="dxa"/>
            </w:tcMar>
            <w:vAlign w:val="bottom"/>
          </w:tcPr>
          <w:p w14:paraId="5C7C578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785"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786"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5787" w14:textId="77777777" w:rsidR="0008009C" w:rsidRDefault="00936FDF">
            <w:pPr>
              <w:jc w:val="right"/>
              <w:textAlignment w:val="bottom"/>
            </w:pPr>
            <w:r>
              <w:rPr>
                <w:rFonts w:ascii="Arial" w:eastAsia="宋体" w:hAnsi="Arial" w:cs="Arial"/>
                <w:color w:val="262626"/>
                <w:sz w:val="18"/>
                <w:szCs w:val="18"/>
              </w:rPr>
              <w:t>67 </w:t>
            </w:r>
          </w:p>
        </w:tc>
        <w:tc>
          <w:tcPr>
            <w:tcW w:w="0" w:type="auto"/>
            <w:shd w:val="clear" w:color="auto" w:fill="auto"/>
            <w:tcMar>
              <w:top w:w="40" w:type="dxa"/>
              <w:left w:w="0" w:type="dxa"/>
              <w:bottom w:w="40" w:type="dxa"/>
              <w:right w:w="20" w:type="dxa"/>
            </w:tcMar>
            <w:vAlign w:val="bottom"/>
          </w:tcPr>
          <w:p w14:paraId="5C7C5788" w14:textId="77777777" w:rsidR="0008009C" w:rsidRDefault="0008009C">
            <w:pPr>
              <w:jc w:val="right"/>
              <w:rPr>
                <w:rFonts w:ascii="宋体"/>
              </w:rPr>
            </w:pPr>
          </w:p>
        </w:tc>
      </w:tr>
      <w:tr w:rsidR="0008009C" w14:paraId="5C7C5793" w14:textId="77777777">
        <w:tc>
          <w:tcPr>
            <w:tcW w:w="0" w:type="auto"/>
            <w:gridSpan w:val="3"/>
            <w:shd w:val="clear" w:color="auto" w:fill="auto"/>
            <w:tcMar>
              <w:top w:w="40" w:type="dxa"/>
              <w:left w:w="260" w:type="dxa"/>
              <w:bottom w:w="40" w:type="dxa"/>
              <w:right w:w="20" w:type="dxa"/>
            </w:tcMar>
          </w:tcPr>
          <w:p w14:paraId="5C7C578A" w14:textId="77777777" w:rsidR="0008009C" w:rsidRDefault="00936FDF">
            <w:pPr>
              <w:textAlignment w:val="top"/>
            </w:pPr>
            <w:r>
              <w:rPr>
                <w:rFonts w:ascii="Arial" w:eastAsia="宋体" w:hAnsi="Arial" w:cs="Arial"/>
                <w:color w:val="262626"/>
                <w:sz w:val="18"/>
                <w:szCs w:val="18"/>
              </w:rPr>
              <w:t>Income taxes, net of refunds</w:t>
            </w:r>
          </w:p>
        </w:tc>
        <w:tc>
          <w:tcPr>
            <w:tcW w:w="0" w:type="auto"/>
            <w:gridSpan w:val="3"/>
            <w:shd w:val="clear" w:color="auto" w:fill="auto"/>
            <w:tcMar>
              <w:top w:w="0" w:type="dxa"/>
              <w:left w:w="20" w:type="dxa"/>
              <w:bottom w:w="0" w:type="dxa"/>
              <w:right w:w="20" w:type="dxa"/>
            </w:tcMar>
          </w:tcPr>
          <w:p w14:paraId="5C7C578B"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78C"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578D" w14:textId="77777777" w:rsidR="0008009C" w:rsidRDefault="00936FDF">
            <w:pPr>
              <w:jc w:val="right"/>
              <w:textAlignment w:val="bottom"/>
            </w:pPr>
            <w:r>
              <w:rPr>
                <w:rFonts w:ascii="Arial" w:eastAsia="宋体" w:hAnsi="Arial" w:cs="Arial"/>
                <w:color w:val="0068B5"/>
                <w:sz w:val="18"/>
                <w:szCs w:val="18"/>
              </w:rPr>
              <w:t>172 </w:t>
            </w:r>
          </w:p>
        </w:tc>
        <w:tc>
          <w:tcPr>
            <w:tcW w:w="0" w:type="auto"/>
            <w:shd w:val="clear" w:color="auto" w:fill="auto"/>
            <w:tcMar>
              <w:top w:w="40" w:type="dxa"/>
              <w:left w:w="0" w:type="dxa"/>
              <w:bottom w:w="40" w:type="dxa"/>
              <w:right w:w="20" w:type="dxa"/>
            </w:tcMar>
            <w:vAlign w:val="bottom"/>
          </w:tcPr>
          <w:p w14:paraId="5C7C578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78F"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790"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5791" w14:textId="77777777" w:rsidR="0008009C" w:rsidRDefault="00936FDF">
            <w:pPr>
              <w:jc w:val="right"/>
              <w:textAlignment w:val="bottom"/>
            </w:pPr>
            <w:r>
              <w:rPr>
                <w:rFonts w:ascii="Arial" w:eastAsia="宋体" w:hAnsi="Arial" w:cs="Arial"/>
                <w:color w:val="262626"/>
                <w:sz w:val="18"/>
                <w:szCs w:val="18"/>
              </w:rPr>
              <w:t>211 </w:t>
            </w:r>
          </w:p>
        </w:tc>
        <w:tc>
          <w:tcPr>
            <w:tcW w:w="0" w:type="auto"/>
            <w:shd w:val="clear" w:color="auto" w:fill="auto"/>
            <w:tcMar>
              <w:top w:w="40" w:type="dxa"/>
              <w:left w:w="0" w:type="dxa"/>
              <w:bottom w:w="40" w:type="dxa"/>
              <w:right w:w="20" w:type="dxa"/>
            </w:tcMar>
            <w:vAlign w:val="bottom"/>
          </w:tcPr>
          <w:p w14:paraId="5C7C5792" w14:textId="77777777" w:rsidR="0008009C" w:rsidRDefault="0008009C">
            <w:pPr>
              <w:jc w:val="right"/>
              <w:rPr>
                <w:rFonts w:ascii="宋体"/>
              </w:rPr>
            </w:pPr>
          </w:p>
        </w:tc>
      </w:tr>
    </w:tbl>
    <w:p w14:paraId="5C7C5794" w14:textId="77777777" w:rsidR="0008009C" w:rsidRDefault="00936FDF">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8009C" w14:paraId="5C7C57A1" w14:textId="77777777">
        <w:tc>
          <w:tcPr>
            <w:tcW w:w="50" w:type="pct"/>
            <w:shd w:val="clear" w:color="auto" w:fill="auto"/>
            <w:vAlign w:val="bottom"/>
          </w:tcPr>
          <w:p w14:paraId="5C7C5795" w14:textId="77777777" w:rsidR="0008009C" w:rsidRDefault="0008009C">
            <w:pPr>
              <w:rPr>
                <w:rFonts w:ascii="宋体"/>
              </w:rPr>
            </w:pPr>
          </w:p>
        </w:tc>
        <w:tc>
          <w:tcPr>
            <w:tcW w:w="238" w:type="pct"/>
            <w:shd w:val="clear" w:color="auto" w:fill="auto"/>
            <w:vAlign w:val="bottom"/>
          </w:tcPr>
          <w:p w14:paraId="5C7C5796" w14:textId="77777777" w:rsidR="0008009C" w:rsidRDefault="0008009C">
            <w:pPr>
              <w:rPr>
                <w:rFonts w:ascii="宋体"/>
              </w:rPr>
            </w:pPr>
          </w:p>
        </w:tc>
        <w:tc>
          <w:tcPr>
            <w:tcW w:w="5" w:type="pct"/>
            <w:shd w:val="clear" w:color="auto" w:fill="auto"/>
            <w:vAlign w:val="bottom"/>
          </w:tcPr>
          <w:p w14:paraId="5C7C5797" w14:textId="77777777" w:rsidR="0008009C" w:rsidRDefault="0008009C">
            <w:pPr>
              <w:rPr>
                <w:rFonts w:ascii="宋体"/>
              </w:rPr>
            </w:pPr>
          </w:p>
        </w:tc>
        <w:tc>
          <w:tcPr>
            <w:tcW w:w="50" w:type="pct"/>
            <w:shd w:val="clear" w:color="auto" w:fill="auto"/>
            <w:vAlign w:val="bottom"/>
          </w:tcPr>
          <w:p w14:paraId="5C7C5798" w14:textId="77777777" w:rsidR="0008009C" w:rsidRDefault="0008009C">
            <w:pPr>
              <w:rPr>
                <w:rFonts w:ascii="宋体"/>
              </w:rPr>
            </w:pPr>
          </w:p>
        </w:tc>
        <w:tc>
          <w:tcPr>
            <w:tcW w:w="983" w:type="pct"/>
            <w:shd w:val="clear" w:color="auto" w:fill="auto"/>
            <w:vAlign w:val="bottom"/>
          </w:tcPr>
          <w:p w14:paraId="5C7C5799" w14:textId="77777777" w:rsidR="0008009C" w:rsidRDefault="0008009C">
            <w:pPr>
              <w:rPr>
                <w:rFonts w:ascii="宋体"/>
              </w:rPr>
            </w:pPr>
          </w:p>
        </w:tc>
        <w:tc>
          <w:tcPr>
            <w:tcW w:w="5" w:type="pct"/>
            <w:shd w:val="clear" w:color="auto" w:fill="auto"/>
            <w:vAlign w:val="bottom"/>
          </w:tcPr>
          <w:p w14:paraId="5C7C579A" w14:textId="77777777" w:rsidR="0008009C" w:rsidRDefault="0008009C">
            <w:pPr>
              <w:rPr>
                <w:rFonts w:ascii="宋体"/>
              </w:rPr>
            </w:pPr>
          </w:p>
        </w:tc>
        <w:tc>
          <w:tcPr>
            <w:tcW w:w="50" w:type="pct"/>
            <w:shd w:val="clear" w:color="auto" w:fill="auto"/>
            <w:vAlign w:val="bottom"/>
          </w:tcPr>
          <w:p w14:paraId="5C7C579B" w14:textId="77777777" w:rsidR="0008009C" w:rsidRDefault="0008009C">
            <w:pPr>
              <w:rPr>
                <w:rFonts w:ascii="宋体"/>
              </w:rPr>
            </w:pPr>
          </w:p>
        </w:tc>
        <w:tc>
          <w:tcPr>
            <w:tcW w:w="2035" w:type="pct"/>
            <w:shd w:val="clear" w:color="auto" w:fill="auto"/>
            <w:vAlign w:val="bottom"/>
          </w:tcPr>
          <w:p w14:paraId="5C7C579C" w14:textId="77777777" w:rsidR="0008009C" w:rsidRDefault="0008009C">
            <w:pPr>
              <w:rPr>
                <w:rFonts w:ascii="宋体"/>
              </w:rPr>
            </w:pPr>
          </w:p>
        </w:tc>
        <w:tc>
          <w:tcPr>
            <w:tcW w:w="5" w:type="pct"/>
            <w:shd w:val="clear" w:color="auto" w:fill="auto"/>
            <w:vAlign w:val="bottom"/>
          </w:tcPr>
          <w:p w14:paraId="5C7C579D" w14:textId="77777777" w:rsidR="0008009C" w:rsidRDefault="0008009C">
            <w:pPr>
              <w:rPr>
                <w:rFonts w:ascii="宋体"/>
              </w:rPr>
            </w:pPr>
          </w:p>
        </w:tc>
        <w:tc>
          <w:tcPr>
            <w:tcW w:w="50" w:type="pct"/>
            <w:shd w:val="clear" w:color="auto" w:fill="auto"/>
            <w:vAlign w:val="bottom"/>
          </w:tcPr>
          <w:p w14:paraId="5C7C579E" w14:textId="77777777" w:rsidR="0008009C" w:rsidRDefault="0008009C">
            <w:pPr>
              <w:rPr>
                <w:rFonts w:ascii="宋体"/>
              </w:rPr>
            </w:pPr>
          </w:p>
        </w:tc>
        <w:tc>
          <w:tcPr>
            <w:tcW w:w="1522" w:type="pct"/>
            <w:shd w:val="clear" w:color="auto" w:fill="auto"/>
            <w:vAlign w:val="bottom"/>
          </w:tcPr>
          <w:p w14:paraId="5C7C579F" w14:textId="77777777" w:rsidR="0008009C" w:rsidRDefault="0008009C">
            <w:pPr>
              <w:rPr>
                <w:rFonts w:ascii="宋体"/>
              </w:rPr>
            </w:pPr>
          </w:p>
        </w:tc>
        <w:tc>
          <w:tcPr>
            <w:tcW w:w="5" w:type="pct"/>
            <w:shd w:val="clear" w:color="auto" w:fill="auto"/>
            <w:vAlign w:val="bottom"/>
          </w:tcPr>
          <w:p w14:paraId="5C7C57A0" w14:textId="77777777" w:rsidR="0008009C" w:rsidRDefault="0008009C">
            <w:pPr>
              <w:rPr>
                <w:rFonts w:ascii="宋体"/>
              </w:rPr>
            </w:pPr>
          </w:p>
        </w:tc>
      </w:tr>
      <w:tr w:rsidR="0008009C" w14:paraId="5C7C57A6"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57A2"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CFC" wp14:editId="5C7C7CFD">
                  <wp:extent cx="304800" cy="304800"/>
                  <wp:effectExtent l="0" t="0" r="0" b="0"/>
                  <wp:docPr id="98" name="图片 51"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51"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7A3"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57A4" w14:textId="77777777" w:rsidR="0008009C" w:rsidRDefault="00936FDF">
            <w:pPr>
              <w:textAlignment w:val="center"/>
            </w:pPr>
            <w:r>
              <w:rPr>
                <w:rFonts w:ascii="Arial" w:eastAsia="宋体" w:hAnsi="Arial" w:cs="Arial"/>
                <w:color w:val="262626"/>
                <w:sz w:val="16"/>
                <w:szCs w:val="16"/>
              </w:rPr>
              <w:t>  Consolidated Condensed Statements of Cash Flows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7A5" w14:textId="77777777" w:rsidR="0008009C" w:rsidRDefault="00936FDF">
            <w:pPr>
              <w:jc w:val="right"/>
              <w:textAlignment w:val="center"/>
            </w:pPr>
            <w:r>
              <w:rPr>
                <w:rFonts w:ascii="Arial" w:eastAsia="宋体" w:hAnsi="Arial" w:cs="Arial"/>
                <w:color w:val="262626"/>
                <w:sz w:val="16"/>
                <w:szCs w:val="16"/>
              </w:rPr>
              <w:t>6</w:t>
            </w:r>
          </w:p>
        </w:tc>
      </w:tr>
    </w:tbl>
    <w:p w14:paraId="5C7C57A7" w14:textId="77777777" w:rsidR="0008009C" w:rsidRDefault="00936FDF">
      <w:r>
        <w:pict w14:anchorId="5C7C7CFE">
          <v:rect id="_x0000_i1032" style="width:415.3pt;height:1.5pt" o:hralign="center" o:hrstd="t" o:hr="t" fillcolor="#a0a0a0" stroked="f"/>
        </w:pict>
      </w:r>
    </w:p>
    <w:p w14:paraId="5C7C57A8" w14:textId="77777777" w:rsidR="0008009C" w:rsidRDefault="00936FDF">
      <w:pPr>
        <w:spacing w:after="180"/>
        <w:jc w:val="right"/>
      </w:pPr>
      <w:hyperlink r:id="rId32" w:anchor="i3a00378f6cc84b1c9cfc83239548ad53_7" w:history="1">
        <w:r>
          <w:rPr>
            <w:rStyle w:val="a5"/>
            <w:rFonts w:ascii="Arial" w:eastAsia="宋体" w:hAnsi="Arial" w:cs="Arial"/>
            <w:b/>
            <w:bCs/>
            <w:sz w:val="16"/>
            <w:szCs w:val="16"/>
          </w:rPr>
          <w:t>Table of Contents</w:t>
        </w:r>
      </w:hyperlink>
    </w:p>
    <w:p w14:paraId="5C7C57A9" w14:textId="77777777" w:rsidR="0008009C" w:rsidRDefault="0008009C">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8009C" w14:paraId="5C7C57B0" w14:textId="77777777">
        <w:tc>
          <w:tcPr>
            <w:tcW w:w="50" w:type="pct"/>
            <w:shd w:val="clear" w:color="auto" w:fill="auto"/>
          </w:tcPr>
          <w:p w14:paraId="5C7C57AA" w14:textId="77777777" w:rsidR="0008009C" w:rsidRDefault="0008009C">
            <w:pPr>
              <w:rPr>
                <w:rFonts w:ascii="宋体"/>
              </w:rPr>
            </w:pPr>
          </w:p>
        </w:tc>
        <w:tc>
          <w:tcPr>
            <w:tcW w:w="4870" w:type="pct"/>
            <w:shd w:val="clear" w:color="auto" w:fill="auto"/>
          </w:tcPr>
          <w:p w14:paraId="5C7C57AB" w14:textId="77777777" w:rsidR="0008009C" w:rsidRDefault="0008009C">
            <w:pPr>
              <w:rPr>
                <w:rFonts w:ascii="宋体"/>
              </w:rPr>
            </w:pPr>
          </w:p>
        </w:tc>
        <w:tc>
          <w:tcPr>
            <w:tcW w:w="5" w:type="pct"/>
            <w:shd w:val="clear" w:color="auto" w:fill="auto"/>
          </w:tcPr>
          <w:p w14:paraId="5C7C57AC" w14:textId="77777777" w:rsidR="0008009C" w:rsidRDefault="0008009C">
            <w:pPr>
              <w:rPr>
                <w:rFonts w:ascii="宋体"/>
              </w:rPr>
            </w:pPr>
          </w:p>
        </w:tc>
        <w:tc>
          <w:tcPr>
            <w:tcW w:w="5" w:type="pct"/>
            <w:shd w:val="clear" w:color="auto" w:fill="auto"/>
          </w:tcPr>
          <w:p w14:paraId="5C7C57AD" w14:textId="77777777" w:rsidR="0008009C" w:rsidRDefault="0008009C">
            <w:pPr>
              <w:rPr>
                <w:rFonts w:ascii="宋体"/>
              </w:rPr>
            </w:pPr>
          </w:p>
        </w:tc>
        <w:tc>
          <w:tcPr>
            <w:tcW w:w="64" w:type="pct"/>
            <w:shd w:val="clear" w:color="auto" w:fill="auto"/>
          </w:tcPr>
          <w:p w14:paraId="5C7C57AE" w14:textId="77777777" w:rsidR="0008009C" w:rsidRDefault="0008009C">
            <w:pPr>
              <w:rPr>
                <w:rFonts w:ascii="宋体"/>
              </w:rPr>
            </w:pPr>
          </w:p>
        </w:tc>
        <w:tc>
          <w:tcPr>
            <w:tcW w:w="5" w:type="pct"/>
            <w:shd w:val="clear" w:color="auto" w:fill="auto"/>
          </w:tcPr>
          <w:p w14:paraId="5C7C57AF" w14:textId="77777777" w:rsidR="0008009C" w:rsidRDefault="0008009C">
            <w:pPr>
              <w:rPr>
                <w:rFonts w:ascii="宋体"/>
              </w:rPr>
            </w:pPr>
          </w:p>
        </w:tc>
      </w:tr>
      <w:tr w:rsidR="0008009C" w14:paraId="5C7C57B3" w14:textId="77777777">
        <w:tc>
          <w:tcPr>
            <w:tcW w:w="0" w:type="auto"/>
            <w:gridSpan w:val="3"/>
            <w:shd w:val="clear" w:color="auto" w:fill="004A86"/>
            <w:tcMar>
              <w:top w:w="40" w:type="dxa"/>
              <w:left w:w="20" w:type="dxa"/>
              <w:bottom w:w="40" w:type="dxa"/>
              <w:right w:w="20" w:type="dxa"/>
            </w:tcMar>
            <w:vAlign w:val="center"/>
          </w:tcPr>
          <w:p w14:paraId="5C7C57B1" w14:textId="77777777" w:rsidR="0008009C" w:rsidRDefault="00936FDF">
            <w:pPr>
              <w:textAlignment w:val="center"/>
            </w:pPr>
            <w:r>
              <w:rPr>
                <w:rFonts w:ascii="Arial" w:eastAsia="宋体" w:hAnsi="Arial" w:cs="Arial"/>
                <w:color w:val="FFFFFF"/>
                <w:sz w:val="36"/>
                <w:szCs w:val="36"/>
              </w:rPr>
              <w:t>Consolidated Condensed Statements of Stockholders' Equity</w:t>
            </w:r>
          </w:p>
        </w:tc>
        <w:tc>
          <w:tcPr>
            <w:tcW w:w="0" w:type="auto"/>
            <w:gridSpan w:val="3"/>
            <w:shd w:val="clear" w:color="auto" w:fill="auto"/>
            <w:tcMar>
              <w:top w:w="0" w:type="dxa"/>
              <w:left w:w="20" w:type="dxa"/>
              <w:bottom w:w="0" w:type="dxa"/>
              <w:right w:w="20" w:type="dxa"/>
            </w:tcMar>
          </w:tcPr>
          <w:p w14:paraId="5C7C57B2" w14:textId="77777777" w:rsidR="0008009C" w:rsidRDefault="0008009C">
            <w:pPr>
              <w:rPr>
                <w:rFonts w:ascii="宋体"/>
              </w:rPr>
            </w:pPr>
          </w:p>
        </w:tc>
      </w:tr>
      <w:tr w:rsidR="0008009C" w14:paraId="5C7C57B6" w14:textId="77777777">
        <w:trPr>
          <w:trHeight w:val="160"/>
        </w:trPr>
        <w:tc>
          <w:tcPr>
            <w:tcW w:w="0" w:type="auto"/>
            <w:gridSpan w:val="3"/>
            <w:shd w:val="clear" w:color="auto" w:fill="auto"/>
            <w:tcMar>
              <w:top w:w="0" w:type="dxa"/>
              <w:left w:w="20" w:type="dxa"/>
              <w:bottom w:w="0" w:type="dxa"/>
              <w:right w:w="20" w:type="dxa"/>
            </w:tcMar>
          </w:tcPr>
          <w:p w14:paraId="5C7C57B4" w14:textId="77777777" w:rsidR="0008009C" w:rsidRDefault="0008009C">
            <w:pPr>
              <w:rPr>
                <w:rFonts w:ascii="宋体"/>
              </w:rPr>
            </w:pPr>
          </w:p>
        </w:tc>
        <w:tc>
          <w:tcPr>
            <w:tcW w:w="0" w:type="auto"/>
            <w:gridSpan w:val="3"/>
            <w:shd w:val="clear" w:color="auto" w:fill="00A3F6"/>
            <w:tcMar>
              <w:top w:w="0" w:type="dxa"/>
              <w:left w:w="20" w:type="dxa"/>
              <w:bottom w:w="0" w:type="dxa"/>
              <w:right w:w="20" w:type="dxa"/>
            </w:tcMar>
          </w:tcPr>
          <w:p w14:paraId="5C7C57B5" w14:textId="77777777" w:rsidR="0008009C" w:rsidRDefault="0008009C">
            <w:pPr>
              <w:rPr>
                <w:rFonts w:ascii="宋体"/>
              </w:rPr>
            </w:pPr>
          </w:p>
        </w:tc>
      </w:tr>
    </w:tbl>
    <w:p w14:paraId="5C7C57B7" w14:textId="77777777" w:rsidR="0008009C" w:rsidRDefault="0008009C">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38"/>
        <w:gridCol w:w="3037"/>
        <w:gridCol w:w="37"/>
        <w:gridCol w:w="36"/>
        <w:gridCol w:w="36"/>
        <w:gridCol w:w="36"/>
        <w:gridCol w:w="59"/>
        <w:gridCol w:w="613"/>
        <w:gridCol w:w="36"/>
        <w:gridCol w:w="36"/>
        <w:gridCol w:w="36"/>
        <w:gridCol w:w="36"/>
        <w:gridCol w:w="121"/>
        <w:gridCol w:w="658"/>
        <w:gridCol w:w="36"/>
        <w:gridCol w:w="36"/>
        <w:gridCol w:w="36"/>
        <w:gridCol w:w="36"/>
        <w:gridCol w:w="122"/>
        <w:gridCol w:w="1279"/>
        <w:gridCol w:w="36"/>
        <w:gridCol w:w="36"/>
        <w:gridCol w:w="36"/>
        <w:gridCol w:w="36"/>
        <w:gridCol w:w="122"/>
        <w:gridCol w:w="785"/>
        <w:gridCol w:w="36"/>
        <w:gridCol w:w="36"/>
        <w:gridCol w:w="36"/>
        <w:gridCol w:w="36"/>
        <w:gridCol w:w="121"/>
        <w:gridCol w:w="601"/>
        <w:gridCol w:w="36"/>
      </w:tblGrid>
      <w:tr w:rsidR="0008009C" w14:paraId="5C7C57D9" w14:textId="77777777">
        <w:tc>
          <w:tcPr>
            <w:tcW w:w="50" w:type="pct"/>
            <w:shd w:val="clear" w:color="auto" w:fill="auto"/>
          </w:tcPr>
          <w:p w14:paraId="5C7C57B8" w14:textId="77777777" w:rsidR="0008009C" w:rsidRDefault="0008009C">
            <w:pPr>
              <w:rPr>
                <w:rFonts w:ascii="宋体"/>
              </w:rPr>
            </w:pPr>
          </w:p>
        </w:tc>
        <w:tc>
          <w:tcPr>
            <w:tcW w:w="1897" w:type="pct"/>
            <w:shd w:val="clear" w:color="auto" w:fill="auto"/>
          </w:tcPr>
          <w:p w14:paraId="5C7C57B9" w14:textId="77777777" w:rsidR="0008009C" w:rsidRDefault="0008009C">
            <w:pPr>
              <w:rPr>
                <w:rFonts w:ascii="宋体"/>
              </w:rPr>
            </w:pPr>
          </w:p>
        </w:tc>
        <w:tc>
          <w:tcPr>
            <w:tcW w:w="5" w:type="pct"/>
            <w:shd w:val="clear" w:color="auto" w:fill="auto"/>
          </w:tcPr>
          <w:p w14:paraId="5C7C57BA" w14:textId="77777777" w:rsidR="0008009C" w:rsidRDefault="0008009C">
            <w:pPr>
              <w:rPr>
                <w:rFonts w:ascii="宋体"/>
              </w:rPr>
            </w:pPr>
          </w:p>
        </w:tc>
        <w:tc>
          <w:tcPr>
            <w:tcW w:w="5" w:type="pct"/>
            <w:shd w:val="clear" w:color="auto" w:fill="auto"/>
          </w:tcPr>
          <w:p w14:paraId="5C7C57BB" w14:textId="77777777" w:rsidR="0008009C" w:rsidRDefault="0008009C">
            <w:pPr>
              <w:rPr>
                <w:rFonts w:ascii="宋体"/>
              </w:rPr>
            </w:pPr>
          </w:p>
        </w:tc>
        <w:tc>
          <w:tcPr>
            <w:tcW w:w="24" w:type="pct"/>
            <w:shd w:val="clear" w:color="auto" w:fill="auto"/>
          </w:tcPr>
          <w:p w14:paraId="5C7C57BC" w14:textId="77777777" w:rsidR="0008009C" w:rsidRDefault="0008009C">
            <w:pPr>
              <w:rPr>
                <w:rFonts w:ascii="宋体"/>
              </w:rPr>
            </w:pPr>
          </w:p>
        </w:tc>
        <w:tc>
          <w:tcPr>
            <w:tcW w:w="5" w:type="pct"/>
            <w:shd w:val="clear" w:color="auto" w:fill="auto"/>
          </w:tcPr>
          <w:p w14:paraId="5C7C57BD" w14:textId="77777777" w:rsidR="0008009C" w:rsidRDefault="0008009C">
            <w:pPr>
              <w:rPr>
                <w:rFonts w:ascii="宋体"/>
              </w:rPr>
            </w:pPr>
          </w:p>
        </w:tc>
        <w:tc>
          <w:tcPr>
            <w:tcW w:w="50" w:type="pct"/>
            <w:shd w:val="clear" w:color="auto" w:fill="auto"/>
          </w:tcPr>
          <w:p w14:paraId="5C7C57BE" w14:textId="77777777" w:rsidR="0008009C" w:rsidRDefault="0008009C">
            <w:pPr>
              <w:rPr>
                <w:rFonts w:ascii="宋体"/>
              </w:rPr>
            </w:pPr>
          </w:p>
        </w:tc>
        <w:tc>
          <w:tcPr>
            <w:tcW w:w="492" w:type="pct"/>
            <w:shd w:val="clear" w:color="auto" w:fill="auto"/>
          </w:tcPr>
          <w:p w14:paraId="5C7C57BF" w14:textId="77777777" w:rsidR="0008009C" w:rsidRDefault="0008009C">
            <w:pPr>
              <w:rPr>
                <w:rFonts w:ascii="宋体"/>
              </w:rPr>
            </w:pPr>
          </w:p>
        </w:tc>
        <w:tc>
          <w:tcPr>
            <w:tcW w:w="5" w:type="pct"/>
            <w:shd w:val="clear" w:color="auto" w:fill="auto"/>
          </w:tcPr>
          <w:p w14:paraId="5C7C57C0" w14:textId="77777777" w:rsidR="0008009C" w:rsidRDefault="0008009C">
            <w:pPr>
              <w:rPr>
                <w:rFonts w:ascii="宋体"/>
              </w:rPr>
            </w:pPr>
          </w:p>
        </w:tc>
        <w:tc>
          <w:tcPr>
            <w:tcW w:w="5" w:type="pct"/>
            <w:shd w:val="clear" w:color="auto" w:fill="auto"/>
          </w:tcPr>
          <w:p w14:paraId="5C7C57C1" w14:textId="77777777" w:rsidR="0008009C" w:rsidRDefault="0008009C">
            <w:pPr>
              <w:rPr>
                <w:rFonts w:ascii="宋体"/>
              </w:rPr>
            </w:pPr>
          </w:p>
        </w:tc>
        <w:tc>
          <w:tcPr>
            <w:tcW w:w="24" w:type="pct"/>
            <w:shd w:val="clear" w:color="auto" w:fill="auto"/>
          </w:tcPr>
          <w:p w14:paraId="5C7C57C2" w14:textId="77777777" w:rsidR="0008009C" w:rsidRDefault="0008009C">
            <w:pPr>
              <w:rPr>
                <w:rFonts w:ascii="宋体"/>
              </w:rPr>
            </w:pPr>
          </w:p>
        </w:tc>
        <w:tc>
          <w:tcPr>
            <w:tcW w:w="5" w:type="pct"/>
            <w:shd w:val="clear" w:color="auto" w:fill="auto"/>
          </w:tcPr>
          <w:p w14:paraId="5C7C57C3" w14:textId="77777777" w:rsidR="0008009C" w:rsidRDefault="0008009C">
            <w:pPr>
              <w:rPr>
                <w:rFonts w:ascii="宋体"/>
              </w:rPr>
            </w:pPr>
          </w:p>
        </w:tc>
        <w:tc>
          <w:tcPr>
            <w:tcW w:w="50" w:type="pct"/>
            <w:shd w:val="clear" w:color="auto" w:fill="auto"/>
          </w:tcPr>
          <w:p w14:paraId="5C7C57C4" w14:textId="77777777" w:rsidR="0008009C" w:rsidRDefault="0008009C">
            <w:pPr>
              <w:rPr>
                <w:rFonts w:ascii="宋体"/>
              </w:rPr>
            </w:pPr>
          </w:p>
        </w:tc>
        <w:tc>
          <w:tcPr>
            <w:tcW w:w="492" w:type="pct"/>
            <w:shd w:val="clear" w:color="auto" w:fill="auto"/>
          </w:tcPr>
          <w:p w14:paraId="5C7C57C5" w14:textId="77777777" w:rsidR="0008009C" w:rsidRDefault="0008009C">
            <w:pPr>
              <w:rPr>
                <w:rFonts w:ascii="宋体"/>
              </w:rPr>
            </w:pPr>
          </w:p>
        </w:tc>
        <w:tc>
          <w:tcPr>
            <w:tcW w:w="5" w:type="pct"/>
            <w:shd w:val="clear" w:color="auto" w:fill="auto"/>
          </w:tcPr>
          <w:p w14:paraId="5C7C57C6" w14:textId="77777777" w:rsidR="0008009C" w:rsidRDefault="0008009C">
            <w:pPr>
              <w:rPr>
                <w:rFonts w:ascii="宋体"/>
              </w:rPr>
            </w:pPr>
          </w:p>
        </w:tc>
        <w:tc>
          <w:tcPr>
            <w:tcW w:w="5" w:type="pct"/>
            <w:shd w:val="clear" w:color="auto" w:fill="auto"/>
          </w:tcPr>
          <w:p w14:paraId="5C7C57C7" w14:textId="77777777" w:rsidR="0008009C" w:rsidRDefault="0008009C">
            <w:pPr>
              <w:rPr>
                <w:rFonts w:ascii="宋体"/>
              </w:rPr>
            </w:pPr>
          </w:p>
        </w:tc>
        <w:tc>
          <w:tcPr>
            <w:tcW w:w="24" w:type="pct"/>
            <w:shd w:val="clear" w:color="auto" w:fill="auto"/>
          </w:tcPr>
          <w:p w14:paraId="5C7C57C8" w14:textId="77777777" w:rsidR="0008009C" w:rsidRDefault="0008009C">
            <w:pPr>
              <w:rPr>
                <w:rFonts w:ascii="宋体"/>
              </w:rPr>
            </w:pPr>
          </w:p>
        </w:tc>
        <w:tc>
          <w:tcPr>
            <w:tcW w:w="5" w:type="pct"/>
            <w:shd w:val="clear" w:color="auto" w:fill="auto"/>
          </w:tcPr>
          <w:p w14:paraId="5C7C57C9" w14:textId="77777777" w:rsidR="0008009C" w:rsidRDefault="0008009C">
            <w:pPr>
              <w:rPr>
                <w:rFonts w:ascii="宋体"/>
              </w:rPr>
            </w:pPr>
          </w:p>
        </w:tc>
        <w:tc>
          <w:tcPr>
            <w:tcW w:w="50" w:type="pct"/>
            <w:shd w:val="clear" w:color="auto" w:fill="auto"/>
          </w:tcPr>
          <w:p w14:paraId="5C7C57CA" w14:textId="77777777" w:rsidR="0008009C" w:rsidRDefault="0008009C">
            <w:pPr>
              <w:rPr>
                <w:rFonts w:ascii="宋体"/>
              </w:rPr>
            </w:pPr>
          </w:p>
        </w:tc>
        <w:tc>
          <w:tcPr>
            <w:tcW w:w="629" w:type="pct"/>
            <w:shd w:val="clear" w:color="auto" w:fill="auto"/>
          </w:tcPr>
          <w:p w14:paraId="5C7C57CB" w14:textId="77777777" w:rsidR="0008009C" w:rsidRDefault="0008009C">
            <w:pPr>
              <w:rPr>
                <w:rFonts w:ascii="宋体"/>
              </w:rPr>
            </w:pPr>
          </w:p>
        </w:tc>
        <w:tc>
          <w:tcPr>
            <w:tcW w:w="5" w:type="pct"/>
            <w:shd w:val="clear" w:color="auto" w:fill="auto"/>
          </w:tcPr>
          <w:p w14:paraId="5C7C57CC" w14:textId="77777777" w:rsidR="0008009C" w:rsidRDefault="0008009C">
            <w:pPr>
              <w:rPr>
                <w:rFonts w:ascii="宋体"/>
              </w:rPr>
            </w:pPr>
          </w:p>
        </w:tc>
        <w:tc>
          <w:tcPr>
            <w:tcW w:w="5" w:type="pct"/>
            <w:shd w:val="clear" w:color="auto" w:fill="auto"/>
          </w:tcPr>
          <w:p w14:paraId="5C7C57CD" w14:textId="77777777" w:rsidR="0008009C" w:rsidRDefault="0008009C">
            <w:pPr>
              <w:rPr>
                <w:rFonts w:ascii="宋体"/>
              </w:rPr>
            </w:pPr>
          </w:p>
        </w:tc>
        <w:tc>
          <w:tcPr>
            <w:tcW w:w="24" w:type="pct"/>
            <w:shd w:val="clear" w:color="auto" w:fill="auto"/>
          </w:tcPr>
          <w:p w14:paraId="5C7C57CE" w14:textId="77777777" w:rsidR="0008009C" w:rsidRDefault="0008009C">
            <w:pPr>
              <w:rPr>
                <w:rFonts w:ascii="宋体"/>
              </w:rPr>
            </w:pPr>
          </w:p>
        </w:tc>
        <w:tc>
          <w:tcPr>
            <w:tcW w:w="5" w:type="pct"/>
            <w:shd w:val="clear" w:color="auto" w:fill="auto"/>
          </w:tcPr>
          <w:p w14:paraId="5C7C57CF" w14:textId="77777777" w:rsidR="0008009C" w:rsidRDefault="0008009C">
            <w:pPr>
              <w:rPr>
                <w:rFonts w:ascii="宋体"/>
              </w:rPr>
            </w:pPr>
          </w:p>
        </w:tc>
        <w:tc>
          <w:tcPr>
            <w:tcW w:w="50" w:type="pct"/>
            <w:shd w:val="clear" w:color="auto" w:fill="auto"/>
          </w:tcPr>
          <w:p w14:paraId="5C7C57D0" w14:textId="77777777" w:rsidR="0008009C" w:rsidRDefault="0008009C">
            <w:pPr>
              <w:rPr>
                <w:rFonts w:ascii="宋体"/>
              </w:rPr>
            </w:pPr>
          </w:p>
        </w:tc>
        <w:tc>
          <w:tcPr>
            <w:tcW w:w="492" w:type="pct"/>
            <w:shd w:val="clear" w:color="auto" w:fill="auto"/>
          </w:tcPr>
          <w:p w14:paraId="5C7C57D1" w14:textId="77777777" w:rsidR="0008009C" w:rsidRDefault="0008009C">
            <w:pPr>
              <w:rPr>
                <w:rFonts w:ascii="宋体"/>
              </w:rPr>
            </w:pPr>
          </w:p>
        </w:tc>
        <w:tc>
          <w:tcPr>
            <w:tcW w:w="5" w:type="pct"/>
            <w:shd w:val="clear" w:color="auto" w:fill="auto"/>
          </w:tcPr>
          <w:p w14:paraId="5C7C57D2" w14:textId="77777777" w:rsidR="0008009C" w:rsidRDefault="0008009C">
            <w:pPr>
              <w:rPr>
                <w:rFonts w:ascii="宋体"/>
              </w:rPr>
            </w:pPr>
          </w:p>
        </w:tc>
        <w:tc>
          <w:tcPr>
            <w:tcW w:w="5" w:type="pct"/>
            <w:shd w:val="clear" w:color="auto" w:fill="auto"/>
          </w:tcPr>
          <w:p w14:paraId="5C7C57D3" w14:textId="77777777" w:rsidR="0008009C" w:rsidRDefault="0008009C">
            <w:pPr>
              <w:rPr>
                <w:rFonts w:ascii="宋体"/>
              </w:rPr>
            </w:pPr>
          </w:p>
        </w:tc>
        <w:tc>
          <w:tcPr>
            <w:tcW w:w="24" w:type="pct"/>
            <w:shd w:val="clear" w:color="auto" w:fill="auto"/>
          </w:tcPr>
          <w:p w14:paraId="5C7C57D4" w14:textId="77777777" w:rsidR="0008009C" w:rsidRDefault="0008009C">
            <w:pPr>
              <w:rPr>
                <w:rFonts w:ascii="宋体"/>
              </w:rPr>
            </w:pPr>
          </w:p>
        </w:tc>
        <w:tc>
          <w:tcPr>
            <w:tcW w:w="5" w:type="pct"/>
            <w:shd w:val="clear" w:color="auto" w:fill="auto"/>
          </w:tcPr>
          <w:p w14:paraId="5C7C57D5" w14:textId="77777777" w:rsidR="0008009C" w:rsidRDefault="0008009C">
            <w:pPr>
              <w:rPr>
                <w:rFonts w:ascii="宋体"/>
              </w:rPr>
            </w:pPr>
          </w:p>
        </w:tc>
        <w:tc>
          <w:tcPr>
            <w:tcW w:w="50" w:type="pct"/>
            <w:shd w:val="clear" w:color="auto" w:fill="auto"/>
          </w:tcPr>
          <w:p w14:paraId="5C7C57D6" w14:textId="77777777" w:rsidR="0008009C" w:rsidRDefault="0008009C">
            <w:pPr>
              <w:rPr>
                <w:rFonts w:ascii="宋体"/>
              </w:rPr>
            </w:pPr>
          </w:p>
        </w:tc>
        <w:tc>
          <w:tcPr>
            <w:tcW w:w="493" w:type="pct"/>
            <w:shd w:val="clear" w:color="auto" w:fill="auto"/>
          </w:tcPr>
          <w:p w14:paraId="5C7C57D7" w14:textId="77777777" w:rsidR="0008009C" w:rsidRDefault="0008009C">
            <w:pPr>
              <w:rPr>
                <w:rFonts w:ascii="宋体"/>
              </w:rPr>
            </w:pPr>
          </w:p>
        </w:tc>
        <w:tc>
          <w:tcPr>
            <w:tcW w:w="5" w:type="pct"/>
            <w:shd w:val="clear" w:color="auto" w:fill="auto"/>
          </w:tcPr>
          <w:p w14:paraId="5C7C57D8" w14:textId="77777777" w:rsidR="0008009C" w:rsidRDefault="0008009C">
            <w:pPr>
              <w:rPr>
                <w:rFonts w:ascii="宋体"/>
              </w:rPr>
            </w:pPr>
          </w:p>
        </w:tc>
      </w:tr>
      <w:tr w:rsidR="0008009C" w14:paraId="5C7C57E3" w14:textId="77777777">
        <w:trPr>
          <w:trHeight w:val="420"/>
        </w:trPr>
        <w:tc>
          <w:tcPr>
            <w:tcW w:w="0" w:type="auto"/>
            <w:gridSpan w:val="3"/>
            <w:shd w:val="clear" w:color="auto" w:fill="auto"/>
            <w:tcMar>
              <w:top w:w="0" w:type="dxa"/>
              <w:left w:w="20" w:type="dxa"/>
              <w:bottom w:w="0" w:type="dxa"/>
              <w:right w:w="20" w:type="dxa"/>
            </w:tcMar>
          </w:tcPr>
          <w:p w14:paraId="5C7C57D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7DB"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bottom"/>
          </w:tcPr>
          <w:p w14:paraId="5C7C57DC" w14:textId="77777777" w:rsidR="0008009C" w:rsidRDefault="00936FDF">
            <w:pPr>
              <w:jc w:val="center"/>
              <w:textAlignment w:val="bottom"/>
            </w:pPr>
            <w:r>
              <w:rPr>
                <w:rFonts w:ascii="Arial" w:eastAsia="宋体" w:hAnsi="Arial" w:cs="Arial"/>
                <w:b/>
                <w:bCs/>
                <w:color w:val="262626"/>
                <w:sz w:val="18"/>
                <w:szCs w:val="18"/>
              </w:rPr>
              <w:t>Common Stock and Capital in Excess of Par Value</w:t>
            </w:r>
          </w:p>
        </w:tc>
        <w:tc>
          <w:tcPr>
            <w:tcW w:w="0" w:type="auto"/>
            <w:gridSpan w:val="3"/>
            <w:shd w:val="clear" w:color="auto" w:fill="auto"/>
            <w:tcMar>
              <w:top w:w="0" w:type="dxa"/>
              <w:left w:w="20" w:type="dxa"/>
              <w:bottom w:w="0" w:type="dxa"/>
              <w:right w:w="20" w:type="dxa"/>
            </w:tcMar>
          </w:tcPr>
          <w:p w14:paraId="5C7C57DD" w14:textId="77777777" w:rsidR="0008009C" w:rsidRDefault="0008009C">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C7C57DE" w14:textId="77777777" w:rsidR="0008009C" w:rsidRDefault="00936FDF">
            <w:pPr>
              <w:jc w:val="center"/>
              <w:textAlignment w:val="bottom"/>
            </w:pPr>
            <w:r>
              <w:rPr>
                <w:rFonts w:ascii="Arial" w:eastAsia="宋体" w:hAnsi="Arial" w:cs="Arial"/>
                <w:b/>
                <w:bCs/>
                <w:color w:val="262626"/>
                <w:sz w:val="18"/>
                <w:szCs w:val="18"/>
              </w:rPr>
              <w:t>Accumulated Other Comprehensive Income (Loss)</w:t>
            </w:r>
          </w:p>
        </w:tc>
        <w:tc>
          <w:tcPr>
            <w:tcW w:w="0" w:type="auto"/>
            <w:gridSpan w:val="3"/>
            <w:shd w:val="clear" w:color="auto" w:fill="auto"/>
            <w:tcMar>
              <w:top w:w="0" w:type="dxa"/>
              <w:left w:w="20" w:type="dxa"/>
              <w:bottom w:w="0" w:type="dxa"/>
              <w:right w:w="20" w:type="dxa"/>
            </w:tcMar>
          </w:tcPr>
          <w:p w14:paraId="5C7C57DF" w14:textId="77777777" w:rsidR="0008009C" w:rsidRDefault="0008009C">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C7C57E0" w14:textId="77777777" w:rsidR="0008009C" w:rsidRDefault="00936FDF">
            <w:pPr>
              <w:jc w:val="center"/>
              <w:textAlignment w:val="bottom"/>
            </w:pPr>
            <w:r>
              <w:rPr>
                <w:rFonts w:ascii="Arial" w:eastAsia="宋体" w:hAnsi="Arial" w:cs="Arial"/>
                <w:b/>
                <w:bCs/>
                <w:color w:val="262626"/>
                <w:sz w:val="18"/>
                <w:szCs w:val="18"/>
              </w:rPr>
              <w:t>Retained Earnings</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tcPr>
          <w:p w14:paraId="5C7C57E1" w14:textId="77777777" w:rsidR="0008009C" w:rsidRDefault="0008009C">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C7C57E2" w14:textId="77777777" w:rsidR="0008009C" w:rsidRDefault="00936FDF">
            <w:pPr>
              <w:jc w:val="center"/>
              <w:textAlignment w:val="bottom"/>
            </w:pPr>
            <w:r>
              <w:rPr>
                <w:rFonts w:ascii="Arial" w:eastAsia="宋体" w:hAnsi="Arial" w:cs="Arial"/>
                <w:b/>
                <w:bCs/>
                <w:color w:val="262626"/>
                <w:sz w:val="18"/>
                <w:szCs w:val="18"/>
              </w:rPr>
              <w:t>Total</w:t>
            </w:r>
          </w:p>
        </w:tc>
      </w:tr>
      <w:tr w:rsidR="0008009C" w14:paraId="5C7C57EF" w14:textId="77777777">
        <w:trPr>
          <w:trHeight w:val="420"/>
        </w:trPr>
        <w:tc>
          <w:tcPr>
            <w:tcW w:w="0" w:type="auto"/>
            <w:gridSpan w:val="3"/>
            <w:shd w:val="clear" w:color="auto" w:fill="auto"/>
            <w:tcMar>
              <w:top w:w="40" w:type="dxa"/>
              <w:left w:w="20" w:type="dxa"/>
              <w:bottom w:w="40" w:type="dxa"/>
              <w:right w:w="20" w:type="dxa"/>
            </w:tcMar>
            <w:vAlign w:val="bottom"/>
          </w:tcPr>
          <w:p w14:paraId="5C7C57E4" w14:textId="77777777" w:rsidR="0008009C" w:rsidRDefault="00936FDF">
            <w:pPr>
              <w:textAlignment w:val="bottom"/>
            </w:pPr>
            <w:r>
              <w:rPr>
                <w:rFonts w:ascii="Arial" w:eastAsia="宋体" w:hAnsi="Arial" w:cs="Arial"/>
                <w:b/>
                <w:bCs/>
                <w:color w:val="262626"/>
                <w:sz w:val="18"/>
                <w:szCs w:val="18"/>
              </w:rPr>
              <w:t xml:space="preserve">(In Millions, </w:t>
            </w:r>
            <w:r>
              <w:rPr>
                <w:rFonts w:ascii="Arial" w:eastAsia="宋体" w:hAnsi="Arial" w:cs="Arial"/>
                <w:b/>
                <w:bCs/>
                <w:color w:val="262626"/>
                <w:sz w:val="18"/>
                <w:szCs w:val="18"/>
              </w:rPr>
              <w:t>Except Per Share Amounts; Unaudited)</w:t>
            </w:r>
          </w:p>
        </w:tc>
        <w:tc>
          <w:tcPr>
            <w:tcW w:w="0" w:type="auto"/>
            <w:gridSpan w:val="3"/>
            <w:shd w:val="clear" w:color="auto" w:fill="auto"/>
            <w:tcMar>
              <w:top w:w="0" w:type="dxa"/>
              <w:left w:w="20" w:type="dxa"/>
              <w:bottom w:w="0" w:type="dxa"/>
              <w:right w:w="20" w:type="dxa"/>
            </w:tcMar>
          </w:tcPr>
          <w:p w14:paraId="5C7C57E5"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7E6" w14:textId="77777777" w:rsidR="0008009C" w:rsidRDefault="00936FDF">
            <w:pPr>
              <w:jc w:val="center"/>
              <w:textAlignment w:val="bottom"/>
            </w:pPr>
            <w:r>
              <w:rPr>
                <w:rFonts w:ascii="Arial" w:eastAsia="宋体" w:hAnsi="Arial" w:cs="Arial"/>
                <w:b/>
                <w:bCs/>
                <w:color w:val="262626"/>
                <w:sz w:val="18"/>
                <w:szCs w:val="18"/>
              </w:rPr>
              <w:t>Shares</w:t>
            </w:r>
          </w:p>
        </w:tc>
        <w:tc>
          <w:tcPr>
            <w:tcW w:w="0" w:type="auto"/>
            <w:gridSpan w:val="3"/>
            <w:tcBorders>
              <w:top w:val="single" w:sz="8" w:space="0" w:color="0068B5"/>
            </w:tcBorders>
            <w:shd w:val="clear" w:color="auto" w:fill="auto"/>
            <w:tcMar>
              <w:top w:w="0" w:type="dxa"/>
              <w:left w:w="20" w:type="dxa"/>
              <w:bottom w:w="0" w:type="dxa"/>
              <w:right w:w="20" w:type="dxa"/>
            </w:tcMar>
          </w:tcPr>
          <w:p w14:paraId="5C7C57E7"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7E8" w14:textId="77777777" w:rsidR="0008009C" w:rsidRDefault="00936FDF">
            <w:pPr>
              <w:jc w:val="center"/>
              <w:textAlignment w:val="bottom"/>
            </w:pPr>
            <w:r>
              <w:rPr>
                <w:rFonts w:ascii="Arial" w:eastAsia="宋体" w:hAnsi="Arial" w:cs="Arial"/>
                <w:b/>
                <w:bCs/>
                <w:color w:val="262626"/>
                <w:sz w:val="18"/>
                <w:szCs w:val="18"/>
              </w:rPr>
              <w:t>Amount</w:t>
            </w:r>
          </w:p>
        </w:tc>
        <w:tc>
          <w:tcPr>
            <w:tcW w:w="0" w:type="auto"/>
            <w:gridSpan w:val="3"/>
            <w:shd w:val="clear" w:color="auto" w:fill="auto"/>
            <w:tcMar>
              <w:top w:w="0" w:type="dxa"/>
              <w:left w:w="20" w:type="dxa"/>
              <w:bottom w:w="0" w:type="dxa"/>
              <w:right w:w="20" w:type="dxa"/>
            </w:tcMar>
          </w:tcPr>
          <w:p w14:paraId="5C7C57E9" w14:textId="77777777" w:rsidR="0008009C" w:rsidRDefault="0008009C">
            <w:pPr>
              <w:rPr>
                <w:rFonts w:ascii="宋体"/>
              </w:rPr>
            </w:pPr>
          </w:p>
        </w:tc>
        <w:tc>
          <w:tcPr>
            <w:tcW w:w="0" w:type="auto"/>
            <w:gridSpan w:val="3"/>
            <w:vMerge/>
            <w:shd w:val="clear" w:color="auto" w:fill="auto"/>
            <w:tcMar>
              <w:top w:w="40" w:type="dxa"/>
              <w:left w:w="20" w:type="dxa"/>
              <w:bottom w:w="40" w:type="dxa"/>
              <w:right w:w="20" w:type="dxa"/>
            </w:tcMar>
            <w:vAlign w:val="bottom"/>
          </w:tcPr>
          <w:p w14:paraId="5C7C57EA" w14:textId="77777777" w:rsidR="0008009C" w:rsidRDefault="0008009C">
            <w:pPr>
              <w:jc w:val="center"/>
              <w:rPr>
                <w:rFonts w:ascii="宋体"/>
              </w:rPr>
            </w:pPr>
          </w:p>
        </w:tc>
        <w:tc>
          <w:tcPr>
            <w:tcW w:w="0" w:type="auto"/>
            <w:gridSpan w:val="3"/>
            <w:shd w:val="clear" w:color="auto" w:fill="auto"/>
            <w:tcMar>
              <w:top w:w="0" w:type="dxa"/>
              <w:left w:w="20" w:type="dxa"/>
              <w:bottom w:w="0" w:type="dxa"/>
              <w:right w:w="20" w:type="dxa"/>
            </w:tcMar>
          </w:tcPr>
          <w:p w14:paraId="5C7C57EB" w14:textId="77777777" w:rsidR="0008009C" w:rsidRDefault="0008009C">
            <w:pPr>
              <w:rPr>
                <w:rFonts w:ascii="宋体"/>
              </w:rPr>
            </w:pPr>
          </w:p>
        </w:tc>
        <w:tc>
          <w:tcPr>
            <w:tcW w:w="0" w:type="auto"/>
            <w:gridSpan w:val="3"/>
            <w:vMerge/>
            <w:shd w:val="clear" w:color="auto" w:fill="auto"/>
            <w:tcMar>
              <w:top w:w="40" w:type="dxa"/>
              <w:left w:w="20" w:type="dxa"/>
              <w:bottom w:w="40" w:type="dxa"/>
              <w:right w:w="20" w:type="dxa"/>
            </w:tcMar>
            <w:vAlign w:val="bottom"/>
          </w:tcPr>
          <w:p w14:paraId="5C7C57E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7ED" w14:textId="77777777" w:rsidR="0008009C" w:rsidRDefault="0008009C">
            <w:pPr>
              <w:rPr>
                <w:rFonts w:ascii="宋体"/>
              </w:rPr>
            </w:pPr>
          </w:p>
        </w:tc>
        <w:tc>
          <w:tcPr>
            <w:tcW w:w="0" w:type="auto"/>
            <w:gridSpan w:val="3"/>
            <w:vMerge/>
            <w:shd w:val="clear" w:color="auto" w:fill="auto"/>
            <w:tcMar>
              <w:top w:w="40" w:type="dxa"/>
              <w:left w:w="20" w:type="dxa"/>
              <w:bottom w:w="40" w:type="dxa"/>
              <w:right w:w="20" w:type="dxa"/>
            </w:tcMar>
            <w:vAlign w:val="bottom"/>
          </w:tcPr>
          <w:p w14:paraId="5C7C57EE" w14:textId="77777777" w:rsidR="0008009C" w:rsidRDefault="0008009C">
            <w:pPr>
              <w:jc w:val="center"/>
              <w:rPr>
                <w:rFonts w:ascii="宋体"/>
              </w:rPr>
            </w:pPr>
          </w:p>
        </w:tc>
      </w:tr>
      <w:tr w:rsidR="0008009C" w14:paraId="5C7C57FB"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7F0" w14:textId="77777777" w:rsidR="0008009C" w:rsidRDefault="00936FDF">
            <w:pPr>
              <w:textAlignment w:val="bottom"/>
            </w:pPr>
            <w:r>
              <w:rPr>
                <w:rFonts w:ascii="Arial" w:eastAsia="宋体" w:hAnsi="Arial" w:cs="Arial"/>
                <w:b/>
                <w:bCs/>
                <w:color w:val="262626"/>
                <w:sz w:val="18"/>
                <w:szCs w:val="18"/>
              </w:rPr>
              <w:t>Three Months Ended</w:t>
            </w:r>
          </w:p>
        </w:tc>
        <w:tc>
          <w:tcPr>
            <w:tcW w:w="0" w:type="auto"/>
            <w:gridSpan w:val="3"/>
            <w:tcBorders>
              <w:top w:val="single" w:sz="8" w:space="0" w:color="0068B5"/>
            </w:tcBorders>
            <w:shd w:val="clear" w:color="auto" w:fill="auto"/>
            <w:tcMar>
              <w:top w:w="0" w:type="dxa"/>
              <w:left w:w="20" w:type="dxa"/>
              <w:bottom w:w="0" w:type="dxa"/>
              <w:right w:w="20" w:type="dxa"/>
            </w:tcMar>
          </w:tcPr>
          <w:p w14:paraId="5C7C57F1"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7F2"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7F3"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7F4"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7F5"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7F6"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7F7"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7F8"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7F9"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7FA" w14:textId="77777777" w:rsidR="0008009C" w:rsidRDefault="0008009C">
            <w:pPr>
              <w:rPr>
                <w:rFonts w:ascii="宋体"/>
              </w:rPr>
            </w:pPr>
          </w:p>
        </w:tc>
      </w:tr>
      <w:tr w:rsidR="0008009C" w14:paraId="5C7C5807"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tcPr>
          <w:p w14:paraId="5C7C57FC"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7FD"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7FE"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7FF"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800"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801"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802"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803"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804"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805"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806" w14:textId="77777777" w:rsidR="0008009C" w:rsidRDefault="0008009C">
            <w:pPr>
              <w:rPr>
                <w:rFonts w:ascii="宋体"/>
              </w:rPr>
            </w:pPr>
          </w:p>
        </w:tc>
      </w:tr>
      <w:tr w:rsidR="0008009C" w14:paraId="5C7C581C" w14:textId="77777777">
        <w:tc>
          <w:tcPr>
            <w:tcW w:w="0" w:type="auto"/>
            <w:gridSpan w:val="3"/>
            <w:shd w:val="clear" w:color="auto" w:fill="auto"/>
            <w:tcMar>
              <w:top w:w="40" w:type="dxa"/>
              <w:left w:w="20" w:type="dxa"/>
              <w:bottom w:w="40" w:type="dxa"/>
              <w:right w:w="20" w:type="dxa"/>
            </w:tcMar>
            <w:vAlign w:val="bottom"/>
          </w:tcPr>
          <w:p w14:paraId="5C7C5808" w14:textId="77777777" w:rsidR="0008009C" w:rsidRDefault="00936FDF">
            <w:pPr>
              <w:textAlignment w:val="bottom"/>
            </w:pPr>
            <w:r>
              <w:rPr>
                <w:rFonts w:ascii="Arial" w:eastAsia="宋体" w:hAnsi="Arial" w:cs="Arial"/>
                <w:b/>
                <w:bCs/>
                <w:color w:val="262626"/>
                <w:sz w:val="18"/>
                <w:szCs w:val="18"/>
              </w:rPr>
              <w:t>Balance as of December 26, 2020</w:t>
            </w:r>
          </w:p>
        </w:tc>
        <w:tc>
          <w:tcPr>
            <w:tcW w:w="0" w:type="auto"/>
            <w:gridSpan w:val="3"/>
            <w:shd w:val="clear" w:color="auto" w:fill="auto"/>
            <w:tcMar>
              <w:top w:w="0" w:type="dxa"/>
              <w:left w:w="20" w:type="dxa"/>
              <w:bottom w:w="0" w:type="dxa"/>
              <w:right w:w="20" w:type="dxa"/>
            </w:tcMar>
          </w:tcPr>
          <w:p w14:paraId="5C7C580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0A" w14:textId="77777777" w:rsidR="0008009C" w:rsidRDefault="00936FDF">
            <w:pPr>
              <w:jc w:val="right"/>
              <w:textAlignment w:val="bottom"/>
            </w:pPr>
            <w:r>
              <w:rPr>
                <w:rFonts w:ascii="Arial" w:eastAsia="宋体" w:hAnsi="Arial" w:cs="Arial"/>
                <w:b/>
                <w:bCs/>
                <w:color w:val="262626"/>
                <w:sz w:val="18"/>
                <w:szCs w:val="18"/>
              </w:rPr>
              <w:t>4,062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80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0C"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80D" w14:textId="77777777" w:rsidR="0008009C" w:rsidRDefault="00936FDF">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C7C580E" w14:textId="77777777" w:rsidR="0008009C" w:rsidRDefault="00936FDF">
            <w:pPr>
              <w:jc w:val="right"/>
              <w:textAlignment w:val="bottom"/>
            </w:pPr>
            <w:r>
              <w:rPr>
                <w:rFonts w:ascii="Arial" w:eastAsia="宋体" w:hAnsi="Arial" w:cs="Arial"/>
                <w:b/>
                <w:bCs/>
                <w:color w:val="262626"/>
                <w:sz w:val="18"/>
                <w:szCs w:val="18"/>
              </w:rPr>
              <w:t>25,556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80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10"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811" w14:textId="77777777" w:rsidR="0008009C" w:rsidRDefault="00936FDF">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C7C5812" w14:textId="77777777" w:rsidR="0008009C" w:rsidRDefault="00936FDF">
            <w:pPr>
              <w:jc w:val="right"/>
              <w:textAlignment w:val="bottom"/>
            </w:pPr>
            <w:r>
              <w:rPr>
                <w:rFonts w:ascii="Arial" w:eastAsia="宋体" w:hAnsi="Arial" w:cs="Arial"/>
                <w:b/>
                <w:bCs/>
                <w:color w:val="262626"/>
                <w:sz w:val="18"/>
                <w:szCs w:val="18"/>
              </w:rPr>
              <w:t>(751)</w:t>
            </w:r>
          </w:p>
        </w:tc>
        <w:tc>
          <w:tcPr>
            <w:tcW w:w="0" w:type="auto"/>
            <w:shd w:val="clear" w:color="auto" w:fill="auto"/>
            <w:tcMar>
              <w:top w:w="40" w:type="dxa"/>
              <w:left w:w="0" w:type="dxa"/>
              <w:bottom w:w="40" w:type="dxa"/>
              <w:right w:w="20" w:type="dxa"/>
            </w:tcMar>
            <w:vAlign w:val="bottom"/>
          </w:tcPr>
          <w:p w14:paraId="5C7C581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14"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815" w14:textId="77777777" w:rsidR="0008009C" w:rsidRDefault="00936FDF">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C7C5816" w14:textId="77777777" w:rsidR="0008009C" w:rsidRDefault="00936FDF">
            <w:pPr>
              <w:jc w:val="right"/>
              <w:textAlignment w:val="bottom"/>
            </w:pPr>
            <w:r>
              <w:rPr>
                <w:rFonts w:ascii="Arial" w:eastAsia="宋体" w:hAnsi="Arial" w:cs="Arial"/>
                <w:b/>
                <w:bCs/>
                <w:color w:val="262626"/>
                <w:sz w:val="18"/>
                <w:szCs w:val="18"/>
              </w:rPr>
              <w:t>56,268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81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18"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819" w14:textId="77777777" w:rsidR="0008009C" w:rsidRDefault="00936FDF">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C7C581A" w14:textId="77777777" w:rsidR="0008009C" w:rsidRDefault="00936FDF">
            <w:pPr>
              <w:jc w:val="right"/>
              <w:textAlignment w:val="bottom"/>
            </w:pPr>
            <w:r>
              <w:rPr>
                <w:rFonts w:ascii="Arial" w:eastAsia="宋体" w:hAnsi="Arial" w:cs="Arial"/>
                <w:b/>
                <w:bCs/>
                <w:color w:val="262626"/>
                <w:sz w:val="18"/>
                <w:szCs w:val="18"/>
              </w:rPr>
              <w:t>81,073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81B" w14:textId="77777777" w:rsidR="0008009C" w:rsidRDefault="0008009C">
            <w:pPr>
              <w:jc w:val="right"/>
              <w:rPr>
                <w:rFonts w:ascii="宋体"/>
              </w:rPr>
            </w:pPr>
          </w:p>
        </w:tc>
      </w:tr>
      <w:tr w:rsidR="0008009C" w14:paraId="5C7C582D" w14:textId="77777777">
        <w:tc>
          <w:tcPr>
            <w:tcW w:w="0" w:type="auto"/>
            <w:gridSpan w:val="3"/>
            <w:shd w:val="clear" w:color="auto" w:fill="auto"/>
            <w:tcMar>
              <w:top w:w="40" w:type="dxa"/>
              <w:left w:w="20" w:type="dxa"/>
              <w:bottom w:w="40" w:type="dxa"/>
              <w:right w:w="20" w:type="dxa"/>
            </w:tcMar>
            <w:vAlign w:val="bottom"/>
          </w:tcPr>
          <w:p w14:paraId="5C7C581D" w14:textId="77777777" w:rsidR="0008009C" w:rsidRDefault="00936FDF">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tcPr>
          <w:p w14:paraId="5C7C581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1F"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2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2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22"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2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2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25"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2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2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28" w14:textId="77777777" w:rsidR="0008009C" w:rsidRDefault="00936FDF">
            <w:pPr>
              <w:jc w:val="right"/>
              <w:textAlignment w:val="bottom"/>
            </w:pPr>
            <w:r>
              <w:rPr>
                <w:rFonts w:ascii="Arial" w:eastAsia="宋体" w:hAnsi="Arial" w:cs="Arial"/>
                <w:color w:val="0068B5"/>
                <w:sz w:val="18"/>
                <w:szCs w:val="18"/>
              </w:rPr>
              <w:t>3,361 </w:t>
            </w:r>
          </w:p>
        </w:tc>
        <w:tc>
          <w:tcPr>
            <w:tcW w:w="0" w:type="auto"/>
            <w:shd w:val="clear" w:color="auto" w:fill="auto"/>
            <w:tcMar>
              <w:top w:w="40" w:type="dxa"/>
              <w:left w:w="0" w:type="dxa"/>
              <w:bottom w:w="40" w:type="dxa"/>
              <w:right w:w="20" w:type="dxa"/>
            </w:tcMar>
            <w:vAlign w:val="bottom"/>
          </w:tcPr>
          <w:p w14:paraId="5C7C582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2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2B" w14:textId="77777777" w:rsidR="0008009C" w:rsidRDefault="00936FDF">
            <w:pPr>
              <w:jc w:val="right"/>
              <w:textAlignment w:val="bottom"/>
            </w:pPr>
            <w:r>
              <w:rPr>
                <w:rFonts w:ascii="Arial" w:eastAsia="宋体" w:hAnsi="Arial" w:cs="Arial"/>
                <w:color w:val="0068B5"/>
                <w:sz w:val="18"/>
                <w:szCs w:val="18"/>
              </w:rPr>
              <w:t>3,361 </w:t>
            </w:r>
          </w:p>
        </w:tc>
        <w:tc>
          <w:tcPr>
            <w:tcW w:w="0" w:type="auto"/>
            <w:shd w:val="clear" w:color="auto" w:fill="auto"/>
            <w:tcMar>
              <w:top w:w="40" w:type="dxa"/>
              <w:left w:w="0" w:type="dxa"/>
              <w:bottom w:w="40" w:type="dxa"/>
              <w:right w:w="20" w:type="dxa"/>
            </w:tcMar>
            <w:vAlign w:val="bottom"/>
          </w:tcPr>
          <w:p w14:paraId="5C7C582C" w14:textId="77777777" w:rsidR="0008009C" w:rsidRDefault="0008009C">
            <w:pPr>
              <w:jc w:val="right"/>
              <w:rPr>
                <w:rFonts w:ascii="宋体"/>
              </w:rPr>
            </w:pPr>
          </w:p>
        </w:tc>
      </w:tr>
      <w:tr w:rsidR="0008009C" w14:paraId="5C7C583E" w14:textId="77777777">
        <w:tc>
          <w:tcPr>
            <w:tcW w:w="0" w:type="auto"/>
            <w:gridSpan w:val="3"/>
            <w:shd w:val="clear" w:color="auto" w:fill="auto"/>
            <w:tcMar>
              <w:top w:w="40" w:type="dxa"/>
              <w:left w:w="20" w:type="dxa"/>
              <w:bottom w:w="40" w:type="dxa"/>
              <w:right w:w="20" w:type="dxa"/>
            </w:tcMar>
            <w:vAlign w:val="bottom"/>
          </w:tcPr>
          <w:p w14:paraId="5C7C582E" w14:textId="77777777" w:rsidR="0008009C" w:rsidRDefault="00936FDF">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tcPr>
          <w:p w14:paraId="5C7C582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30"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3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3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33"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3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3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36" w14:textId="77777777" w:rsidR="0008009C" w:rsidRDefault="00936FDF">
            <w:pPr>
              <w:jc w:val="right"/>
              <w:textAlignment w:val="bottom"/>
            </w:pPr>
            <w:r>
              <w:rPr>
                <w:rFonts w:ascii="Arial" w:eastAsia="宋体" w:hAnsi="Arial" w:cs="Arial"/>
                <w:color w:val="0068B5"/>
                <w:sz w:val="18"/>
                <w:szCs w:val="18"/>
              </w:rPr>
              <w:t>(352)</w:t>
            </w:r>
          </w:p>
        </w:tc>
        <w:tc>
          <w:tcPr>
            <w:tcW w:w="0" w:type="auto"/>
            <w:shd w:val="clear" w:color="auto" w:fill="auto"/>
            <w:tcMar>
              <w:top w:w="40" w:type="dxa"/>
              <w:left w:w="0" w:type="dxa"/>
              <w:bottom w:w="40" w:type="dxa"/>
              <w:right w:w="20" w:type="dxa"/>
            </w:tcMar>
            <w:vAlign w:val="bottom"/>
          </w:tcPr>
          <w:p w14:paraId="5C7C583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3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39"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3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3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3C" w14:textId="77777777" w:rsidR="0008009C" w:rsidRDefault="00936FDF">
            <w:pPr>
              <w:jc w:val="right"/>
              <w:textAlignment w:val="bottom"/>
            </w:pPr>
            <w:r>
              <w:rPr>
                <w:rFonts w:ascii="Arial" w:eastAsia="宋体" w:hAnsi="Arial" w:cs="Arial"/>
                <w:color w:val="0068B5"/>
                <w:sz w:val="18"/>
                <w:szCs w:val="18"/>
              </w:rPr>
              <w:t>(352)</w:t>
            </w:r>
          </w:p>
        </w:tc>
        <w:tc>
          <w:tcPr>
            <w:tcW w:w="0" w:type="auto"/>
            <w:shd w:val="clear" w:color="auto" w:fill="auto"/>
            <w:tcMar>
              <w:top w:w="40" w:type="dxa"/>
              <w:left w:w="0" w:type="dxa"/>
              <w:bottom w:w="40" w:type="dxa"/>
              <w:right w:w="20" w:type="dxa"/>
            </w:tcMar>
            <w:vAlign w:val="bottom"/>
          </w:tcPr>
          <w:p w14:paraId="5C7C583D" w14:textId="77777777" w:rsidR="0008009C" w:rsidRDefault="0008009C">
            <w:pPr>
              <w:jc w:val="right"/>
              <w:rPr>
                <w:rFonts w:ascii="宋体"/>
              </w:rPr>
            </w:pPr>
          </w:p>
        </w:tc>
      </w:tr>
      <w:tr w:rsidR="0008009C" w14:paraId="5C7C584F" w14:textId="77777777">
        <w:tc>
          <w:tcPr>
            <w:tcW w:w="0" w:type="auto"/>
            <w:gridSpan w:val="3"/>
            <w:shd w:val="clear" w:color="auto" w:fill="auto"/>
            <w:tcMar>
              <w:top w:w="40" w:type="dxa"/>
              <w:left w:w="20" w:type="dxa"/>
              <w:bottom w:w="40" w:type="dxa"/>
              <w:right w:w="20" w:type="dxa"/>
            </w:tcMar>
            <w:vAlign w:val="bottom"/>
          </w:tcPr>
          <w:p w14:paraId="5C7C583F" w14:textId="77777777" w:rsidR="0008009C" w:rsidRDefault="00936FDF">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tcPr>
          <w:p w14:paraId="5C7C584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41" w14:textId="77777777" w:rsidR="0008009C" w:rsidRDefault="00936FDF">
            <w:pPr>
              <w:jc w:val="right"/>
              <w:textAlignment w:val="bottom"/>
            </w:pPr>
            <w:r>
              <w:rPr>
                <w:rFonts w:ascii="Arial" w:eastAsia="宋体" w:hAnsi="Arial" w:cs="Arial"/>
                <w:color w:val="0068B5"/>
                <w:sz w:val="18"/>
                <w:szCs w:val="18"/>
              </w:rPr>
              <w:t>17 </w:t>
            </w:r>
          </w:p>
        </w:tc>
        <w:tc>
          <w:tcPr>
            <w:tcW w:w="0" w:type="auto"/>
            <w:shd w:val="clear" w:color="auto" w:fill="auto"/>
            <w:tcMar>
              <w:top w:w="40" w:type="dxa"/>
              <w:left w:w="0" w:type="dxa"/>
              <w:bottom w:w="40" w:type="dxa"/>
              <w:right w:w="20" w:type="dxa"/>
            </w:tcMar>
            <w:vAlign w:val="bottom"/>
          </w:tcPr>
          <w:p w14:paraId="5C7C584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4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44" w14:textId="77777777" w:rsidR="0008009C" w:rsidRDefault="00936FDF">
            <w:pPr>
              <w:jc w:val="right"/>
              <w:textAlignment w:val="bottom"/>
            </w:pPr>
            <w:r>
              <w:rPr>
                <w:rFonts w:ascii="Arial" w:eastAsia="宋体" w:hAnsi="Arial" w:cs="Arial"/>
                <w:color w:val="0068B5"/>
                <w:sz w:val="18"/>
                <w:szCs w:val="18"/>
              </w:rPr>
              <w:t>565 </w:t>
            </w:r>
          </w:p>
        </w:tc>
        <w:tc>
          <w:tcPr>
            <w:tcW w:w="0" w:type="auto"/>
            <w:shd w:val="clear" w:color="auto" w:fill="auto"/>
            <w:tcMar>
              <w:top w:w="40" w:type="dxa"/>
              <w:left w:w="0" w:type="dxa"/>
              <w:bottom w:w="40" w:type="dxa"/>
              <w:right w:w="20" w:type="dxa"/>
            </w:tcMar>
            <w:vAlign w:val="bottom"/>
          </w:tcPr>
          <w:p w14:paraId="5C7C584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4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47"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4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4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4A"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4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4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4D" w14:textId="77777777" w:rsidR="0008009C" w:rsidRDefault="00936FDF">
            <w:pPr>
              <w:jc w:val="right"/>
              <w:textAlignment w:val="bottom"/>
            </w:pPr>
            <w:r>
              <w:rPr>
                <w:rFonts w:ascii="Arial" w:eastAsia="宋体" w:hAnsi="Arial" w:cs="Arial"/>
                <w:color w:val="0068B5"/>
                <w:sz w:val="18"/>
                <w:szCs w:val="18"/>
              </w:rPr>
              <w:t>565 </w:t>
            </w:r>
          </w:p>
        </w:tc>
        <w:tc>
          <w:tcPr>
            <w:tcW w:w="0" w:type="auto"/>
            <w:shd w:val="clear" w:color="auto" w:fill="auto"/>
            <w:tcMar>
              <w:top w:w="40" w:type="dxa"/>
              <w:left w:w="0" w:type="dxa"/>
              <w:bottom w:w="40" w:type="dxa"/>
              <w:right w:w="20" w:type="dxa"/>
            </w:tcMar>
            <w:vAlign w:val="bottom"/>
          </w:tcPr>
          <w:p w14:paraId="5C7C584E" w14:textId="77777777" w:rsidR="0008009C" w:rsidRDefault="0008009C">
            <w:pPr>
              <w:jc w:val="right"/>
              <w:rPr>
                <w:rFonts w:ascii="宋体"/>
              </w:rPr>
            </w:pPr>
          </w:p>
        </w:tc>
      </w:tr>
      <w:tr w:rsidR="0008009C" w14:paraId="5C7C5860" w14:textId="77777777">
        <w:tc>
          <w:tcPr>
            <w:tcW w:w="0" w:type="auto"/>
            <w:gridSpan w:val="3"/>
            <w:shd w:val="clear" w:color="auto" w:fill="auto"/>
            <w:tcMar>
              <w:top w:w="40" w:type="dxa"/>
              <w:left w:w="20" w:type="dxa"/>
              <w:bottom w:w="40" w:type="dxa"/>
              <w:right w:w="20" w:type="dxa"/>
            </w:tcMar>
            <w:vAlign w:val="bottom"/>
          </w:tcPr>
          <w:p w14:paraId="5C7C5850" w14:textId="77777777" w:rsidR="0008009C" w:rsidRDefault="00936FDF">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tcPr>
          <w:p w14:paraId="5C7C585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52"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5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5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55" w14:textId="77777777" w:rsidR="0008009C" w:rsidRDefault="00936FDF">
            <w:pPr>
              <w:jc w:val="right"/>
              <w:textAlignment w:val="bottom"/>
            </w:pPr>
            <w:r>
              <w:rPr>
                <w:rFonts w:ascii="Arial" w:eastAsia="宋体" w:hAnsi="Arial" w:cs="Arial"/>
                <w:color w:val="0068B5"/>
                <w:sz w:val="18"/>
                <w:szCs w:val="18"/>
              </w:rPr>
              <w:t>425 </w:t>
            </w:r>
          </w:p>
        </w:tc>
        <w:tc>
          <w:tcPr>
            <w:tcW w:w="0" w:type="auto"/>
            <w:shd w:val="clear" w:color="auto" w:fill="auto"/>
            <w:tcMar>
              <w:top w:w="40" w:type="dxa"/>
              <w:left w:w="0" w:type="dxa"/>
              <w:bottom w:w="40" w:type="dxa"/>
              <w:right w:w="20" w:type="dxa"/>
            </w:tcMar>
            <w:vAlign w:val="bottom"/>
          </w:tcPr>
          <w:p w14:paraId="5C7C585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5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58"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5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5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5B"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5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5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5E" w14:textId="77777777" w:rsidR="0008009C" w:rsidRDefault="00936FDF">
            <w:pPr>
              <w:jc w:val="right"/>
              <w:textAlignment w:val="bottom"/>
            </w:pPr>
            <w:r>
              <w:rPr>
                <w:rFonts w:ascii="Arial" w:eastAsia="宋体" w:hAnsi="Arial" w:cs="Arial"/>
                <w:color w:val="0068B5"/>
                <w:sz w:val="18"/>
                <w:szCs w:val="18"/>
              </w:rPr>
              <w:t>425 </w:t>
            </w:r>
          </w:p>
        </w:tc>
        <w:tc>
          <w:tcPr>
            <w:tcW w:w="0" w:type="auto"/>
            <w:shd w:val="clear" w:color="auto" w:fill="auto"/>
            <w:tcMar>
              <w:top w:w="40" w:type="dxa"/>
              <w:left w:w="0" w:type="dxa"/>
              <w:bottom w:w="40" w:type="dxa"/>
              <w:right w:w="20" w:type="dxa"/>
            </w:tcMar>
            <w:vAlign w:val="bottom"/>
          </w:tcPr>
          <w:p w14:paraId="5C7C585F" w14:textId="77777777" w:rsidR="0008009C" w:rsidRDefault="0008009C">
            <w:pPr>
              <w:jc w:val="right"/>
              <w:rPr>
                <w:rFonts w:ascii="宋体"/>
              </w:rPr>
            </w:pPr>
          </w:p>
        </w:tc>
      </w:tr>
      <w:tr w:rsidR="0008009C" w14:paraId="5C7C5871" w14:textId="77777777">
        <w:tc>
          <w:tcPr>
            <w:tcW w:w="0" w:type="auto"/>
            <w:gridSpan w:val="3"/>
            <w:shd w:val="clear" w:color="auto" w:fill="auto"/>
            <w:tcMar>
              <w:top w:w="40" w:type="dxa"/>
              <w:left w:w="20" w:type="dxa"/>
              <w:bottom w:w="40" w:type="dxa"/>
              <w:right w:w="20" w:type="dxa"/>
            </w:tcMar>
            <w:vAlign w:val="bottom"/>
          </w:tcPr>
          <w:p w14:paraId="5C7C5861" w14:textId="77777777" w:rsidR="0008009C" w:rsidRDefault="00936FDF">
            <w:pPr>
              <w:textAlignment w:val="bottom"/>
            </w:pPr>
            <w:r>
              <w:rPr>
                <w:rFonts w:ascii="Arial" w:eastAsia="宋体" w:hAnsi="Arial" w:cs="Arial"/>
                <w:color w:val="262626"/>
                <w:sz w:val="18"/>
                <w:szCs w:val="18"/>
              </w:rPr>
              <w:t>Temporary equity reduction</w:t>
            </w:r>
          </w:p>
        </w:tc>
        <w:tc>
          <w:tcPr>
            <w:tcW w:w="0" w:type="auto"/>
            <w:gridSpan w:val="3"/>
            <w:shd w:val="clear" w:color="auto" w:fill="auto"/>
            <w:tcMar>
              <w:top w:w="0" w:type="dxa"/>
              <w:left w:w="20" w:type="dxa"/>
              <w:bottom w:w="0" w:type="dxa"/>
              <w:right w:w="20" w:type="dxa"/>
            </w:tcMar>
          </w:tcPr>
          <w:p w14:paraId="5C7C586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63"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6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6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66"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6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6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69"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6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6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6C"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6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6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6F"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70" w14:textId="77777777" w:rsidR="0008009C" w:rsidRDefault="0008009C">
            <w:pPr>
              <w:jc w:val="right"/>
              <w:rPr>
                <w:rFonts w:ascii="宋体"/>
              </w:rPr>
            </w:pPr>
          </w:p>
        </w:tc>
      </w:tr>
      <w:tr w:rsidR="0008009C" w14:paraId="5C7C5882" w14:textId="77777777">
        <w:tc>
          <w:tcPr>
            <w:tcW w:w="0" w:type="auto"/>
            <w:gridSpan w:val="3"/>
            <w:shd w:val="clear" w:color="auto" w:fill="auto"/>
            <w:tcMar>
              <w:top w:w="40" w:type="dxa"/>
              <w:left w:w="20" w:type="dxa"/>
              <w:bottom w:w="40" w:type="dxa"/>
              <w:right w:w="20" w:type="dxa"/>
            </w:tcMar>
            <w:vAlign w:val="bottom"/>
          </w:tcPr>
          <w:p w14:paraId="5C7C5872" w14:textId="77777777" w:rsidR="0008009C" w:rsidRDefault="00936FDF">
            <w:pPr>
              <w:textAlignment w:val="bottom"/>
            </w:pPr>
            <w:r>
              <w:rPr>
                <w:rFonts w:ascii="Arial" w:eastAsia="宋体" w:hAnsi="Arial" w:cs="Arial"/>
                <w:color w:val="262626"/>
                <w:sz w:val="18"/>
                <w:szCs w:val="18"/>
              </w:rPr>
              <w:t>Convertible debt</w:t>
            </w:r>
          </w:p>
        </w:tc>
        <w:tc>
          <w:tcPr>
            <w:tcW w:w="0" w:type="auto"/>
            <w:gridSpan w:val="3"/>
            <w:shd w:val="clear" w:color="auto" w:fill="auto"/>
            <w:tcMar>
              <w:top w:w="0" w:type="dxa"/>
              <w:left w:w="20" w:type="dxa"/>
              <w:bottom w:w="0" w:type="dxa"/>
              <w:right w:w="20" w:type="dxa"/>
            </w:tcMar>
          </w:tcPr>
          <w:p w14:paraId="5C7C587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74"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7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7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77"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7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7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7A"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7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7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7D"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7E" w14:textId="77777777" w:rsidR="0008009C" w:rsidRDefault="0008009C">
            <w:pPr>
              <w:jc w:val="right"/>
              <w:rPr>
                <w:rFonts w:ascii="宋体"/>
              </w:rPr>
            </w:pPr>
          </w:p>
        </w:tc>
        <w:tc>
          <w:tcPr>
            <w:tcW w:w="0" w:type="auto"/>
            <w:gridSpan w:val="3"/>
            <w:shd w:val="clear" w:color="auto" w:fill="auto"/>
            <w:tcMar>
              <w:top w:w="40" w:type="dxa"/>
              <w:left w:w="20" w:type="dxa"/>
              <w:bottom w:w="40" w:type="dxa"/>
              <w:right w:w="20" w:type="dxa"/>
            </w:tcMar>
            <w:vAlign w:val="bottom"/>
          </w:tcPr>
          <w:p w14:paraId="5C7C587F" w14:textId="77777777" w:rsidR="0008009C" w:rsidRDefault="00936FDF">
            <w:pPr>
              <w:textAlignment w:val="bottom"/>
            </w:pPr>
            <w:r>
              <w:rPr>
                <w:rFonts w:ascii="Arial" w:eastAsia="宋体" w:hAnsi="Arial" w:cs="Arial"/>
                <w:color w:val="0068B5"/>
                <w:sz w:val="18"/>
                <w:szCs w:val="18"/>
              </w:rPr>
              <w:t> </w:t>
            </w:r>
          </w:p>
        </w:tc>
        <w:tc>
          <w:tcPr>
            <w:tcW w:w="0" w:type="auto"/>
            <w:gridSpan w:val="2"/>
            <w:shd w:val="clear" w:color="auto" w:fill="auto"/>
            <w:tcMar>
              <w:top w:w="40" w:type="dxa"/>
              <w:left w:w="20" w:type="dxa"/>
              <w:bottom w:w="40" w:type="dxa"/>
              <w:right w:w="0" w:type="dxa"/>
            </w:tcMar>
            <w:vAlign w:val="bottom"/>
          </w:tcPr>
          <w:p w14:paraId="5C7C5880"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81" w14:textId="77777777" w:rsidR="0008009C" w:rsidRDefault="0008009C">
            <w:pPr>
              <w:jc w:val="right"/>
              <w:rPr>
                <w:rFonts w:ascii="宋体"/>
              </w:rPr>
            </w:pPr>
          </w:p>
        </w:tc>
      </w:tr>
      <w:tr w:rsidR="0008009C" w14:paraId="5C7C588E" w14:textId="77777777">
        <w:trPr>
          <w:hidden/>
        </w:trPr>
        <w:tc>
          <w:tcPr>
            <w:tcW w:w="0" w:type="auto"/>
            <w:gridSpan w:val="3"/>
            <w:shd w:val="clear" w:color="auto" w:fill="auto"/>
          </w:tcPr>
          <w:p w14:paraId="5C7C5883" w14:textId="77777777" w:rsidR="0008009C" w:rsidRDefault="0008009C">
            <w:pPr>
              <w:rPr>
                <w:rFonts w:ascii="宋体"/>
                <w:vanish/>
              </w:rPr>
            </w:pPr>
          </w:p>
        </w:tc>
        <w:tc>
          <w:tcPr>
            <w:tcW w:w="0" w:type="auto"/>
            <w:gridSpan w:val="3"/>
            <w:shd w:val="clear" w:color="auto" w:fill="auto"/>
          </w:tcPr>
          <w:p w14:paraId="5C7C5884" w14:textId="77777777" w:rsidR="0008009C" w:rsidRDefault="0008009C">
            <w:pPr>
              <w:rPr>
                <w:rFonts w:ascii="宋体"/>
                <w:vanish/>
              </w:rPr>
            </w:pPr>
          </w:p>
        </w:tc>
        <w:tc>
          <w:tcPr>
            <w:tcW w:w="0" w:type="auto"/>
            <w:gridSpan w:val="3"/>
            <w:shd w:val="clear" w:color="auto" w:fill="auto"/>
          </w:tcPr>
          <w:p w14:paraId="5C7C5885" w14:textId="77777777" w:rsidR="0008009C" w:rsidRDefault="0008009C">
            <w:pPr>
              <w:rPr>
                <w:rFonts w:ascii="宋体"/>
                <w:vanish/>
              </w:rPr>
            </w:pPr>
          </w:p>
        </w:tc>
        <w:tc>
          <w:tcPr>
            <w:tcW w:w="0" w:type="auto"/>
            <w:gridSpan w:val="3"/>
            <w:shd w:val="clear" w:color="auto" w:fill="auto"/>
          </w:tcPr>
          <w:p w14:paraId="5C7C5886" w14:textId="77777777" w:rsidR="0008009C" w:rsidRDefault="0008009C">
            <w:pPr>
              <w:rPr>
                <w:rFonts w:ascii="宋体"/>
                <w:vanish/>
              </w:rPr>
            </w:pPr>
          </w:p>
        </w:tc>
        <w:tc>
          <w:tcPr>
            <w:tcW w:w="0" w:type="auto"/>
            <w:gridSpan w:val="3"/>
            <w:shd w:val="clear" w:color="auto" w:fill="auto"/>
          </w:tcPr>
          <w:p w14:paraId="5C7C5887" w14:textId="77777777" w:rsidR="0008009C" w:rsidRDefault="0008009C">
            <w:pPr>
              <w:rPr>
                <w:rFonts w:ascii="宋体"/>
                <w:vanish/>
              </w:rPr>
            </w:pPr>
          </w:p>
        </w:tc>
        <w:tc>
          <w:tcPr>
            <w:tcW w:w="0" w:type="auto"/>
            <w:gridSpan w:val="3"/>
            <w:shd w:val="clear" w:color="auto" w:fill="auto"/>
          </w:tcPr>
          <w:p w14:paraId="5C7C5888" w14:textId="77777777" w:rsidR="0008009C" w:rsidRDefault="0008009C">
            <w:pPr>
              <w:rPr>
                <w:rFonts w:ascii="宋体"/>
                <w:vanish/>
              </w:rPr>
            </w:pPr>
          </w:p>
        </w:tc>
        <w:tc>
          <w:tcPr>
            <w:tcW w:w="0" w:type="auto"/>
            <w:gridSpan w:val="3"/>
            <w:shd w:val="clear" w:color="auto" w:fill="auto"/>
          </w:tcPr>
          <w:p w14:paraId="5C7C5889" w14:textId="77777777" w:rsidR="0008009C" w:rsidRDefault="0008009C">
            <w:pPr>
              <w:rPr>
                <w:rFonts w:ascii="宋体"/>
                <w:vanish/>
              </w:rPr>
            </w:pPr>
          </w:p>
        </w:tc>
        <w:tc>
          <w:tcPr>
            <w:tcW w:w="0" w:type="auto"/>
            <w:gridSpan w:val="3"/>
            <w:shd w:val="clear" w:color="auto" w:fill="auto"/>
          </w:tcPr>
          <w:p w14:paraId="5C7C588A" w14:textId="77777777" w:rsidR="0008009C" w:rsidRDefault="0008009C">
            <w:pPr>
              <w:rPr>
                <w:rFonts w:ascii="宋体"/>
                <w:vanish/>
              </w:rPr>
            </w:pPr>
          </w:p>
        </w:tc>
        <w:tc>
          <w:tcPr>
            <w:tcW w:w="0" w:type="auto"/>
            <w:gridSpan w:val="3"/>
            <w:shd w:val="clear" w:color="auto" w:fill="auto"/>
          </w:tcPr>
          <w:p w14:paraId="5C7C588B" w14:textId="77777777" w:rsidR="0008009C" w:rsidRDefault="0008009C">
            <w:pPr>
              <w:rPr>
                <w:rFonts w:ascii="宋体"/>
                <w:vanish/>
              </w:rPr>
            </w:pPr>
          </w:p>
        </w:tc>
        <w:tc>
          <w:tcPr>
            <w:tcW w:w="0" w:type="auto"/>
            <w:gridSpan w:val="3"/>
            <w:shd w:val="clear" w:color="auto" w:fill="auto"/>
          </w:tcPr>
          <w:p w14:paraId="5C7C588C" w14:textId="77777777" w:rsidR="0008009C" w:rsidRDefault="0008009C">
            <w:pPr>
              <w:rPr>
                <w:rFonts w:ascii="宋体"/>
                <w:vanish/>
              </w:rPr>
            </w:pPr>
          </w:p>
        </w:tc>
        <w:tc>
          <w:tcPr>
            <w:tcW w:w="0" w:type="auto"/>
            <w:gridSpan w:val="3"/>
            <w:shd w:val="clear" w:color="auto" w:fill="auto"/>
          </w:tcPr>
          <w:p w14:paraId="5C7C588D" w14:textId="77777777" w:rsidR="0008009C" w:rsidRDefault="0008009C">
            <w:pPr>
              <w:rPr>
                <w:rFonts w:ascii="宋体"/>
                <w:vanish/>
              </w:rPr>
            </w:pPr>
          </w:p>
        </w:tc>
      </w:tr>
      <w:tr w:rsidR="0008009C" w14:paraId="5C7C589F" w14:textId="77777777">
        <w:tc>
          <w:tcPr>
            <w:tcW w:w="0" w:type="auto"/>
            <w:gridSpan w:val="3"/>
            <w:shd w:val="clear" w:color="auto" w:fill="auto"/>
            <w:tcMar>
              <w:top w:w="40" w:type="dxa"/>
              <w:left w:w="20" w:type="dxa"/>
              <w:bottom w:w="40" w:type="dxa"/>
              <w:right w:w="20" w:type="dxa"/>
            </w:tcMar>
            <w:vAlign w:val="bottom"/>
          </w:tcPr>
          <w:p w14:paraId="5C7C588F" w14:textId="77777777" w:rsidR="0008009C" w:rsidRDefault="00936FDF">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tcPr>
          <w:p w14:paraId="5C7C589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91" w14:textId="77777777" w:rsidR="0008009C" w:rsidRDefault="00936FDF">
            <w:pPr>
              <w:jc w:val="right"/>
              <w:textAlignment w:val="bottom"/>
            </w:pPr>
            <w:r>
              <w:rPr>
                <w:rFonts w:ascii="Arial" w:eastAsia="宋体" w:hAnsi="Arial" w:cs="Arial"/>
                <w:color w:val="0068B5"/>
                <w:sz w:val="18"/>
                <w:szCs w:val="18"/>
              </w:rPr>
              <w:t>(40)</w:t>
            </w:r>
          </w:p>
        </w:tc>
        <w:tc>
          <w:tcPr>
            <w:tcW w:w="0" w:type="auto"/>
            <w:shd w:val="clear" w:color="auto" w:fill="auto"/>
            <w:tcMar>
              <w:top w:w="40" w:type="dxa"/>
              <w:left w:w="0" w:type="dxa"/>
              <w:bottom w:w="40" w:type="dxa"/>
              <w:right w:w="20" w:type="dxa"/>
            </w:tcMar>
            <w:vAlign w:val="bottom"/>
          </w:tcPr>
          <w:p w14:paraId="5C7C589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9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94" w14:textId="77777777" w:rsidR="0008009C" w:rsidRDefault="00936FDF">
            <w:pPr>
              <w:jc w:val="right"/>
              <w:textAlignment w:val="bottom"/>
            </w:pPr>
            <w:r>
              <w:rPr>
                <w:rFonts w:ascii="Arial" w:eastAsia="宋体" w:hAnsi="Arial" w:cs="Arial"/>
                <w:color w:val="0068B5"/>
                <w:sz w:val="18"/>
                <w:szCs w:val="18"/>
              </w:rPr>
              <w:t>(249)</w:t>
            </w:r>
          </w:p>
        </w:tc>
        <w:tc>
          <w:tcPr>
            <w:tcW w:w="0" w:type="auto"/>
            <w:shd w:val="clear" w:color="auto" w:fill="auto"/>
            <w:tcMar>
              <w:top w:w="40" w:type="dxa"/>
              <w:left w:w="0" w:type="dxa"/>
              <w:bottom w:w="40" w:type="dxa"/>
              <w:right w:w="20" w:type="dxa"/>
            </w:tcMar>
            <w:vAlign w:val="bottom"/>
          </w:tcPr>
          <w:p w14:paraId="5C7C589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9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97"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9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9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9A" w14:textId="77777777" w:rsidR="0008009C" w:rsidRDefault="00936FDF">
            <w:pPr>
              <w:jc w:val="right"/>
              <w:textAlignment w:val="bottom"/>
            </w:pPr>
            <w:r>
              <w:rPr>
                <w:rFonts w:ascii="Arial" w:eastAsia="宋体" w:hAnsi="Arial" w:cs="Arial"/>
                <w:color w:val="0068B5"/>
                <w:sz w:val="18"/>
                <w:szCs w:val="18"/>
              </w:rPr>
              <w:t>(2,166)</w:t>
            </w:r>
          </w:p>
        </w:tc>
        <w:tc>
          <w:tcPr>
            <w:tcW w:w="0" w:type="auto"/>
            <w:shd w:val="clear" w:color="auto" w:fill="auto"/>
            <w:tcMar>
              <w:top w:w="40" w:type="dxa"/>
              <w:left w:w="0" w:type="dxa"/>
              <w:bottom w:w="40" w:type="dxa"/>
              <w:right w:w="20" w:type="dxa"/>
            </w:tcMar>
            <w:vAlign w:val="bottom"/>
          </w:tcPr>
          <w:p w14:paraId="5C7C589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9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9D" w14:textId="77777777" w:rsidR="0008009C" w:rsidRDefault="00936FDF">
            <w:pPr>
              <w:jc w:val="right"/>
              <w:textAlignment w:val="bottom"/>
            </w:pPr>
            <w:r>
              <w:rPr>
                <w:rFonts w:ascii="Arial" w:eastAsia="宋体" w:hAnsi="Arial" w:cs="Arial"/>
                <w:color w:val="0068B5"/>
                <w:sz w:val="18"/>
                <w:szCs w:val="18"/>
              </w:rPr>
              <w:t>(2,415)</w:t>
            </w:r>
          </w:p>
        </w:tc>
        <w:tc>
          <w:tcPr>
            <w:tcW w:w="0" w:type="auto"/>
            <w:shd w:val="clear" w:color="auto" w:fill="auto"/>
            <w:tcMar>
              <w:top w:w="40" w:type="dxa"/>
              <w:left w:w="0" w:type="dxa"/>
              <w:bottom w:w="40" w:type="dxa"/>
              <w:right w:w="20" w:type="dxa"/>
            </w:tcMar>
            <w:vAlign w:val="bottom"/>
          </w:tcPr>
          <w:p w14:paraId="5C7C589E" w14:textId="77777777" w:rsidR="0008009C" w:rsidRDefault="0008009C">
            <w:pPr>
              <w:jc w:val="right"/>
              <w:rPr>
                <w:rFonts w:ascii="宋体"/>
              </w:rPr>
            </w:pPr>
          </w:p>
        </w:tc>
      </w:tr>
      <w:tr w:rsidR="0008009C" w14:paraId="5C7C58AB" w14:textId="77777777">
        <w:trPr>
          <w:hidden/>
        </w:trPr>
        <w:tc>
          <w:tcPr>
            <w:tcW w:w="0" w:type="auto"/>
            <w:gridSpan w:val="3"/>
            <w:shd w:val="clear" w:color="auto" w:fill="auto"/>
          </w:tcPr>
          <w:p w14:paraId="5C7C58A0" w14:textId="77777777" w:rsidR="0008009C" w:rsidRDefault="0008009C">
            <w:pPr>
              <w:rPr>
                <w:rFonts w:ascii="宋体"/>
                <w:vanish/>
              </w:rPr>
            </w:pPr>
          </w:p>
        </w:tc>
        <w:tc>
          <w:tcPr>
            <w:tcW w:w="0" w:type="auto"/>
            <w:gridSpan w:val="3"/>
            <w:shd w:val="clear" w:color="auto" w:fill="auto"/>
          </w:tcPr>
          <w:p w14:paraId="5C7C58A1" w14:textId="77777777" w:rsidR="0008009C" w:rsidRDefault="0008009C">
            <w:pPr>
              <w:rPr>
                <w:rFonts w:ascii="宋体"/>
                <w:vanish/>
              </w:rPr>
            </w:pPr>
          </w:p>
        </w:tc>
        <w:tc>
          <w:tcPr>
            <w:tcW w:w="0" w:type="auto"/>
            <w:gridSpan w:val="3"/>
            <w:shd w:val="clear" w:color="auto" w:fill="auto"/>
          </w:tcPr>
          <w:p w14:paraId="5C7C58A2" w14:textId="77777777" w:rsidR="0008009C" w:rsidRDefault="0008009C">
            <w:pPr>
              <w:rPr>
                <w:rFonts w:ascii="宋体"/>
                <w:vanish/>
              </w:rPr>
            </w:pPr>
          </w:p>
        </w:tc>
        <w:tc>
          <w:tcPr>
            <w:tcW w:w="0" w:type="auto"/>
            <w:gridSpan w:val="3"/>
            <w:shd w:val="clear" w:color="auto" w:fill="auto"/>
          </w:tcPr>
          <w:p w14:paraId="5C7C58A3" w14:textId="77777777" w:rsidR="0008009C" w:rsidRDefault="0008009C">
            <w:pPr>
              <w:rPr>
                <w:rFonts w:ascii="宋体"/>
                <w:vanish/>
              </w:rPr>
            </w:pPr>
          </w:p>
        </w:tc>
        <w:tc>
          <w:tcPr>
            <w:tcW w:w="0" w:type="auto"/>
            <w:gridSpan w:val="3"/>
            <w:shd w:val="clear" w:color="auto" w:fill="auto"/>
          </w:tcPr>
          <w:p w14:paraId="5C7C58A4" w14:textId="77777777" w:rsidR="0008009C" w:rsidRDefault="0008009C">
            <w:pPr>
              <w:rPr>
                <w:rFonts w:ascii="宋体"/>
                <w:vanish/>
              </w:rPr>
            </w:pPr>
          </w:p>
        </w:tc>
        <w:tc>
          <w:tcPr>
            <w:tcW w:w="0" w:type="auto"/>
            <w:gridSpan w:val="3"/>
            <w:shd w:val="clear" w:color="auto" w:fill="auto"/>
          </w:tcPr>
          <w:p w14:paraId="5C7C58A5" w14:textId="77777777" w:rsidR="0008009C" w:rsidRDefault="0008009C">
            <w:pPr>
              <w:rPr>
                <w:rFonts w:ascii="宋体"/>
                <w:vanish/>
              </w:rPr>
            </w:pPr>
          </w:p>
        </w:tc>
        <w:tc>
          <w:tcPr>
            <w:tcW w:w="0" w:type="auto"/>
            <w:gridSpan w:val="3"/>
            <w:shd w:val="clear" w:color="auto" w:fill="auto"/>
          </w:tcPr>
          <w:p w14:paraId="5C7C58A6" w14:textId="77777777" w:rsidR="0008009C" w:rsidRDefault="0008009C">
            <w:pPr>
              <w:rPr>
                <w:rFonts w:ascii="宋体"/>
                <w:vanish/>
              </w:rPr>
            </w:pPr>
          </w:p>
        </w:tc>
        <w:tc>
          <w:tcPr>
            <w:tcW w:w="0" w:type="auto"/>
            <w:gridSpan w:val="3"/>
            <w:shd w:val="clear" w:color="auto" w:fill="auto"/>
          </w:tcPr>
          <w:p w14:paraId="5C7C58A7" w14:textId="77777777" w:rsidR="0008009C" w:rsidRDefault="0008009C">
            <w:pPr>
              <w:rPr>
                <w:rFonts w:ascii="宋体"/>
                <w:vanish/>
              </w:rPr>
            </w:pPr>
          </w:p>
        </w:tc>
        <w:tc>
          <w:tcPr>
            <w:tcW w:w="0" w:type="auto"/>
            <w:gridSpan w:val="3"/>
            <w:shd w:val="clear" w:color="auto" w:fill="auto"/>
          </w:tcPr>
          <w:p w14:paraId="5C7C58A8" w14:textId="77777777" w:rsidR="0008009C" w:rsidRDefault="0008009C">
            <w:pPr>
              <w:rPr>
                <w:rFonts w:ascii="宋体"/>
                <w:vanish/>
              </w:rPr>
            </w:pPr>
          </w:p>
        </w:tc>
        <w:tc>
          <w:tcPr>
            <w:tcW w:w="0" w:type="auto"/>
            <w:gridSpan w:val="3"/>
            <w:shd w:val="clear" w:color="auto" w:fill="auto"/>
          </w:tcPr>
          <w:p w14:paraId="5C7C58A9" w14:textId="77777777" w:rsidR="0008009C" w:rsidRDefault="0008009C">
            <w:pPr>
              <w:rPr>
                <w:rFonts w:ascii="宋体"/>
                <w:vanish/>
              </w:rPr>
            </w:pPr>
          </w:p>
        </w:tc>
        <w:tc>
          <w:tcPr>
            <w:tcW w:w="0" w:type="auto"/>
            <w:gridSpan w:val="3"/>
            <w:shd w:val="clear" w:color="auto" w:fill="auto"/>
          </w:tcPr>
          <w:p w14:paraId="5C7C58AA" w14:textId="77777777" w:rsidR="0008009C" w:rsidRDefault="0008009C">
            <w:pPr>
              <w:rPr>
                <w:rFonts w:ascii="宋体"/>
                <w:vanish/>
              </w:rPr>
            </w:pPr>
          </w:p>
        </w:tc>
      </w:tr>
      <w:tr w:rsidR="0008009C" w14:paraId="5C7C58BC" w14:textId="77777777">
        <w:tc>
          <w:tcPr>
            <w:tcW w:w="0" w:type="auto"/>
            <w:gridSpan w:val="3"/>
            <w:shd w:val="clear" w:color="auto" w:fill="auto"/>
            <w:tcMar>
              <w:top w:w="40" w:type="dxa"/>
              <w:left w:w="20" w:type="dxa"/>
              <w:bottom w:w="40" w:type="dxa"/>
              <w:right w:w="20" w:type="dxa"/>
            </w:tcMar>
            <w:vAlign w:val="bottom"/>
          </w:tcPr>
          <w:p w14:paraId="5C7C58AC" w14:textId="77777777" w:rsidR="0008009C" w:rsidRDefault="00936FDF">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tcPr>
          <w:p w14:paraId="5C7C58A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AE" w14:textId="77777777" w:rsidR="0008009C" w:rsidRDefault="00936FDF">
            <w:pPr>
              <w:jc w:val="right"/>
              <w:textAlignment w:val="bottom"/>
            </w:pPr>
            <w:r>
              <w:rPr>
                <w:rFonts w:ascii="Arial" w:eastAsia="宋体" w:hAnsi="Arial" w:cs="Arial"/>
                <w:color w:val="0068B5"/>
                <w:sz w:val="18"/>
                <w:szCs w:val="18"/>
              </w:rPr>
              <w:t>(1)</w:t>
            </w:r>
          </w:p>
        </w:tc>
        <w:tc>
          <w:tcPr>
            <w:tcW w:w="0" w:type="auto"/>
            <w:shd w:val="clear" w:color="auto" w:fill="auto"/>
            <w:tcMar>
              <w:top w:w="40" w:type="dxa"/>
              <w:left w:w="0" w:type="dxa"/>
              <w:bottom w:w="40" w:type="dxa"/>
              <w:right w:w="20" w:type="dxa"/>
            </w:tcMar>
            <w:vAlign w:val="bottom"/>
          </w:tcPr>
          <w:p w14:paraId="5C7C58A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B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B1" w14:textId="77777777" w:rsidR="0008009C" w:rsidRDefault="00936FDF">
            <w:pPr>
              <w:jc w:val="right"/>
              <w:textAlignment w:val="bottom"/>
            </w:pPr>
            <w:r>
              <w:rPr>
                <w:rFonts w:ascii="Arial" w:eastAsia="宋体" w:hAnsi="Arial" w:cs="Arial"/>
                <w:color w:val="0068B5"/>
                <w:sz w:val="18"/>
                <w:szCs w:val="18"/>
              </w:rPr>
              <w:t>(25)</w:t>
            </w:r>
          </w:p>
        </w:tc>
        <w:tc>
          <w:tcPr>
            <w:tcW w:w="0" w:type="auto"/>
            <w:shd w:val="clear" w:color="auto" w:fill="auto"/>
            <w:tcMar>
              <w:top w:w="40" w:type="dxa"/>
              <w:left w:w="0" w:type="dxa"/>
              <w:bottom w:w="40" w:type="dxa"/>
              <w:right w:w="20" w:type="dxa"/>
            </w:tcMar>
            <w:vAlign w:val="bottom"/>
          </w:tcPr>
          <w:p w14:paraId="5C7C58B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B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B4"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B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B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B7" w14:textId="77777777" w:rsidR="0008009C" w:rsidRDefault="00936FDF">
            <w:pPr>
              <w:jc w:val="right"/>
              <w:textAlignment w:val="bottom"/>
            </w:pPr>
            <w:r>
              <w:rPr>
                <w:rFonts w:ascii="Arial" w:eastAsia="宋体" w:hAnsi="Arial" w:cs="Arial"/>
                <w:color w:val="0068B5"/>
                <w:sz w:val="18"/>
                <w:szCs w:val="18"/>
              </w:rPr>
              <w:t>(4)</w:t>
            </w:r>
          </w:p>
        </w:tc>
        <w:tc>
          <w:tcPr>
            <w:tcW w:w="0" w:type="auto"/>
            <w:shd w:val="clear" w:color="auto" w:fill="auto"/>
            <w:tcMar>
              <w:top w:w="40" w:type="dxa"/>
              <w:left w:w="0" w:type="dxa"/>
              <w:bottom w:w="40" w:type="dxa"/>
              <w:right w:w="20" w:type="dxa"/>
            </w:tcMar>
            <w:vAlign w:val="bottom"/>
          </w:tcPr>
          <w:p w14:paraId="5C7C58B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B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BA" w14:textId="77777777" w:rsidR="0008009C" w:rsidRDefault="00936FDF">
            <w:pPr>
              <w:jc w:val="right"/>
              <w:textAlignment w:val="bottom"/>
            </w:pPr>
            <w:r>
              <w:rPr>
                <w:rFonts w:ascii="Arial" w:eastAsia="宋体" w:hAnsi="Arial" w:cs="Arial"/>
                <w:color w:val="0068B5"/>
                <w:sz w:val="18"/>
                <w:szCs w:val="18"/>
              </w:rPr>
              <w:t>(29)</w:t>
            </w:r>
          </w:p>
        </w:tc>
        <w:tc>
          <w:tcPr>
            <w:tcW w:w="0" w:type="auto"/>
            <w:shd w:val="clear" w:color="auto" w:fill="auto"/>
            <w:tcMar>
              <w:top w:w="40" w:type="dxa"/>
              <w:left w:w="0" w:type="dxa"/>
              <w:bottom w:w="40" w:type="dxa"/>
              <w:right w:w="20" w:type="dxa"/>
            </w:tcMar>
            <w:vAlign w:val="bottom"/>
          </w:tcPr>
          <w:p w14:paraId="5C7C58BB" w14:textId="77777777" w:rsidR="0008009C" w:rsidRDefault="0008009C">
            <w:pPr>
              <w:jc w:val="right"/>
              <w:rPr>
                <w:rFonts w:ascii="宋体"/>
              </w:rPr>
            </w:pPr>
          </w:p>
        </w:tc>
      </w:tr>
      <w:tr w:rsidR="0008009C" w14:paraId="5C7C58CD" w14:textId="77777777">
        <w:tc>
          <w:tcPr>
            <w:tcW w:w="0" w:type="auto"/>
            <w:gridSpan w:val="3"/>
            <w:shd w:val="clear" w:color="auto" w:fill="auto"/>
            <w:tcMar>
              <w:top w:w="40" w:type="dxa"/>
              <w:left w:w="20" w:type="dxa"/>
              <w:bottom w:w="40" w:type="dxa"/>
              <w:right w:w="20" w:type="dxa"/>
            </w:tcMar>
            <w:vAlign w:val="bottom"/>
          </w:tcPr>
          <w:p w14:paraId="5C7C58BD" w14:textId="77777777" w:rsidR="0008009C" w:rsidRDefault="00936FDF">
            <w:pPr>
              <w:textAlignment w:val="bottom"/>
            </w:pPr>
            <w:r>
              <w:rPr>
                <w:rFonts w:ascii="Arial" w:eastAsia="宋体" w:hAnsi="Arial" w:cs="Arial"/>
                <w:color w:val="262626"/>
                <w:sz w:val="18"/>
                <w:szCs w:val="18"/>
              </w:rPr>
              <w:t>Cash dividends declared ($0.695 per share)</w:t>
            </w:r>
          </w:p>
        </w:tc>
        <w:tc>
          <w:tcPr>
            <w:tcW w:w="0" w:type="auto"/>
            <w:gridSpan w:val="3"/>
            <w:shd w:val="clear" w:color="auto" w:fill="auto"/>
            <w:tcMar>
              <w:top w:w="0" w:type="dxa"/>
              <w:left w:w="20" w:type="dxa"/>
              <w:bottom w:w="0" w:type="dxa"/>
              <w:right w:w="20" w:type="dxa"/>
            </w:tcMar>
          </w:tcPr>
          <w:p w14:paraId="5C7C58B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BF"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C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C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C2"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C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C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C5"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8C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C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C8" w14:textId="77777777" w:rsidR="0008009C" w:rsidRDefault="00936FDF">
            <w:pPr>
              <w:jc w:val="right"/>
              <w:textAlignment w:val="bottom"/>
            </w:pPr>
            <w:r>
              <w:rPr>
                <w:rFonts w:ascii="Arial" w:eastAsia="宋体" w:hAnsi="Arial" w:cs="Arial"/>
                <w:color w:val="0068B5"/>
                <w:sz w:val="18"/>
                <w:szCs w:val="18"/>
              </w:rPr>
              <w:t>(2,821)</w:t>
            </w:r>
          </w:p>
        </w:tc>
        <w:tc>
          <w:tcPr>
            <w:tcW w:w="0" w:type="auto"/>
            <w:shd w:val="clear" w:color="auto" w:fill="auto"/>
            <w:tcMar>
              <w:top w:w="40" w:type="dxa"/>
              <w:left w:w="0" w:type="dxa"/>
              <w:bottom w:w="40" w:type="dxa"/>
              <w:right w:w="20" w:type="dxa"/>
            </w:tcMar>
            <w:vAlign w:val="bottom"/>
          </w:tcPr>
          <w:p w14:paraId="5C7C58C9" w14:textId="77777777" w:rsidR="0008009C" w:rsidRDefault="0008009C">
            <w:pPr>
              <w:jc w:val="right"/>
              <w:rPr>
                <w:rFonts w:ascii="宋体"/>
              </w:rPr>
            </w:pPr>
          </w:p>
        </w:tc>
        <w:tc>
          <w:tcPr>
            <w:tcW w:w="0" w:type="auto"/>
            <w:gridSpan w:val="3"/>
            <w:shd w:val="clear" w:color="auto" w:fill="auto"/>
            <w:tcMar>
              <w:top w:w="40" w:type="dxa"/>
              <w:left w:w="20" w:type="dxa"/>
              <w:bottom w:w="40" w:type="dxa"/>
              <w:right w:w="20" w:type="dxa"/>
            </w:tcMar>
            <w:vAlign w:val="bottom"/>
          </w:tcPr>
          <w:p w14:paraId="5C7C58CA" w14:textId="77777777" w:rsidR="0008009C" w:rsidRDefault="00936FDF">
            <w:pPr>
              <w:textAlignment w:val="bottom"/>
            </w:pPr>
            <w:r>
              <w:rPr>
                <w:rFonts w:ascii="Arial" w:eastAsia="宋体" w:hAnsi="Arial" w:cs="Arial"/>
                <w:color w:val="0068B5"/>
                <w:sz w:val="18"/>
                <w:szCs w:val="18"/>
              </w:rPr>
              <w:t> </w:t>
            </w:r>
          </w:p>
        </w:tc>
        <w:tc>
          <w:tcPr>
            <w:tcW w:w="0" w:type="auto"/>
            <w:gridSpan w:val="2"/>
            <w:shd w:val="clear" w:color="auto" w:fill="auto"/>
            <w:tcMar>
              <w:top w:w="40" w:type="dxa"/>
              <w:left w:w="20" w:type="dxa"/>
              <w:bottom w:w="40" w:type="dxa"/>
              <w:right w:w="0" w:type="dxa"/>
            </w:tcMar>
            <w:vAlign w:val="bottom"/>
          </w:tcPr>
          <w:p w14:paraId="5C7C58CB" w14:textId="77777777" w:rsidR="0008009C" w:rsidRDefault="00936FDF">
            <w:pPr>
              <w:jc w:val="right"/>
              <w:textAlignment w:val="bottom"/>
            </w:pPr>
            <w:r>
              <w:rPr>
                <w:rFonts w:ascii="Arial" w:eastAsia="宋体" w:hAnsi="Arial" w:cs="Arial"/>
                <w:color w:val="0068B5"/>
                <w:sz w:val="18"/>
                <w:szCs w:val="18"/>
              </w:rPr>
              <w:t>(2,821)</w:t>
            </w:r>
          </w:p>
        </w:tc>
        <w:tc>
          <w:tcPr>
            <w:tcW w:w="0" w:type="auto"/>
            <w:shd w:val="clear" w:color="auto" w:fill="auto"/>
            <w:tcMar>
              <w:top w:w="40" w:type="dxa"/>
              <w:left w:w="0" w:type="dxa"/>
              <w:bottom w:w="40" w:type="dxa"/>
              <w:right w:w="20" w:type="dxa"/>
            </w:tcMar>
            <w:vAlign w:val="bottom"/>
          </w:tcPr>
          <w:p w14:paraId="5C7C58CC" w14:textId="77777777" w:rsidR="0008009C" w:rsidRDefault="0008009C">
            <w:pPr>
              <w:jc w:val="right"/>
              <w:rPr>
                <w:rFonts w:ascii="宋体"/>
              </w:rPr>
            </w:pPr>
          </w:p>
        </w:tc>
      </w:tr>
      <w:tr w:rsidR="0008009C" w14:paraId="5C7C58E2" w14:textId="77777777">
        <w:tc>
          <w:tcPr>
            <w:tcW w:w="0" w:type="auto"/>
            <w:gridSpan w:val="3"/>
            <w:shd w:val="clear" w:color="auto" w:fill="auto"/>
            <w:tcMar>
              <w:top w:w="40" w:type="dxa"/>
              <w:left w:w="20" w:type="dxa"/>
              <w:bottom w:w="40" w:type="dxa"/>
              <w:right w:w="20" w:type="dxa"/>
            </w:tcMar>
            <w:vAlign w:val="bottom"/>
          </w:tcPr>
          <w:p w14:paraId="5C7C58CE" w14:textId="77777777" w:rsidR="0008009C" w:rsidRDefault="00936FDF">
            <w:pPr>
              <w:textAlignment w:val="bottom"/>
            </w:pPr>
            <w:r>
              <w:rPr>
                <w:rFonts w:ascii="Arial" w:eastAsia="宋体" w:hAnsi="Arial" w:cs="Arial"/>
                <w:b/>
                <w:bCs/>
                <w:color w:val="262626"/>
                <w:sz w:val="18"/>
                <w:szCs w:val="18"/>
              </w:rPr>
              <w:t>Balance as of March 27, 2021</w:t>
            </w:r>
          </w:p>
        </w:tc>
        <w:tc>
          <w:tcPr>
            <w:tcW w:w="0" w:type="auto"/>
            <w:gridSpan w:val="3"/>
            <w:shd w:val="clear" w:color="auto" w:fill="auto"/>
            <w:tcMar>
              <w:top w:w="0" w:type="dxa"/>
              <w:left w:w="20" w:type="dxa"/>
              <w:bottom w:w="0" w:type="dxa"/>
              <w:right w:w="20" w:type="dxa"/>
            </w:tcMar>
          </w:tcPr>
          <w:p w14:paraId="5C7C58CF"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8D0" w14:textId="77777777" w:rsidR="0008009C" w:rsidRDefault="00936FDF">
            <w:pPr>
              <w:jc w:val="right"/>
              <w:textAlignment w:val="bottom"/>
            </w:pPr>
            <w:r>
              <w:rPr>
                <w:rFonts w:ascii="Arial" w:eastAsia="宋体" w:hAnsi="Arial" w:cs="Arial"/>
                <w:b/>
                <w:bCs/>
                <w:color w:val="0068B5"/>
                <w:sz w:val="18"/>
                <w:szCs w:val="18"/>
              </w:rPr>
              <w:t>4,038</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8D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D2"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58D3"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58D4" w14:textId="77777777" w:rsidR="0008009C" w:rsidRDefault="00936FDF">
            <w:pPr>
              <w:jc w:val="right"/>
              <w:textAlignment w:val="bottom"/>
            </w:pPr>
            <w:r>
              <w:rPr>
                <w:rFonts w:ascii="Arial" w:eastAsia="宋体" w:hAnsi="Arial" w:cs="Arial"/>
                <w:b/>
                <w:bCs/>
                <w:color w:val="0068B5"/>
                <w:sz w:val="18"/>
                <w:szCs w:val="18"/>
              </w:rPr>
              <w:t>26,272</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8D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D6"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58D7"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58D8" w14:textId="77777777" w:rsidR="0008009C" w:rsidRDefault="00936FDF">
            <w:pPr>
              <w:jc w:val="right"/>
              <w:textAlignment w:val="bottom"/>
            </w:pPr>
            <w:r>
              <w:rPr>
                <w:rFonts w:ascii="Arial" w:eastAsia="宋体" w:hAnsi="Arial" w:cs="Arial"/>
                <w:b/>
                <w:bCs/>
                <w:color w:val="0068B5"/>
                <w:sz w:val="18"/>
                <w:szCs w:val="18"/>
              </w:rPr>
              <w:t>(1,103)</w:t>
            </w:r>
          </w:p>
        </w:tc>
        <w:tc>
          <w:tcPr>
            <w:tcW w:w="0" w:type="auto"/>
            <w:tcBorders>
              <w:top w:val="single" w:sz="8" w:space="0" w:color="262626"/>
            </w:tcBorders>
            <w:shd w:val="clear" w:color="auto" w:fill="auto"/>
            <w:tcMar>
              <w:top w:w="40" w:type="dxa"/>
              <w:left w:w="0" w:type="dxa"/>
              <w:bottom w:w="40" w:type="dxa"/>
              <w:right w:w="20" w:type="dxa"/>
            </w:tcMar>
            <w:vAlign w:val="bottom"/>
          </w:tcPr>
          <w:p w14:paraId="5C7C58D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DA"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58DB"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58DC" w14:textId="77777777" w:rsidR="0008009C" w:rsidRDefault="00936FDF">
            <w:pPr>
              <w:jc w:val="right"/>
              <w:textAlignment w:val="bottom"/>
            </w:pPr>
            <w:r>
              <w:rPr>
                <w:rFonts w:ascii="Arial" w:eastAsia="宋体" w:hAnsi="Arial" w:cs="Arial"/>
                <w:b/>
                <w:bCs/>
                <w:color w:val="0068B5"/>
                <w:sz w:val="18"/>
                <w:szCs w:val="18"/>
              </w:rPr>
              <w:t>54,638</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8D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DE"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58DF"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58E0" w14:textId="77777777" w:rsidR="0008009C" w:rsidRDefault="00936FDF">
            <w:pPr>
              <w:jc w:val="right"/>
              <w:textAlignment w:val="bottom"/>
            </w:pPr>
            <w:r>
              <w:rPr>
                <w:rFonts w:ascii="Arial" w:eastAsia="宋体" w:hAnsi="Arial" w:cs="Arial"/>
                <w:b/>
                <w:bCs/>
                <w:color w:val="0068B5"/>
                <w:sz w:val="18"/>
                <w:szCs w:val="18"/>
              </w:rPr>
              <w:t>79,807</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8E1" w14:textId="77777777" w:rsidR="0008009C" w:rsidRDefault="0008009C">
            <w:pPr>
              <w:jc w:val="right"/>
              <w:rPr>
                <w:rFonts w:ascii="宋体"/>
              </w:rPr>
            </w:pPr>
          </w:p>
        </w:tc>
      </w:tr>
      <w:tr w:rsidR="0008009C" w14:paraId="5C7C58EE" w14:textId="77777777">
        <w:trPr>
          <w:trHeight w:val="60"/>
        </w:trPr>
        <w:tc>
          <w:tcPr>
            <w:tcW w:w="0" w:type="auto"/>
            <w:gridSpan w:val="3"/>
            <w:shd w:val="clear" w:color="auto" w:fill="auto"/>
            <w:tcMar>
              <w:top w:w="0" w:type="dxa"/>
              <w:left w:w="20" w:type="dxa"/>
              <w:bottom w:w="0" w:type="dxa"/>
              <w:right w:w="20" w:type="dxa"/>
            </w:tcMar>
          </w:tcPr>
          <w:p w14:paraId="5C7C58E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8E4"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58E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8E6"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58E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8E8"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58E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8EA"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58E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8EC"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58ED" w14:textId="77777777" w:rsidR="0008009C" w:rsidRDefault="0008009C">
            <w:pPr>
              <w:rPr>
                <w:rFonts w:ascii="宋体"/>
              </w:rPr>
            </w:pPr>
          </w:p>
        </w:tc>
      </w:tr>
      <w:tr w:rsidR="0008009C" w14:paraId="5C7C5903" w14:textId="77777777">
        <w:tc>
          <w:tcPr>
            <w:tcW w:w="0" w:type="auto"/>
            <w:gridSpan w:val="3"/>
            <w:shd w:val="clear" w:color="auto" w:fill="auto"/>
            <w:tcMar>
              <w:top w:w="40" w:type="dxa"/>
              <w:left w:w="20" w:type="dxa"/>
              <w:bottom w:w="40" w:type="dxa"/>
              <w:right w:w="20" w:type="dxa"/>
            </w:tcMar>
            <w:vAlign w:val="bottom"/>
          </w:tcPr>
          <w:p w14:paraId="5C7C58EF" w14:textId="77777777" w:rsidR="0008009C" w:rsidRDefault="00936FDF">
            <w:pPr>
              <w:textAlignment w:val="bottom"/>
            </w:pPr>
            <w:r>
              <w:rPr>
                <w:rFonts w:ascii="Arial" w:eastAsia="宋体" w:hAnsi="Arial" w:cs="Arial"/>
                <w:b/>
                <w:bCs/>
                <w:color w:val="262626"/>
                <w:sz w:val="18"/>
                <w:szCs w:val="18"/>
              </w:rPr>
              <w:t xml:space="preserve">Balance as of </w:t>
            </w:r>
            <w:r>
              <w:rPr>
                <w:rFonts w:ascii="Arial" w:eastAsia="宋体" w:hAnsi="Arial" w:cs="Arial"/>
                <w:b/>
                <w:bCs/>
                <w:color w:val="262626"/>
                <w:sz w:val="18"/>
                <w:szCs w:val="18"/>
              </w:rPr>
              <w:t>December 28, 2019</w:t>
            </w:r>
          </w:p>
        </w:tc>
        <w:tc>
          <w:tcPr>
            <w:tcW w:w="0" w:type="auto"/>
            <w:gridSpan w:val="3"/>
            <w:shd w:val="clear" w:color="auto" w:fill="auto"/>
            <w:tcMar>
              <w:top w:w="0" w:type="dxa"/>
              <w:left w:w="20" w:type="dxa"/>
              <w:bottom w:w="0" w:type="dxa"/>
              <w:right w:w="20" w:type="dxa"/>
            </w:tcMar>
          </w:tcPr>
          <w:p w14:paraId="5C7C58F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8F1" w14:textId="77777777" w:rsidR="0008009C" w:rsidRDefault="00936FDF">
            <w:pPr>
              <w:jc w:val="right"/>
              <w:textAlignment w:val="bottom"/>
            </w:pPr>
            <w:r>
              <w:rPr>
                <w:rFonts w:ascii="Arial" w:eastAsia="宋体" w:hAnsi="Arial" w:cs="Arial"/>
                <w:b/>
                <w:bCs/>
                <w:color w:val="262626"/>
                <w:sz w:val="18"/>
                <w:szCs w:val="18"/>
              </w:rPr>
              <w:t>4,290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8F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F3"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8F4" w14:textId="77777777" w:rsidR="0008009C" w:rsidRDefault="00936FDF">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C7C58F5" w14:textId="77777777" w:rsidR="0008009C" w:rsidRDefault="00936FDF">
            <w:pPr>
              <w:jc w:val="right"/>
              <w:textAlignment w:val="bottom"/>
            </w:pPr>
            <w:r>
              <w:rPr>
                <w:rFonts w:ascii="Arial" w:eastAsia="宋体" w:hAnsi="Arial" w:cs="Arial"/>
                <w:b/>
                <w:bCs/>
                <w:color w:val="262626"/>
                <w:sz w:val="18"/>
                <w:szCs w:val="18"/>
              </w:rPr>
              <w:t>25,261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8F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F7"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8F8" w14:textId="77777777" w:rsidR="0008009C" w:rsidRDefault="00936FDF">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C7C58F9" w14:textId="77777777" w:rsidR="0008009C" w:rsidRDefault="00936FDF">
            <w:pPr>
              <w:jc w:val="right"/>
              <w:textAlignment w:val="bottom"/>
            </w:pPr>
            <w:r>
              <w:rPr>
                <w:rFonts w:ascii="Arial" w:eastAsia="宋体" w:hAnsi="Arial" w:cs="Arial"/>
                <w:b/>
                <w:bCs/>
                <w:color w:val="262626"/>
                <w:sz w:val="18"/>
                <w:szCs w:val="18"/>
              </w:rPr>
              <w:t>(1,280)</w:t>
            </w:r>
          </w:p>
        </w:tc>
        <w:tc>
          <w:tcPr>
            <w:tcW w:w="0" w:type="auto"/>
            <w:shd w:val="clear" w:color="auto" w:fill="auto"/>
            <w:tcMar>
              <w:top w:w="40" w:type="dxa"/>
              <w:left w:w="0" w:type="dxa"/>
              <w:bottom w:w="40" w:type="dxa"/>
              <w:right w:w="20" w:type="dxa"/>
            </w:tcMar>
            <w:vAlign w:val="bottom"/>
          </w:tcPr>
          <w:p w14:paraId="5C7C58F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FB"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8FC" w14:textId="77777777" w:rsidR="0008009C" w:rsidRDefault="00936FDF">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C7C58FD" w14:textId="77777777" w:rsidR="0008009C" w:rsidRDefault="00936FDF">
            <w:pPr>
              <w:jc w:val="right"/>
              <w:textAlignment w:val="bottom"/>
            </w:pPr>
            <w:r>
              <w:rPr>
                <w:rFonts w:ascii="Arial" w:eastAsia="宋体" w:hAnsi="Arial" w:cs="Arial"/>
                <w:b/>
                <w:bCs/>
                <w:color w:val="262626"/>
                <w:sz w:val="18"/>
                <w:szCs w:val="18"/>
              </w:rPr>
              <w:t>53,523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8F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8FF"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900" w14:textId="77777777" w:rsidR="0008009C" w:rsidRDefault="00936FDF">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C7C5901" w14:textId="77777777" w:rsidR="0008009C" w:rsidRDefault="00936FDF">
            <w:pPr>
              <w:jc w:val="right"/>
              <w:textAlignment w:val="bottom"/>
            </w:pPr>
            <w:r>
              <w:rPr>
                <w:rFonts w:ascii="Arial" w:eastAsia="宋体" w:hAnsi="Arial" w:cs="Arial"/>
                <w:b/>
                <w:bCs/>
                <w:color w:val="262626"/>
                <w:sz w:val="18"/>
                <w:szCs w:val="18"/>
              </w:rPr>
              <w:t>77,504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02" w14:textId="77777777" w:rsidR="0008009C" w:rsidRDefault="0008009C">
            <w:pPr>
              <w:jc w:val="right"/>
              <w:rPr>
                <w:rFonts w:ascii="宋体"/>
              </w:rPr>
            </w:pPr>
          </w:p>
        </w:tc>
      </w:tr>
      <w:tr w:rsidR="0008009C" w14:paraId="5C7C590F" w14:textId="77777777">
        <w:trPr>
          <w:hidden/>
        </w:trPr>
        <w:tc>
          <w:tcPr>
            <w:tcW w:w="0" w:type="auto"/>
            <w:gridSpan w:val="3"/>
            <w:shd w:val="clear" w:color="auto" w:fill="auto"/>
          </w:tcPr>
          <w:p w14:paraId="5C7C5904" w14:textId="77777777" w:rsidR="0008009C" w:rsidRDefault="0008009C">
            <w:pPr>
              <w:rPr>
                <w:rFonts w:ascii="宋体"/>
                <w:vanish/>
              </w:rPr>
            </w:pPr>
          </w:p>
        </w:tc>
        <w:tc>
          <w:tcPr>
            <w:tcW w:w="0" w:type="auto"/>
            <w:gridSpan w:val="3"/>
            <w:shd w:val="clear" w:color="auto" w:fill="auto"/>
          </w:tcPr>
          <w:p w14:paraId="5C7C5905" w14:textId="77777777" w:rsidR="0008009C" w:rsidRDefault="0008009C">
            <w:pPr>
              <w:rPr>
                <w:rFonts w:ascii="宋体"/>
                <w:vanish/>
              </w:rPr>
            </w:pPr>
          </w:p>
        </w:tc>
        <w:tc>
          <w:tcPr>
            <w:tcW w:w="0" w:type="auto"/>
            <w:gridSpan w:val="3"/>
            <w:shd w:val="clear" w:color="auto" w:fill="auto"/>
          </w:tcPr>
          <w:p w14:paraId="5C7C5906" w14:textId="77777777" w:rsidR="0008009C" w:rsidRDefault="0008009C">
            <w:pPr>
              <w:rPr>
                <w:rFonts w:ascii="宋体"/>
                <w:vanish/>
              </w:rPr>
            </w:pPr>
          </w:p>
        </w:tc>
        <w:tc>
          <w:tcPr>
            <w:tcW w:w="0" w:type="auto"/>
            <w:gridSpan w:val="3"/>
            <w:shd w:val="clear" w:color="auto" w:fill="auto"/>
          </w:tcPr>
          <w:p w14:paraId="5C7C5907" w14:textId="77777777" w:rsidR="0008009C" w:rsidRDefault="0008009C">
            <w:pPr>
              <w:rPr>
                <w:rFonts w:ascii="宋体"/>
                <w:vanish/>
              </w:rPr>
            </w:pPr>
          </w:p>
        </w:tc>
        <w:tc>
          <w:tcPr>
            <w:tcW w:w="0" w:type="auto"/>
            <w:gridSpan w:val="3"/>
            <w:shd w:val="clear" w:color="auto" w:fill="auto"/>
          </w:tcPr>
          <w:p w14:paraId="5C7C5908" w14:textId="77777777" w:rsidR="0008009C" w:rsidRDefault="0008009C">
            <w:pPr>
              <w:rPr>
                <w:rFonts w:ascii="宋体"/>
                <w:vanish/>
              </w:rPr>
            </w:pPr>
          </w:p>
        </w:tc>
        <w:tc>
          <w:tcPr>
            <w:tcW w:w="0" w:type="auto"/>
            <w:gridSpan w:val="3"/>
            <w:shd w:val="clear" w:color="auto" w:fill="auto"/>
          </w:tcPr>
          <w:p w14:paraId="5C7C5909" w14:textId="77777777" w:rsidR="0008009C" w:rsidRDefault="0008009C">
            <w:pPr>
              <w:rPr>
                <w:rFonts w:ascii="宋体"/>
                <w:vanish/>
              </w:rPr>
            </w:pPr>
          </w:p>
        </w:tc>
        <w:tc>
          <w:tcPr>
            <w:tcW w:w="0" w:type="auto"/>
            <w:gridSpan w:val="3"/>
            <w:shd w:val="clear" w:color="auto" w:fill="auto"/>
          </w:tcPr>
          <w:p w14:paraId="5C7C590A" w14:textId="77777777" w:rsidR="0008009C" w:rsidRDefault="0008009C">
            <w:pPr>
              <w:rPr>
                <w:rFonts w:ascii="宋体"/>
                <w:vanish/>
              </w:rPr>
            </w:pPr>
          </w:p>
        </w:tc>
        <w:tc>
          <w:tcPr>
            <w:tcW w:w="0" w:type="auto"/>
            <w:gridSpan w:val="3"/>
            <w:shd w:val="clear" w:color="auto" w:fill="auto"/>
          </w:tcPr>
          <w:p w14:paraId="5C7C590B" w14:textId="77777777" w:rsidR="0008009C" w:rsidRDefault="0008009C">
            <w:pPr>
              <w:rPr>
                <w:rFonts w:ascii="宋体"/>
                <w:vanish/>
              </w:rPr>
            </w:pPr>
          </w:p>
        </w:tc>
        <w:tc>
          <w:tcPr>
            <w:tcW w:w="0" w:type="auto"/>
            <w:gridSpan w:val="3"/>
            <w:shd w:val="clear" w:color="auto" w:fill="auto"/>
          </w:tcPr>
          <w:p w14:paraId="5C7C590C" w14:textId="77777777" w:rsidR="0008009C" w:rsidRDefault="0008009C">
            <w:pPr>
              <w:rPr>
                <w:rFonts w:ascii="宋体"/>
                <w:vanish/>
              </w:rPr>
            </w:pPr>
          </w:p>
        </w:tc>
        <w:tc>
          <w:tcPr>
            <w:tcW w:w="0" w:type="auto"/>
            <w:gridSpan w:val="3"/>
            <w:shd w:val="clear" w:color="auto" w:fill="auto"/>
          </w:tcPr>
          <w:p w14:paraId="5C7C590D" w14:textId="77777777" w:rsidR="0008009C" w:rsidRDefault="0008009C">
            <w:pPr>
              <w:rPr>
                <w:rFonts w:ascii="宋体"/>
                <w:vanish/>
              </w:rPr>
            </w:pPr>
          </w:p>
        </w:tc>
        <w:tc>
          <w:tcPr>
            <w:tcW w:w="0" w:type="auto"/>
            <w:gridSpan w:val="3"/>
            <w:shd w:val="clear" w:color="auto" w:fill="auto"/>
          </w:tcPr>
          <w:p w14:paraId="5C7C590E" w14:textId="77777777" w:rsidR="0008009C" w:rsidRDefault="0008009C">
            <w:pPr>
              <w:rPr>
                <w:rFonts w:ascii="宋体"/>
                <w:vanish/>
              </w:rPr>
            </w:pPr>
          </w:p>
        </w:tc>
      </w:tr>
      <w:tr w:rsidR="0008009C" w14:paraId="5C7C591B" w14:textId="77777777">
        <w:trPr>
          <w:hidden/>
        </w:trPr>
        <w:tc>
          <w:tcPr>
            <w:tcW w:w="0" w:type="auto"/>
            <w:gridSpan w:val="3"/>
            <w:shd w:val="clear" w:color="auto" w:fill="auto"/>
          </w:tcPr>
          <w:p w14:paraId="5C7C5910" w14:textId="77777777" w:rsidR="0008009C" w:rsidRDefault="0008009C">
            <w:pPr>
              <w:rPr>
                <w:rFonts w:ascii="宋体"/>
                <w:vanish/>
              </w:rPr>
            </w:pPr>
          </w:p>
        </w:tc>
        <w:tc>
          <w:tcPr>
            <w:tcW w:w="0" w:type="auto"/>
            <w:gridSpan w:val="3"/>
            <w:shd w:val="clear" w:color="auto" w:fill="auto"/>
          </w:tcPr>
          <w:p w14:paraId="5C7C5911" w14:textId="77777777" w:rsidR="0008009C" w:rsidRDefault="0008009C">
            <w:pPr>
              <w:rPr>
                <w:rFonts w:ascii="宋体"/>
                <w:vanish/>
              </w:rPr>
            </w:pPr>
          </w:p>
        </w:tc>
        <w:tc>
          <w:tcPr>
            <w:tcW w:w="0" w:type="auto"/>
            <w:gridSpan w:val="3"/>
            <w:shd w:val="clear" w:color="auto" w:fill="auto"/>
          </w:tcPr>
          <w:p w14:paraId="5C7C5912" w14:textId="77777777" w:rsidR="0008009C" w:rsidRDefault="0008009C">
            <w:pPr>
              <w:rPr>
                <w:rFonts w:ascii="宋体"/>
                <w:vanish/>
              </w:rPr>
            </w:pPr>
          </w:p>
        </w:tc>
        <w:tc>
          <w:tcPr>
            <w:tcW w:w="0" w:type="auto"/>
            <w:gridSpan w:val="3"/>
            <w:shd w:val="clear" w:color="auto" w:fill="auto"/>
          </w:tcPr>
          <w:p w14:paraId="5C7C5913" w14:textId="77777777" w:rsidR="0008009C" w:rsidRDefault="0008009C">
            <w:pPr>
              <w:rPr>
                <w:rFonts w:ascii="宋体"/>
                <w:vanish/>
              </w:rPr>
            </w:pPr>
          </w:p>
        </w:tc>
        <w:tc>
          <w:tcPr>
            <w:tcW w:w="0" w:type="auto"/>
            <w:gridSpan w:val="3"/>
            <w:shd w:val="clear" w:color="auto" w:fill="auto"/>
          </w:tcPr>
          <w:p w14:paraId="5C7C5914" w14:textId="77777777" w:rsidR="0008009C" w:rsidRDefault="0008009C">
            <w:pPr>
              <w:rPr>
                <w:rFonts w:ascii="宋体"/>
                <w:vanish/>
              </w:rPr>
            </w:pPr>
          </w:p>
        </w:tc>
        <w:tc>
          <w:tcPr>
            <w:tcW w:w="0" w:type="auto"/>
            <w:gridSpan w:val="3"/>
            <w:shd w:val="clear" w:color="auto" w:fill="auto"/>
          </w:tcPr>
          <w:p w14:paraId="5C7C5915" w14:textId="77777777" w:rsidR="0008009C" w:rsidRDefault="0008009C">
            <w:pPr>
              <w:rPr>
                <w:rFonts w:ascii="宋体"/>
                <w:vanish/>
              </w:rPr>
            </w:pPr>
          </w:p>
        </w:tc>
        <w:tc>
          <w:tcPr>
            <w:tcW w:w="0" w:type="auto"/>
            <w:gridSpan w:val="3"/>
            <w:shd w:val="clear" w:color="auto" w:fill="auto"/>
          </w:tcPr>
          <w:p w14:paraId="5C7C5916" w14:textId="77777777" w:rsidR="0008009C" w:rsidRDefault="0008009C">
            <w:pPr>
              <w:rPr>
                <w:rFonts w:ascii="宋体"/>
                <w:vanish/>
              </w:rPr>
            </w:pPr>
          </w:p>
        </w:tc>
        <w:tc>
          <w:tcPr>
            <w:tcW w:w="0" w:type="auto"/>
            <w:gridSpan w:val="3"/>
            <w:shd w:val="clear" w:color="auto" w:fill="auto"/>
          </w:tcPr>
          <w:p w14:paraId="5C7C5917" w14:textId="77777777" w:rsidR="0008009C" w:rsidRDefault="0008009C">
            <w:pPr>
              <w:rPr>
                <w:rFonts w:ascii="宋体"/>
                <w:vanish/>
              </w:rPr>
            </w:pPr>
          </w:p>
        </w:tc>
        <w:tc>
          <w:tcPr>
            <w:tcW w:w="0" w:type="auto"/>
            <w:gridSpan w:val="3"/>
            <w:shd w:val="clear" w:color="auto" w:fill="auto"/>
          </w:tcPr>
          <w:p w14:paraId="5C7C5918" w14:textId="77777777" w:rsidR="0008009C" w:rsidRDefault="0008009C">
            <w:pPr>
              <w:rPr>
                <w:rFonts w:ascii="宋体"/>
                <w:vanish/>
              </w:rPr>
            </w:pPr>
          </w:p>
        </w:tc>
        <w:tc>
          <w:tcPr>
            <w:tcW w:w="0" w:type="auto"/>
            <w:gridSpan w:val="3"/>
            <w:shd w:val="clear" w:color="auto" w:fill="auto"/>
          </w:tcPr>
          <w:p w14:paraId="5C7C5919" w14:textId="77777777" w:rsidR="0008009C" w:rsidRDefault="0008009C">
            <w:pPr>
              <w:rPr>
                <w:rFonts w:ascii="宋体"/>
                <w:vanish/>
              </w:rPr>
            </w:pPr>
          </w:p>
        </w:tc>
        <w:tc>
          <w:tcPr>
            <w:tcW w:w="0" w:type="auto"/>
            <w:gridSpan w:val="3"/>
            <w:shd w:val="clear" w:color="auto" w:fill="auto"/>
          </w:tcPr>
          <w:p w14:paraId="5C7C591A" w14:textId="77777777" w:rsidR="0008009C" w:rsidRDefault="0008009C">
            <w:pPr>
              <w:rPr>
                <w:rFonts w:ascii="宋体"/>
                <w:vanish/>
              </w:rPr>
            </w:pPr>
          </w:p>
        </w:tc>
      </w:tr>
      <w:tr w:rsidR="0008009C" w14:paraId="5C7C592C" w14:textId="77777777">
        <w:tc>
          <w:tcPr>
            <w:tcW w:w="0" w:type="auto"/>
            <w:gridSpan w:val="3"/>
            <w:shd w:val="clear" w:color="auto" w:fill="auto"/>
            <w:tcMar>
              <w:top w:w="40" w:type="dxa"/>
              <w:left w:w="20" w:type="dxa"/>
              <w:bottom w:w="40" w:type="dxa"/>
              <w:right w:w="20" w:type="dxa"/>
            </w:tcMar>
            <w:vAlign w:val="bottom"/>
          </w:tcPr>
          <w:p w14:paraId="5C7C591C" w14:textId="77777777" w:rsidR="0008009C" w:rsidRDefault="00936FDF">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tcPr>
          <w:p w14:paraId="5C7C591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1E"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1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2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21"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2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2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24"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2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2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27" w14:textId="77777777" w:rsidR="0008009C" w:rsidRDefault="00936FDF">
            <w:pPr>
              <w:jc w:val="right"/>
              <w:textAlignment w:val="bottom"/>
            </w:pPr>
            <w:r>
              <w:rPr>
                <w:rFonts w:ascii="Arial" w:eastAsia="宋体" w:hAnsi="Arial" w:cs="Arial"/>
                <w:color w:val="262626"/>
                <w:sz w:val="18"/>
                <w:szCs w:val="18"/>
              </w:rPr>
              <w:t>5,661 </w:t>
            </w:r>
          </w:p>
        </w:tc>
        <w:tc>
          <w:tcPr>
            <w:tcW w:w="0" w:type="auto"/>
            <w:shd w:val="clear" w:color="auto" w:fill="auto"/>
            <w:tcMar>
              <w:top w:w="40" w:type="dxa"/>
              <w:left w:w="0" w:type="dxa"/>
              <w:bottom w:w="40" w:type="dxa"/>
              <w:right w:w="20" w:type="dxa"/>
            </w:tcMar>
            <w:vAlign w:val="bottom"/>
          </w:tcPr>
          <w:p w14:paraId="5C7C592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2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2A" w14:textId="77777777" w:rsidR="0008009C" w:rsidRDefault="00936FDF">
            <w:pPr>
              <w:jc w:val="right"/>
              <w:textAlignment w:val="bottom"/>
            </w:pPr>
            <w:r>
              <w:rPr>
                <w:rFonts w:ascii="Arial" w:eastAsia="宋体" w:hAnsi="Arial" w:cs="Arial"/>
                <w:color w:val="262626"/>
                <w:sz w:val="18"/>
                <w:szCs w:val="18"/>
              </w:rPr>
              <w:t>5,661 </w:t>
            </w:r>
          </w:p>
        </w:tc>
        <w:tc>
          <w:tcPr>
            <w:tcW w:w="0" w:type="auto"/>
            <w:shd w:val="clear" w:color="auto" w:fill="auto"/>
            <w:tcMar>
              <w:top w:w="40" w:type="dxa"/>
              <w:left w:w="0" w:type="dxa"/>
              <w:bottom w:w="40" w:type="dxa"/>
              <w:right w:w="20" w:type="dxa"/>
            </w:tcMar>
            <w:vAlign w:val="bottom"/>
          </w:tcPr>
          <w:p w14:paraId="5C7C592B" w14:textId="77777777" w:rsidR="0008009C" w:rsidRDefault="0008009C">
            <w:pPr>
              <w:jc w:val="right"/>
              <w:rPr>
                <w:rFonts w:ascii="宋体"/>
              </w:rPr>
            </w:pPr>
          </w:p>
        </w:tc>
      </w:tr>
      <w:tr w:rsidR="0008009C" w14:paraId="5C7C593D" w14:textId="77777777">
        <w:tc>
          <w:tcPr>
            <w:tcW w:w="0" w:type="auto"/>
            <w:gridSpan w:val="3"/>
            <w:shd w:val="clear" w:color="auto" w:fill="auto"/>
            <w:tcMar>
              <w:top w:w="40" w:type="dxa"/>
              <w:left w:w="20" w:type="dxa"/>
              <w:bottom w:w="40" w:type="dxa"/>
              <w:right w:w="20" w:type="dxa"/>
            </w:tcMar>
            <w:vAlign w:val="bottom"/>
          </w:tcPr>
          <w:p w14:paraId="5C7C592D" w14:textId="77777777" w:rsidR="0008009C" w:rsidRDefault="00936FDF">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tcPr>
          <w:p w14:paraId="5C7C592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2F"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3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3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32"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3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3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35" w14:textId="77777777" w:rsidR="0008009C" w:rsidRDefault="00936FDF">
            <w:pPr>
              <w:jc w:val="right"/>
              <w:textAlignment w:val="bottom"/>
            </w:pPr>
            <w:r>
              <w:rPr>
                <w:rFonts w:ascii="Arial" w:eastAsia="宋体" w:hAnsi="Arial" w:cs="Arial"/>
                <w:color w:val="262626"/>
                <w:sz w:val="18"/>
                <w:szCs w:val="18"/>
              </w:rPr>
              <w:t>(261)</w:t>
            </w:r>
          </w:p>
        </w:tc>
        <w:tc>
          <w:tcPr>
            <w:tcW w:w="0" w:type="auto"/>
            <w:shd w:val="clear" w:color="auto" w:fill="auto"/>
            <w:tcMar>
              <w:top w:w="40" w:type="dxa"/>
              <w:left w:w="0" w:type="dxa"/>
              <w:bottom w:w="40" w:type="dxa"/>
              <w:right w:w="20" w:type="dxa"/>
            </w:tcMar>
            <w:vAlign w:val="bottom"/>
          </w:tcPr>
          <w:p w14:paraId="5C7C593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3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38"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3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3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3B" w14:textId="77777777" w:rsidR="0008009C" w:rsidRDefault="00936FDF">
            <w:pPr>
              <w:jc w:val="right"/>
              <w:textAlignment w:val="bottom"/>
            </w:pPr>
            <w:r>
              <w:rPr>
                <w:rFonts w:ascii="Arial" w:eastAsia="宋体" w:hAnsi="Arial" w:cs="Arial"/>
                <w:color w:val="262626"/>
                <w:sz w:val="18"/>
                <w:szCs w:val="18"/>
              </w:rPr>
              <w:t>(261)</w:t>
            </w:r>
          </w:p>
        </w:tc>
        <w:tc>
          <w:tcPr>
            <w:tcW w:w="0" w:type="auto"/>
            <w:shd w:val="clear" w:color="auto" w:fill="auto"/>
            <w:tcMar>
              <w:top w:w="40" w:type="dxa"/>
              <w:left w:w="0" w:type="dxa"/>
              <w:bottom w:w="40" w:type="dxa"/>
              <w:right w:w="20" w:type="dxa"/>
            </w:tcMar>
            <w:vAlign w:val="bottom"/>
          </w:tcPr>
          <w:p w14:paraId="5C7C593C" w14:textId="77777777" w:rsidR="0008009C" w:rsidRDefault="0008009C">
            <w:pPr>
              <w:jc w:val="right"/>
              <w:rPr>
                <w:rFonts w:ascii="宋体"/>
              </w:rPr>
            </w:pPr>
          </w:p>
        </w:tc>
      </w:tr>
      <w:tr w:rsidR="0008009C" w14:paraId="5C7C594E" w14:textId="77777777">
        <w:tc>
          <w:tcPr>
            <w:tcW w:w="0" w:type="auto"/>
            <w:gridSpan w:val="3"/>
            <w:shd w:val="clear" w:color="auto" w:fill="auto"/>
            <w:tcMar>
              <w:top w:w="40" w:type="dxa"/>
              <w:left w:w="20" w:type="dxa"/>
              <w:bottom w:w="40" w:type="dxa"/>
              <w:right w:w="20" w:type="dxa"/>
            </w:tcMar>
            <w:vAlign w:val="bottom"/>
          </w:tcPr>
          <w:p w14:paraId="5C7C593E" w14:textId="77777777" w:rsidR="0008009C" w:rsidRDefault="00936FDF">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tcPr>
          <w:p w14:paraId="5C7C593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40" w14:textId="77777777" w:rsidR="0008009C" w:rsidRDefault="00936FDF">
            <w:pPr>
              <w:jc w:val="right"/>
              <w:textAlignment w:val="bottom"/>
            </w:pPr>
            <w:r>
              <w:rPr>
                <w:rFonts w:ascii="Arial" w:eastAsia="宋体" w:hAnsi="Arial" w:cs="Arial"/>
                <w:color w:val="262626"/>
                <w:sz w:val="18"/>
                <w:szCs w:val="18"/>
              </w:rPr>
              <w:t>17 </w:t>
            </w:r>
          </w:p>
        </w:tc>
        <w:tc>
          <w:tcPr>
            <w:tcW w:w="0" w:type="auto"/>
            <w:shd w:val="clear" w:color="auto" w:fill="auto"/>
            <w:tcMar>
              <w:top w:w="40" w:type="dxa"/>
              <w:left w:w="0" w:type="dxa"/>
              <w:bottom w:w="40" w:type="dxa"/>
              <w:right w:w="20" w:type="dxa"/>
            </w:tcMar>
            <w:vAlign w:val="bottom"/>
          </w:tcPr>
          <w:p w14:paraId="5C7C594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4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43" w14:textId="77777777" w:rsidR="0008009C" w:rsidRDefault="00936FDF">
            <w:pPr>
              <w:jc w:val="right"/>
              <w:textAlignment w:val="bottom"/>
            </w:pPr>
            <w:r>
              <w:rPr>
                <w:rFonts w:ascii="Arial" w:eastAsia="宋体" w:hAnsi="Arial" w:cs="Arial"/>
                <w:color w:val="262626"/>
                <w:sz w:val="18"/>
                <w:szCs w:val="18"/>
              </w:rPr>
              <w:t>620 </w:t>
            </w:r>
          </w:p>
        </w:tc>
        <w:tc>
          <w:tcPr>
            <w:tcW w:w="0" w:type="auto"/>
            <w:shd w:val="clear" w:color="auto" w:fill="auto"/>
            <w:tcMar>
              <w:top w:w="40" w:type="dxa"/>
              <w:left w:w="0" w:type="dxa"/>
              <w:bottom w:w="40" w:type="dxa"/>
              <w:right w:w="20" w:type="dxa"/>
            </w:tcMar>
            <w:vAlign w:val="bottom"/>
          </w:tcPr>
          <w:p w14:paraId="5C7C594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4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46"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4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4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49"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4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4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4C" w14:textId="77777777" w:rsidR="0008009C" w:rsidRDefault="00936FDF">
            <w:pPr>
              <w:jc w:val="right"/>
              <w:textAlignment w:val="bottom"/>
            </w:pPr>
            <w:r>
              <w:rPr>
                <w:rFonts w:ascii="Arial" w:eastAsia="宋体" w:hAnsi="Arial" w:cs="Arial"/>
                <w:color w:val="262626"/>
                <w:sz w:val="18"/>
                <w:szCs w:val="18"/>
              </w:rPr>
              <w:t>620 </w:t>
            </w:r>
          </w:p>
        </w:tc>
        <w:tc>
          <w:tcPr>
            <w:tcW w:w="0" w:type="auto"/>
            <w:shd w:val="clear" w:color="auto" w:fill="auto"/>
            <w:tcMar>
              <w:top w:w="40" w:type="dxa"/>
              <w:left w:w="0" w:type="dxa"/>
              <w:bottom w:w="40" w:type="dxa"/>
              <w:right w:w="20" w:type="dxa"/>
            </w:tcMar>
            <w:vAlign w:val="bottom"/>
          </w:tcPr>
          <w:p w14:paraId="5C7C594D" w14:textId="77777777" w:rsidR="0008009C" w:rsidRDefault="0008009C">
            <w:pPr>
              <w:jc w:val="right"/>
              <w:rPr>
                <w:rFonts w:ascii="宋体"/>
              </w:rPr>
            </w:pPr>
          </w:p>
        </w:tc>
      </w:tr>
      <w:tr w:rsidR="0008009C" w14:paraId="5C7C595F" w14:textId="77777777">
        <w:tc>
          <w:tcPr>
            <w:tcW w:w="0" w:type="auto"/>
            <w:gridSpan w:val="3"/>
            <w:shd w:val="clear" w:color="auto" w:fill="auto"/>
            <w:tcMar>
              <w:top w:w="40" w:type="dxa"/>
              <w:left w:w="20" w:type="dxa"/>
              <w:bottom w:w="40" w:type="dxa"/>
              <w:right w:w="20" w:type="dxa"/>
            </w:tcMar>
            <w:vAlign w:val="bottom"/>
          </w:tcPr>
          <w:p w14:paraId="5C7C594F" w14:textId="77777777" w:rsidR="0008009C" w:rsidRDefault="00936FDF">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tcPr>
          <w:p w14:paraId="5C7C595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51"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5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5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54" w14:textId="77777777" w:rsidR="0008009C" w:rsidRDefault="00936FDF">
            <w:pPr>
              <w:jc w:val="right"/>
              <w:textAlignment w:val="bottom"/>
            </w:pPr>
            <w:r>
              <w:rPr>
                <w:rFonts w:ascii="Arial" w:eastAsia="宋体" w:hAnsi="Arial" w:cs="Arial"/>
                <w:color w:val="262626"/>
                <w:sz w:val="18"/>
                <w:szCs w:val="18"/>
              </w:rPr>
              <w:t>449 </w:t>
            </w:r>
          </w:p>
        </w:tc>
        <w:tc>
          <w:tcPr>
            <w:tcW w:w="0" w:type="auto"/>
            <w:shd w:val="clear" w:color="auto" w:fill="auto"/>
            <w:tcMar>
              <w:top w:w="40" w:type="dxa"/>
              <w:left w:w="0" w:type="dxa"/>
              <w:bottom w:w="40" w:type="dxa"/>
              <w:right w:w="20" w:type="dxa"/>
            </w:tcMar>
            <w:vAlign w:val="bottom"/>
          </w:tcPr>
          <w:p w14:paraId="5C7C595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5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57"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5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5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5A"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5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5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5D" w14:textId="77777777" w:rsidR="0008009C" w:rsidRDefault="00936FDF">
            <w:pPr>
              <w:jc w:val="right"/>
              <w:textAlignment w:val="bottom"/>
            </w:pPr>
            <w:r>
              <w:rPr>
                <w:rFonts w:ascii="Arial" w:eastAsia="宋体" w:hAnsi="Arial" w:cs="Arial"/>
                <w:color w:val="262626"/>
                <w:sz w:val="18"/>
                <w:szCs w:val="18"/>
              </w:rPr>
              <w:t>449 </w:t>
            </w:r>
          </w:p>
        </w:tc>
        <w:tc>
          <w:tcPr>
            <w:tcW w:w="0" w:type="auto"/>
            <w:shd w:val="clear" w:color="auto" w:fill="auto"/>
            <w:tcMar>
              <w:top w:w="40" w:type="dxa"/>
              <w:left w:w="0" w:type="dxa"/>
              <w:bottom w:w="40" w:type="dxa"/>
              <w:right w:w="20" w:type="dxa"/>
            </w:tcMar>
            <w:vAlign w:val="bottom"/>
          </w:tcPr>
          <w:p w14:paraId="5C7C595E" w14:textId="77777777" w:rsidR="0008009C" w:rsidRDefault="0008009C">
            <w:pPr>
              <w:jc w:val="right"/>
              <w:rPr>
                <w:rFonts w:ascii="宋体"/>
              </w:rPr>
            </w:pPr>
          </w:p>
        </w:tc>
      </w:tr>
      <w:tr w:rsidR="0008009C" w14:paraId="5C7C5970" w14:textId="77777777">
        <w:tc>
          <w:tcPr>
            <w:tcW w:w="0" w:type="auto"/>
            <w:gridSpan w:val="3"/>
            <w:shd w:val="clear" w:color="auto" w:fill="auto"/>
            <w:tcMar>
              <w:top w:w="40" w:type="dxa"/>
              <w:left w:w="20" w:type="dxa"/>
              <w:bottom w:w="40" w:type="dxa"/>
              <w:right w:w="20" w:type="dxa"/>
            </w:tcMar>
            <w:vAlign w:val="bottom"/>
          </w:tcPr>
          <w:p w14:paraId="5C7C5960" w14:textId="77777777" w:rsidR="0008009C" w:rsidRDefault="00936FDF">
            <w:pPr>
              <w:textAlignment w:val="bottom"/>
            </w:pPr>
            <w:r>
              <w:rPr>
                <w:rFonts w:ascii="Arial" w:eastAsia="宋体" w:hAnsi="Arial" w:cs="Arial"/>
                <w:color w:val="262626"/>
                <w:sz w:val="18"/>
                <w:szCs w:val="18"/>
              </w:rPr>
              <w:t>Temporary equity reduction</w:t>
            </w:r>
          </w:p>
        </w:tc>
        <w:tc>
          <w:tcPr>
            <w:tcW w:w="0" w:type="auto"/>
            <w:gridSpan w:val="3"/>
            <w:shd w:val="clear" w:color="auto" w:fill="auto"/>
            <w:tcMar>
              <w:top w:w="0" w:type="dxa"/>
              <w:left w:w="20" w:type="dxa"/>
              <w:bottom w:w="0" w:type="dxa"/>
              <w:right w:w="20" w:type="dxa"/>
            </w:tcMar>
          </w:tcPr>
          <w:p w14:paraId="5C7C596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62"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6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6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65" w14:textId="77777777" w:rsidR="0008009C" w:rsidRDefault="00936FDF">
            <w:pPr>
              <w:jc w:val="right"/>
              <w:textAlignment w:val="bottom"/>
            </w:pPr>
            <w:r>
              <w:rPr>
                <w:rFonts w:ascii="Arial" w:eastAsia="宋体" w:hAnsi="Arial" w:cs="Arial"/>
                <w:color w:val="262626"/>
                <w:sz w:val="18"/>
                <w:szCs w:val="18"/>
              </w:rPr>
              <w:t>155 </w:t>
            </w:r>
          </w:p>
        </w:tc>
        <w:tc>
          <w:tcPr>
            <w:tcW w:w="0" w:type="auto"/>
            <w:shd w:val="clear" w:color="auto" w:fill="auto"/>
            <w:tcMar>
              <w:top w:w="40" w:type="dxa"/>
              <w:left w:w="0" w:type="dxa"/>
              <w:bottom w:w="40" w:type="dxa"/>
              <w:right w:w="20" w:type="dxa"/>
            </w:tcMar>
            <w:vAlign w:val="bottom"/>
          </w:tcPr>
          <w:p w14:paraId="5C7C596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6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68"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6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6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6B"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6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6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6E" w14:textId="77777777" w:rsidR="0008009C" w:rsidRDefault="00936FDF">
            <w:pPr>
              <w:jc w:val="right"/>
              <w:textAlignment w:val="bottom"/>
            </w:pPr>
            <w:r>
              <w:rPr>
                <w:rFonts w:ascii="Arial" w:eastAsia="宋体" w:hAnsi="Arial" w:cs="Arial"/>
                <w:color w:val="262626"/>
                <w:sz w:val="18"/>
                <w:szCs w:val="18"/>
              </w:rPr>
              <w:t>155 </w:t>
            </w:r>
          </w:p>
        </w:tc>
        <w:tc>
          <w:tcPr>
            <w:tcW w:w="0" w:type="auto"/>
            <w:shd w:val="clear" w:color="auto" w:fill="auto"/>
            <w:tcMar>
              <w:top w:w="40" w:type="dxa"/>
              <w:left w:w="0" w:type="dxa"/>
              <w:bottom w:w="40" w:type="dxa"/>
              <w:right w:w="20" w:type="dxa"/>
            </w:tcMar>
            <w:vAlign w:val="bottom"/>
          </w:tcPr>
          <w:p w14:paraId="5C7C596F" w14:textId="77777777" w:rsidR="0008009C" w:rsidRDefault="0008009C">
            <w:pPr>
              <w:jc w:val="right"/>
              <w:rPr>
                <w:rFonts w:ascii="宋体"/>
              </w:rPr>
            </w:pPr>
          </w:p>
        </w:tc>
      </w:tr>
      <w:tr w:rsidR="0008009C" w14:paraId="5C7C5981" w14:textId="77777777">
        <w:tc>
          <w:tcPr>
            <w:tcW w:w="0" w:type="auto"/>
            <w:gridSpan w:val="3"/>
            <w:shd w:val="clear" w:color="auto" w:fill="auto"/>
            <w:tcMar>
              <w:top w:w="40" w:type="dxa"/>
              <w:left w:w="20" w:type="dxa"/>
              <w:bottom w:w="40" w:type="dxa"/>
              <w:right w:w="20" w:type="dxa"/>
            </w:tcMar>
            <w:vAlign w:val="bottom"/>
          </w:tcPr>
          <w:p w14:paraId="5C7C5971" w14:textId="77777777" w:rsidR="0008009C" w:rsidRDefault="00936FDF">
            <w:pPr>
              <w:textAlignment w:val="bottom"/>
            </w:pPr>
            <w:r>
              <w:rPr>
                <w:rFonts w:ascii="Arial" w:eastAsia="宋体" w:hAnsi="Arial" w:cs="Arial"/>
                <w:color w:val="262626"/>
                <w:sz w:val="18"/>
                <w:szCs w:val="18"/>
              </w:rPr>
              <w:t>Convertible debt</w:t>
            </w:r>
          </w:p>
        </w:tc>
        <w:tc>
          <w:tcPr>
            <w:tcW w:w="0" w:type="auto"/>
            <w:gridSpan w:val="3"/>
            <w:shd w:val="clear" w:color="auto" w:fill="auto"/>
            <w:tcMar>
              <w:top w:w="0" w:type="dxa"/>
              <w:left w:w="20" w:type="dxa"/>
              <w:bottom w:w="0" w:type="dxa"/>
              <w:right w:w="20" w:type="dxa"/>
            </w:tcMar>
          </w:tcPr>
          <w:p w14:paraId="5C7C597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73"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7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7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76" w14:textId="77777777" w:rsidR="0008009C" w:rsidRDefault="00936FDF">
            <w:pPr>
              <w:jc w:val="right"/>
              <w:textAlignment w:val="bottom"/>
            </w:pPr>
            <w:r>
              <w:rPr>
                <w:rFonts w:ascii="Arial" w:eastAsia="宋体" w:hAnsi="Arial" w:cs="Arial"/>
                <w:color w:val="262626"/>
                <w:sz w:val="18"/>
                <w:szCs w:val="18"/>
              </w:rPr>
              <w:t>(750)</w:t>
            </w:r>
          </w:p>
        </w:tc>
        <w:tc>
          <w:tcPr>
            <w:tcW w:w="0" w:type="auto"/>
            <w:shd w:val="clear" w:color="auto" w:fill="auto"/>
            <w:tcMar>
              <w:top w:w="40" w:type="dxa"/>
              <w:left w:w="0" w:type="dxa"/>
              <w:bottom w:w="40" w:type="dxa"/>
              <w:right w:w="20" w:type="dxa"/>
            </w:tcMar>
            <w:vAlign w:val="bottom"/>
          </w:tcPr>
          <w:p w14:paraId="5C7C597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7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79"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7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7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7C"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7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7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7F" w14:textId="77777777" w:rsidR="0008009C" w:rsidRDefault="00936FDF">
            <w:pPr>
              <w:jc w:val="right"/>
              <w:textAlignment w:val="bottom"/>
            </w:pPr>
            <w:r>
              <w:rPr>
                <w:rFonts w:ascii="Arial" w:eastAsia="宋体" w:hAnsi="Arial" w:cs="Arial"/>
                <w:color w:val="262626"/>
                <w:sz w:val="18"/>
                <w:szCs w:val="18"/>
              </w:rPr>
              <w:t>(750)</w:t>
            </w:r>
          </w:p>
        </w:tc>
        <w:tc>
          <w:tcPr>
            <w:tcW w:w="0" w:type="auto"/>
            <w:shd w:val="clear" w:color="auto" w:fill="auto"/>
            <w:tcMar>
              <w:top w:w="40" w:type="dxa"/>
              <w:left w:w="0" w:type="dxa"/>
              <w:bottom w:w="40" w:type="dxa"/>
              <w:right w:w="20" w:type="dxa"/>
            </w:tcMar>
            <w:vAlign w:val="bottom"/>
          </w:tcPr>
          <w:p w14:paraId="5C7C5980" w14:textId="77777777" w:rsidR="0008009C" w:rsidRDefault="0008009C">
            <w:pPr>
              <w:jc w:val="right"/>
              <w:rPr>
                <w:rFonts w:ascii="宋体"/>
              </w:rPr>
            </w:pPr>
          </w:p>
        </w:tc>
      </w:tr>
      <w:tr w:rsidR="0008009C" w14:paraId="5C7C598D" w14:textId="77777777">
        <w:trPr>
          <w:hidden/>
        </w:trPr>
        <w:tc>
          <w:tcPr>
            <w:tcW w:w="0" w:type="auto"/>
            <w:gridSpan w:val="3"/>
            <w:shd w:val="clear" w:color="auto" w:fill="auto"/>
          </w:tcPr>
          <w:p w14:paraId="5C7C5982" w14:textId="77777777" w:rsidR="0008009C" w:rsidRDefault="0008009C">
            <w:pPr>
              <w:rPr>
                <w:rFonts w:ascii="宋体"/>
                <w:vanish/>
              </w:rPr>
            </w:pPr>
          </w:p>
        </w:tc>
        <w:tc>
          <w:tcPr>
            <w:tcW w:w="0" w:type="auto"/>
            <w:gridSpan w:val="3"/>
            <w:shd w:val="clear" w:color="auto" w:fill="auto"/>
          </w:tcPr>
          <w:p w14:paraId="5C7C5983" w14:textId="77777777" w:rsidR="0008009C" w:rsidRDefault="0008009C">
            <w:pPr>
              <w:rPr>
                <w:rFonts w:ascii="宋体"/>
                <w:vanish/>
              </w:rPr>
            </w:pPr>
          </w:p>
        </w:tc>
        <w:tc>
          <w:tcPr>
            <w:tcW w:w="0" w:type="auto"/>
            <w:gridSpan w:val="3"/>
            <w:shd w:val="clear" w:color="auto" w:fill="auto"/>
          </w:tcPr>
          <w:p w14:paraId="5C7C5984" w14:textId="77777777" w:rsidR="0008009C" w:rsidRDefault="0008009C">
            <w:pPr>
              <w:rPr>
                <w:rFonts w:ascii="宋体"/>
                <w:vanish/>
              </w:rPr>
            </w:pPr>
          </w:p>
        </w:tc>
        <w:tc>
          <w:tcPr>
            <w:tcW w:w="0" w:type="auto"/>
            <w:gridSpan w:val="3"/>
            <w:shd w:val="clear" w:color="auto" w:fill="auto"/>
          </w:tcPr>
          <w:p w14:paraId="5C7C5985" w14:textId="77777777" w:rsidR="0008009C" w:rsidRDefault="0008009C">
            <w:pPr>
              <w:rPr>
                <w:rFonts w:ascii="宋体"/>
                <w:vanish/>
              </w:rPr>
            </w:pPr>
          </w:p>
        </w:tc>
        <w:tc>
          <w:tcPr>
            <w:tcW w:w="0" w:type="auto"/>
            <w:gridSpan w:val="3"/>
            <w:shd w:val="clear" w:color="auto" w:fill="auto"/>
          </w:tcPr>
          <w:p w14:paraId="5C7C5986" w14:textId="77777777" w:rsidR="0008009C" w:rsidRDefault="0008009C">
            <w:pPr>
              <w:rPr>
                <w:rFonts w:ascii="宋体"/>
                <w:vanish/>
              </w:rPr>
            </w:pPr>
          </w:p>
        </w:tc>
        <w:tc>
          <w:tcPr>
            <w:tcW w:w="0" w:type="auto"/>
            <w:gridSpan w:val="3"/>
            <w:shd w:val="clear" w:color="auto" w:fill="auto"/>
          </w:tcPr>
          <w:p w14:paraId="5C7C5987" w14:textId="77777777" w:rsidR="0008009C" w:rsidRDefault="0008009C">
            <w:pPr>
              <w:rPr>
                <w:rFonts w:ascii="宋体"/>
                <w:vanish/>
              </w:rPr>
            </w:pPr>
          </w:p>
        </w:tc>
        <w:tc>
          <w:tcPr>
            <w:tcW w:w="0" w:type="auto"/>
            <w:gridSpan w:val="3"/>
            <w:shd w:val="clear" w:color="auto" w:fill="auto"/>
          </w:tcPr>
          <w:p w14:paraId="5C7C5988" w14:textId="77777777" w:rsidR="0008009C" w:rsidRDefault="0008009C">
            <w:pPr>
              <w:rPr>
                <w:rFonts w:ascii="宋体"/>
                <w:vanish/>
              </w:rPr>
            </w:pPr>
          </w:p>
        </w:tc>
        <w:tc>
          <w:tcPr>
            <w:tcW w:w="0" w:type="auto"/>
            <w:gridSpan w:val="3"/>
            <w:shd w:val="clear" w:color="auto" w:fill="auto"/>
          </w:tcPr>
          <w:p w14:paraId="5C7C5989" w14:textId="77777777" w:rsidR="0008009C" w:rsidRDefault="0008009C">
            <w:pPr>
              <w:rPr>
                <w:rFonts w:ascii="宋体"/>
                <w:vanish/>
              </w:rPr>
            </w:pPr>
          </w:p>
        </w:tc>
        <w:tc>
          <w:tcPr>
            <w:tcW w:w="0" w:type="auto"/>
            <w:gridSpan w:val="3"/>
            <w:shd w:val="clear" w:color="auto" w:fill="auto"/>
          </w:tcPr>
          <w:p w14:paraId="5C7C598A" w14:textId="77777777" w:rsidR="0008009C" w:rsidRDefault="0008009C">
            <w:pPr>
              <w:rPr>
                <w:rFonts w:ascii="宋体"/>
                <w:vanish/>
              </w:rPr>
            </w:pPr>
          </w:p>
        </w:tc>
        <w:tc>
          <w:tcPr>
            <w:tcW w:w="0" w:type="auto"/>
            <w:gridSpan w:val="3"/>
            <w:shd w:val="clear" w:color="auto" w:fill="auto"/>
          </w:tcPr>
          <w:p w14:paraId="5C7C598B" w14:textId="77777777" w:rsidR="0008009C" w:rsidRDefault="0008009C">
            <w:pPr>
              <w:rPr>
                <w:rFonts w:ascii="宋体"/>
                <w:vanish/>
              </w:rPr>
            </w:pPr>
          </w:p>
        </w:tc>
        <w:tc>
          <w:tcPr>
            <w:tcW w:w="0" w:type="auto"/>
            <w:gridSpan w:val="3"/>
            <w:shd w:val="clear" w:color="auto" w:fill="auto"/>
          </w:tcPr>
          <w:p w14:paraId="5C7C598C" w14:textId="77777777" w:rsidR="0008009C" w:rsidRDefault="0008009C">
            <w:pPr>
              <w:rPr>
                <w:rFonts w:ascii="宋体"/>
                <w:vanish/>
              </w:rPr>
            </w:pPr>
          </w:p>
        </w:tc>
      </w:tr>
      <w:tr w:rsidR="0008009C" w14:paraId="5C7C599E" w14:textId="77777777">
        <w:tc>
          <w:tcPr>
            <w:tcW w:w="0" w:type="auto"/>
            <w:gridSpan w:val="3"/>
            <w:shd w:val="clear" w:color="auto" w:fill="auto"/>
            <w:tcMar>
              <w:top w:w="40" w:type="dxa"/>
              <w:left w:w="20" w:type="dxa"/>
              <w:bottom w:w="40" w:type="dxa"/>
              <w:right w:w="20" w:type="dxa"/>
            </w:tcMar>
            <w:vAlign w:val="bottom"/>
          </w:tcPr>
          <w:p w14:paraId="5C7C598E" w14:textId="77777777" w:rsidR="0008009C" w:rsidRDefault="00936FDF">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tcPr>
          <w:p w14:paraId="5C7C598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90" w14:textId="77777777" w:rsidR="0008009C" w:rsidRDefault="00936FDF">
            <w:pPr>
              <w:jc w:val="right"/>
              <w:textAlignment w:val="bottom"/>
            </w:pPr>
            <w:r>
              <w:rPr>
                <w:rFonts w:ascii="Arial" w:eastAsia="宋体" w:hAnsi="Arial" w:cs="Arial"/>
                <w:color w:val="262626"/>
                <w:sz w:val="18"/>
                <w:szCs w:val="18"/>
              </w:rPr>
              <w:t>(71)</w:t>
            </w:r>
          </w:p>
        </w:tc>
        <w:tc>
          <w:tcPr>
            <w:tcW w:w="0" w:type="auto"/>
            <w:shd w:val="clear" w:color="auto" w:fill="auto"/>
            <w:tcMar>
              <w:top w:w="40" w:type="dxa"/>
              <w:left w:w="0" w:type="dxa"/>
              <w:bottom w:w="40" w:type="dxa"/>
              <w:right w:w="20" w:type="dxa"/>
            </w:tcMar>
            <w:vAlign w:val="bottom"/>
          </w:tcPr>
          <w:p w14:paraId="5C7C599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9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93" w14:textId="77777777" w:rsidR="0008009C" w:rsidRDefault="00936FDF">
            <w:pPr>
              <w:jc w:val="right"/>
              <w:textAlignment w:val="bottom"/>
            </w:pPr>
            <w:r>
              <w:rPr>
                <w:rFonts w:ascii="Arial" w:eastAsia="宋体" w:hAnsi="Arial" w:cs="Arial"/>
                <w:color w:val="262626"/>
                <w:sz w:val="18"/>
                <w:szCs w:val="18"/>
              </w:rPr>
              <w:t>(420)</w:t>
            </w:r>
          </w:p>
        </w:tc>
        <w:tc>
          <w:tcPr>
            <w:tcW w:w="0" w:type="auto"/>
            <w:shd w:val="clear" w:color="auto" w:fill="auto"/>
            <w:tcMar>
              <w:top w:w="40" w:type="dxa"/>
              <w:left w:w="0" w:type="dxa"/>
              <w:bottom w:w="40" w:type="dxa"/>
              <w:right w:w="20" w:type="dxa"/>
            </w:tcMar>
            <w:vAlign w:val="bottom"/>
          </w:tcPr>
          <w:p w14:paraId="5C7C599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9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96"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9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9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99" w14:textId="77777777" w:rsidR="0008009C" w:rsidRDefault="00936FDF">
            <w:pPr>
              <w:jc w:val="right"/>
              <w:textAlignment w:val="bottom"/>
            </w:pPr>
            <w:r>
              <w:rPr>
                <w:rFonts w:ascii="Arial" w:eastAsia="宋体" w:hAnsi="Arial" w:cs="Arial"/>
                <w:color w:val="262626"/>
                <w:sz w:val="18"/>
                <w:szCs w:val="18"/>
              </w:rPr>
              <w:t>(3,689)</w:t>
            </w:r>
          </w:p>
        </w:tc>
        <w:tc>
          <w:tcPr>
            <w:tcW w:w="0" w:type="auto"/>
            <w:shd w:val="clear" w:color="auto" w:fill="auto"/>
            <w:tcMar>
              <w:top w:w="40" w:type="dxa"/>
              <w:left w:w="0" w:type="dxa"/>
              <w:bottom w:w="40" w:type="dxa"/>
              <w:right w:w="20" w:type="dxa"/>
            </w:tcMar>
            <w:vAlign w:val="bottom"/>
          </w:tcPr>
          <w:p w14:paraId="5C7C599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9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9C" w14:textId="77777777" w:rsidR="0008009C" w:rsidRDefault="00936FDF">
            <w:pPr>
              <w:jc w:val="right"/>
              <w:textAlignment w:val="bottom"/>
            </w:pPr>
            <w:r>
              <w:rPr>
                <w:rFonts w:ascii="Arial" w:eastAsia="宋体" w:hAnsi="Arial" w:cs="Arial"/>
                <w:color w:val="262626"/>
                <w:sz w:val="18"/>
                <w:szCs w:val="18"/>
              </w:rPr>
              <w:t>(4,109)</w:t>
            </w:r>
          </w:p>
        </w:tc>
        <w:tc>
          <w:tcPr>
            <w:tcW w:w="0" w:type="auto"/>
            <w:shd w:val="clear" w:color="auto" w:fill="auto"/>
            <w:tcMar>
              <w:top w:w="40" w:type="dxa"/>
              <w:left w:w="0" w:type="dxa"/>
              <w:bottom w:w="40" w:type="dxa"/>
              <w:right w:w="20" w:type="dxa"/>
            </w:tcMar>
            <w:vAlign w:val="bottom"/>
          </w:tcPr>
          <w:p w14:paraId="5C7C599D" w14:textId="77777777" w:rsidR="0008009C" w:rsidRDefault="0008009C">
            <w:pPr>
              <w:jc w:val="right"/>
              <w:rPr>
                <w:rFonts w:ascii="宋体"/>
              </w:rPr>
            </w:pPr>
          </w:p>
        </w:tc>
      </w:tr>
      <w:tr w:rsidR="0008009C" w14:paraId="5C7C59AF" w14:textId="77777777">
        <w:tc>
          <w:tcPr>
            <w:tcW w:w="0" w:type="auto"/>
            <w:gridSpan w:val="3"/>
            <w:shd w:val="clear" w:color="auto" w:fill="auto"/>
            <w:tcMar>
              <w:top w:w="40" w:type="dxa"/>
              <w:left w:w="20" w:type="dxa"/>
              <w:bottom w:w="40" w:type="dxa"/>
              <w:right w:w="20" w:type="dxa"/>
            </w:tcMar>
            <w:vAlign w:val="bottom"/>
          </w:tcPr>
          <w:p w14:paraId="5C7C599F" w14:textId="77777777" w:rsidR="0008009C" w:rsidRDefault="00936FDF">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tcPr>
          <w:p w14:paraId="5C7C59A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A1" w14:textId="77777777" w:rsidR="0008009C" w:rsidRDefault="00936FDF">
            <w:pPr>
              <w:jc w:val="right"/>
              <w:textAlignment w:val="bottom"/>
            </w:pPr>
            <w:r>
              <w:rPr>
                <w:rFonts w:ascii="Arial" w:eastAsia="宋体" w:hAnsi="Arial" w:cs="Arial"/>
                <w:color w:val="262626"/>
                <w:sz w:val="18"/>
                <w:szCs w:val="18"/>
              </w:rPr>
              <w:t>(2)</w:t>
            </w:r>
          </w:p>
        </w:tc>
        <w:tc>
          <w:tcPr>
            <w:tcW w:w="0" w:type="auto"/>
            <w:shd w:val="clear" w:color="auto" w:fill="auto"/>
            <w:tcMar>
              <w:top w:w="40" w:type="dxa"/>
              <w:left w:w="0" w:type="dxa"/>
              <w:bottom w:w="40" w:type="dxa"/>
              <w:right w:w="20" w:type="dxa"/>
            </w:tcMar>
            <w:vAlign w:val="bottom"/>
          </w:tcPr>
          <w:p w14:paraId="5C7C59A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A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A4" w14:textId="77777777" w:rsidR="0008009C" w:rsidRDefault="00936FDF">
            <w:pPr>
              <w:jc w:val="right"/>
              <w:textAlignment w:val="bottom"/>
            </w:pPr>
            <w:r>
              <w:rPr>
                <w:rFonts w:ascii="Arial" w:eastAsia="宋体" w:hAnsi="Arial" w:cs="Arial"/>
                <w:color w:val="262626"/>
                <w:sz w:val="18"/>
                <w:szCs w:val="18"/>
              </w:rPr>
              <w:t>(64)</w:t>
            </w:r>
          </w:p>
        </w:tc>
        <w:tc>
          <w:tcPr>
            <w:tcW w:w="0" w:type="auto"/>
            <w:shd w:val="clear" w:color="auto" w:fill="auto"/>
            <w:tcMar>
              <w:top w:w="40" w:type="dxa"/>
              <w:left w:w="0" w:type="dxa"/>
              <w:bottom w:w="40" w:type="dxa"/>
              <w:right w:w="20" w:type="dxa"/>
            </w:tcMar>
            <w:vAlign w:val="bottom"/>
          </w:tcPr>
          <w:p w14:paraId="5C7C59A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A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A7"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A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A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AA" w14:textId="77777777" w:rsidR="0008009C" w:rsidRDefault="00936FDF">
            <w:pPr>
              <w:jc w:val="right"/>
              <w:textAlignment w:val="bottom"/>
            </w:pPr>
            <w:r>
              <w:rPr>
                <w:rFonts w:ascii="Arial" w:eastAsia="宋体" w:hAnsi="Arial" w:cs="Arial"/>
                <w:color w:val="262626"/>
                <w:sz w:val="18"/>
                <w:szCs w:val="18"/>
              </w:rPr>
              <w:t>(32)</w:t>
            </w:r>
          </w:p>
        </w:tc>
        <w:tc>
          <w:tcPr>
            <w:tcW w:w="0" w:type="auto"/>
            <w:shd w:val="clear" w:color="auto" w:fill="auto"/>
            <w:tcMar>
              <w:top w:w="40" w:type="dxa"/>
              <w:left w:w="0" w:type="dxa"/>
              <w:bottom w:w="40" w:type="dxa"/>
              <w:right w:w="20" w:type="dxa"/>
            </w:tcMar>
            <w:vAlign w:val="bottom"/>
          </w:tcPr>
          <w:p w14:paraId="5C7C59A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A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AD" w14:textId="77777777" w:rsidR="0008009C" w:rsidRDefault="00936FDF">
            <w:pPr>
              <w:jc w:val="right"/>
              <w:textAlignment w:val="bottom"/>
            </w:pPr>
            <w:r>
              <w:rPr>
                <w:rFonts w:ascii="Arial" w:eastAsia="宋体" w:hAnsi="Arial" w:cs="Arial"/>
                <w:color w:val="262626"/>
                <w:sz w:val="18"/>
                <w:szCs w:val="18"/>
              </w:rPr>
              <w:t>(96)</w:t>
            </w:r>
          </w:p>
        </w:tc>
        <w:tc>
          <w:tcPr>
            <w:tcW w:w="0" w:type="auto"/>
            <w:shd w:val="clear" w:color="auto" w:fill="auto"/>
            <w:tcMar>
              <w:top w:w="40" w:type="dxa"/>
              <w:left w:w="0" w:type="dxa"/>
              <w:bottom w:w="40" w:type="dxa"/>
              <w:right w:w="20" w:type="dxa"/>
            </w:tcMar>
            <w:vAlign w:val="bottom"/>
          </w:tcPr>
          <w:p w14:paraId="5C7C59AE" w14:textId="77777777" w:rsidR="0008009C" w:rsidRDefault="0008009C">
            <w:pPr>
              <w:jc w:val="right"/>
              <w:rPr>
                <w:rFonts w:ascii="宋体"/>
              </w:rPr>
            </w:pPr>
          </w:p>
        </w:tc>
      </w:tr>
      <w:tr w:rsidR="0008009C" w14:paraId="5C7C59C0" w14:textId="77777777">
        <w:tc>
          <w:tcPr>
            <w:tcW w:w="0" w:type="auto"/>
            <w:gridSpan w:val="3"/>
            <w:shd w:val="clear" w:color="auto" w:fill="auto"/>
            <w:tcMar>
              <w:top w:w="40" w:type="dxa"/>
              <w:left w:w="20" w:type="dxa"/>
              <w:bottom w:w="40" w:type="dxa"/>
              <w:right w:w="20" w:type="dxa"/>
            </w:tcMar>
            <w:vAlign w:val="bottom"/>
          </w:tcPr>
          <w:p w14:paraId="5C7C59B0" w14:textId="77777777" w:rsidR="0008009C" w:rsidRDefault="00936FDF">
            <w:pPr>
              <w:textAlignment w:val="bottom"/>
            </w:pPr>
            <w:r>
              <w:rPr>
                <w:rFonts w:ascii="Arial" w:eastAsia="宋体" w:hAnsi="Arial" w:cs="Arial"/>
                <w:color w:val="262626"/>
                <w:sz w:val="18"/>
                <w:szCs w:val="18"/>
              </w:rPr>
              <w:t>Cash dividends declared ($0.66 per share)</w:t>
            </w:r>
          </w:p>
        </w:tc>
        <w:tc>
          <w:tcPr>
            <w:tcW w:w="0" w:type="auto"/>
            <w:gridSpan w:val="3"/>
            <w:shd w:val="clear" w:color="auto" w:fill="auto"/>
            <w:tcMar>
              <w:top w:w="0" w:type="dxa"/>
              <w:left w:w="20" w:type="dxa"/>
              <w:bottom w:w="0" w:type="dxa"/>
              <w:right w:w="20" w:type="dxa"/>
            </w:tcMar>
          </w:tcPr>
          <w:p w14:paraId="5C7C59B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B2"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B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B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B5"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B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B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B8"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9B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B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BB" w14:textId="77777777" w:rsidR="0008009C" w:rsidRDefault="00936FDF">
            <w:pPr>
              <w:jc w:val="right"/>
              <w:textAlignment w:val="bottom"/>
            </w:pPr>
            <w:r>
              <w:rPr>
                <w:rFonts w:ascii="Arial" w:eastAsia="宋体" w:hAnsi="Arial" w:cs="Arial"/>
                <w:color w:val="262626"/>
                <w:sz w:val="18"/>
                <w:szCs w:val="18"/>
              </w:rPr>
              <w:t>(2,819)</w:t>
            </w:r>
          </w:p>
        </w:tc>
        <w:tc>
          <w:tcPr>
            <w:tcW w:w="0" w:type="auto"/>
            <w:shd w:val="clear" w:color="auto" w:fill="auto"/>
            <w:tcMar>
              <w:top w:w="40" w:type="dxa"/>
              <w:left w:w="0" w:type="dxa"/>
              <w:bottom w:w="40" w:type="dxa"/>
              <w:right w:w="20" w:type="dxa"/>
            </w:tcMar>
            <w:vAlign w:val="bottom"/>
          </w:tcPr>
          <w:p w14:paraId="5C7C59B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B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9BE" w14:textId="77777777" w:rsidR="0008009C" w:rsidRDefault="00936FDF">
            <w:pPr>
              <w:jc w:val="right"/>
              <w:textAlignment w:val="bottom"/>
            </w:pPr>
            <w:r>
              <w:rPr>
                <w:rFonts w:ascii="Arial" w:eastAsia="宋体" w:hAnsi="Arial" w:cs="Arial"/>
                <w:color w:val="262626"/>
                <w:sz w:val="18"/>
                <w:szCs w:val="18"/>
              </w:rPr>
              <w:t>(2,819)</w:t>
            </w:r>
          </w:p>
        </w:tc>
        <w:tc>
          <w:tcPr>
            <w:tcW w:w="0" w:type="auto"/>
            <w:shd w:val="clear" w:color="auto" w:fill="auto"/>
            <w:tcMar>
              <w:top w:w="40" w:type="dxa"/>
              <w:left w:w="0" w:type="dxa"/>
              <w:bottom w:w="40" w:type="dxa"/>
              <w:right w:w="20" w:type="dxa"/>
            </w:tcMar>
            <w:vAlign w:val="bottom"/>
          </w:tcPr>
          <w:p w14:paraId="5C7C59BF" w14:textId="77777777" w:rsidR="0008009C" w:rsidRDefault="0008009C">
            <w:pPr>
              <w:jc w:val="right"/>
              <w:rPr>
                <w:rFonts w:ascii="宋体"/>
              </w:rPr>
            </w:pPr>
          </w:p>
        </w:tc>
      </w:tr>
      <w:tr w:rsidR="0008009C" w14:paraId="5C7C59CC" w14:textId="77777777">
        <w:trPr>
          <w:hidden/>
        </w:trPr>
        <w:tc>
          <w:tcPr>
            <w:tcW w:w="0" w:type="auto"/>
            <w:gridSpan w:val="3"/>
            <w:shd w:val="clear" w:color="auto" w:fill="auto"/>
          </w:tcPr>
          <w:p w14:paraId="5C7C59C1" w14:textId="77777777" w:rsidR="0008009C" w:rsidRDefault="0008009C">
            <w:pPr>
              <w:rPr>
                <w:rFonts w:ascii="宋体"/>
                <w:vanish/>
              </w:rPr>
            </w:pPr>
          </w:p>
        </w:tc>
        <w:tc>
          <w:tcPr>
            <w:tcW w:w="0" w:type="auto"/>
            <w:gridSpan w:val="3"/>
            <w:shd w:val="clear" w:color="auto" w:fill="auto"/>
          </w:tcPr>
          <w:p w14:paraId="5C7C59C2" w14:textId="77777777" w:rsidR="0008009C" w:rsidRDefault="0008009C">
            <w:pPr>
              <w:rPr>
                <w:rFonts w:ascii="宋体"/>
                <w:vanish/>
              </w:rPr>
            </w:pPr>
          </w:p>
        </w:tc>
        <w:tc>
          <w:tcPr>
            <w:tcW w:w="0" w:type="auto"/>
            <w:gridSpan w:val="3"/>
            <w:shd w:val="clear" w:color="auto" w:fill="auto"/>
          </w:tcPr>
          <w:p w14:paraId="5C7C59C3" w14:textId="77777777" w:rsidR="0008009C" w:rsidRDefault="0008009C">
            <w:pPr>
              <w:rPr>
                <w:rFonts w:ascii="宋体"/>
                <w:vanish/>
              </w:rPr>
            </w:pPr>
          </w:p>
        </w:tc>
        <w:tc>
          <w:tcPr>
            <w:tcW w:w="0" w:type="auto"/>
            <w:gridSpan w:val="3"/>
            <w:shd w:val="clear" w:color="auto" w:fill="auto"/>
          </w:tcPr>
          <w:p w14:paraId="5C7C59C4" w14:textId="77777777" w:rsidR="0008009C" w:rsidRDefault="0008009C">
            <w:pPr>
              <w:rPr>
                <w:rFonts w:ascii="宋体"/>
                <w:vanish/>
              </w:rPr>
            </w:pPr>
          </w:p>
        </w:tc>
        <w:tc>
          <w:tcPr>
            <w:tcW w:w="0" w:type="auto"/>
            <w:gridSpan w:val="3"/>
            <w:shd w:val="clear" w:color="auto" w:fill="auto"/>
          </w:tcPr>
          <w:p w14:paraId="5C7C59C5" w14:textId="77777777" w:rsidR="0008009C" w:rsidRDefault="0008009C">
            <w:pPr>
              <w:rPr>
                <w:rFonts w:ascii="宋体"/>
                <w:vanish/>
              </w:rPr>
            </w:pPr>
          </w:p>
        </w:tc>
        <w:tc>
          <w:tcPr>
            <w:tcW w:w="0" w:type="auto"/>
            <w:gridSpan w:val="3"/>
            <w:shd w:val="clear" w:color="auto" w:fill="auto"/>
          </w:tcPr>
          <w:p w14:paraId="5C7C59C6" w14:textId="77777777" w:rsidR="0008009C" w:rsidRDefault="0008009C">
            <w:pPr>
              <w:rPr>
                <w:rFonts w:ascii="宋体"/>
                <w:vanish/>
              </w:rPr>
            </w:pPr>
          </w:p>
        </w:tc>
        <w:tc>
          <w:tcPr>
            <w:tcW w:w="0" w:type="auto"/>
            <w:gridSpan w:val="3"/>
            <w:shd w:val="clear" w:color="auto" w:fill="auto"/>
          </w:tcPr>
          <w:p w14:paraId="5C7C59C7" w14:textId="77777777" w:rsidR="0008009C" w:rsidRDefault="0008009C">
            <w:pPr>
              <w:rPr>
                <w:rFonts w:ascii="宋体"/>
                <w:vanish/>
              </w:rPr>
            </w:pPr>
          </w:p>
        </w:tc>
        <w:tc>
          <w:tcPr>
            <w:tcW w:w="0" w:type="auto"/>
            <w:gridSpan w:val="3"/>
            <w:shd w:val="clear" w:color="auto" w:fill="auto"/>
          </w:tcPr>
          <w:p w14:paraId="5C7C59C8" w14:textId="77777777" w:rsidR="0008009C" w:rsidRDefault="0008009C">
            <w:pPr>
              <w:rPr>
                <w:rFonts w:ascii="宋体"/>
                <w:vanish/>
              </w:rPr>
            </w:pPr>
          </w:p>
        </w:tc>
        <w:tc>
          <w:tcPr>
            <w:tcW w:w="0" w:type="auto"/>
            <w:gridSpan w:val="3"/>
            <w:shd w:val="clear" w:color="auto" w:fill="auto"/>
          </w:tcPr>
          <w:p w14:paraId="5C7C59C9" w14:textId="77777777" w:rsidR="0008009C" w:rsidRDefault="0008009C">
            <w:pPr>
              <w:rPr>
                <w:rFonts w:ascii="宋体"/>
                <w:vanish/>
              </w:rPr>
            </w:pPr>
          </w:p>
        </w:tc>
        <w:tc>
          <w:tcPr>
            <w:tcW w:w="0" w:type="auto"/>
            <w:gridSpan w:val="3"/>
            <w:shd w:val="clear" w:color="auto" w:fill="auto"/>
          </w:tcPr>
          <w:p w14:paraId="5C7C59CA" w14:textId="77777777" w:rsidR="0008009C" w:rsidRDefault="0008009C">
            <w:pPr>
              <w:rPr>
                <w:rFonts w:ascii="宋体"/>
                <w:vanish/>
              </w:rPr>
            </w:pPr>
          </w:p>
        </w:tc>
        <w:tc>
          <w:tcPr>
            <w:tcW w:w="0" w:type="auto"/>
            <w:gridSpan w:val="3"/>
            <w:shd w:val="clear" w:color="auto" w:fill="auto"/>
          </w:tcPr>
          <w:p w14:paraId="5C7C59CB" w14:textId="77777777" w:rsidR="0008009C" w:rsidRDefault="0008009C">
            <w:pPr>
              <w:rPr>
                <w:rFonts w:ascii="宋体"/>
                <w:vanish/>
              </w:rPr>
            </w:pPr>
          </w:p>
        </w:tc>
      </w:tr>
      <w:tr w:rsidR="0008009C" w14:paraId="5C7C59E1" w14:textId="77777777">
        <w:tc>
          <w:tcPr>
            <w:tcW w:w="0" w:type="auto"/>
            <w:gridSpan w:val="3"/>
            <w:shd w:val="clear" w:color="auto" w:fill="auto"/>
            <w:tcMar>
              <w:top w:w="40" w:type="dxa"/>
              <w:left w:w="20" w:type="dxa"/>
              <w:bottom w:w="40" w:type="dxa"/>
              <w:right w:w="20" w:type="dxa"/>
            </w:tcMar>
            <w:vAlign w:val="bottom"/>
          </w:tcPr>
          <w:p w14:paraId="5C7C59CD" w14:textId="77777777" w:rsidR="0008009C" w:rsidRDefault="00936FDF">
            <w:pPr>
              <w:textAlignment w:val="bottom"/>
            </w:pPr>
            <w:r>
              <w:rPr>
                <w:rFonts w:ascii="Arial" w:eastAsia="宋体" w:hAnsi="Arial" w:cs="Arial"/>
                <w:b/>
                <w:bCs/>
                <w:color w:val="262626"/>
                <w:sz w:val="18"/>
                <w:szCs w:val="18"/>
              </w:rPr>
              <w:t>Balance as of March 28, 2020</w:t>
            </w:r>
          </w:p>
        </w:tc>
        <w:tc>
          <w:tcPr>
            <w:tcW w:w="0" w:type="auto"/>
            <w:gridSpan w:val="3"/>
            <w:shd w:val="clear" w:color="auto" w:fill="auto"/>
            <w:tcMar>
              <w:top w:w="0" w:type="dxa"/>
              <w:left w:w="20" w:type="dxa"/>
              <w:bottom w:w="0" w:type="dxa"/>
              <w:right w:w="20" w:type="dxa"/>
            </w:tcMar>
          </w:tcPr>
          <w:p w14:paraId="5C7C59CE" w14:textId="77777777" w:rsidR="0008009C" w:rsidRDefault="0008009C">
            <w:pPr>
              <w:rPr>
                <w:rFonts w:ascii="宋体"/>
              </w:rPr>
            </w:pPr>
          </w:p>
        </w:tc>
        <w:tc>
          <w:tcPr>
            <w:tcW w:w="0" w:type="auto"/>
            <w:gridSpan w:val="2"/>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9CF" w14:textId="77777777" w:rsidR="0008009C" w:rsidRDefault="00936FDF">
            <w:pPr>
              <w:jc w:val="right"/>
              <w:textAlignment w:val="bottom"/>
            </w:pPr>
            <w:r>
              <w:rPr>
                <w:rFonts w:ascii="Arial" w:eastAsia="宋体" w:hAnsi="Arial" w:cs="Arial"/>
                <w:b/>
                <w:bCs/>
                <w:color w:val="262626"/>
                <w:sz w:val="18"/>
                <w:szCs w:val="18"/>
              </w:rPr>
              <w:t>4,234</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9D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D1"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9D2"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9D3" w14:textId="77777777" w:rsidR="0008009C" w:rsidRDefault="00936FDF">
            <w:pPr>
              <w:jc w:val="right"/>
              <w:textAlignment w:val="bottom"/>
            </w:pPr>
            <w:r>
              <w:rPr>
                <w:rFonts w:ascii="Arial" w:eastAsia="宋体" w:hAnsi="Arial" w:cs="Arial"/>
                <w:b/>
                <w:bCs/>
                <w:color w:val="262626"/>
                <w:sz w:val="18"/>
                <w:szCs w:val="18"/>
              </w:rPr>
              <w:t>25,251</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9D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D5"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9D6"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9D7" w14:textId="77777777" w:rsidR="0008009C" w:rsidRDefault="00936FDF">
            <w:pPr>
              <w:jc w:val="right"/>
              <w:textAlignment w:val="bottom"/>
            </w:pPr>
            <w:r>
              <w:rPr>
                <w:rFonts w:ascii="Arial" w:eastAsia="宋体" w:hAnsi="Arial" w:cs="Arial"/>
                <w:b/>
                <w:bCs/>
                <w:color w:val="262626"/>
                <w:sz w:val="18"/>
                <w:szCs w:val="18"/>
              </w:rPr>
              <w:t>(1,541)</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9D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D9"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9DA"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9DB" w14:textId="77777777" w:rsidR="0008009C" w:rsidRDefault="00936FDF">
            <w:pPr>
              <w:jc w:val="right"/>
              <w:textAlignment w:val="bottom"/>
            </w:pPr>
            <w:r>
              <w:rPr>
                <w:rFonts w:ascii="Arial" w:eastAsia="宋体" w:hAnsi="Arial" w:cs="Arial"/>
                <w:b/>
                <w:bCs/>
                <w:color w:val="262626"/>
                <w:sz w:val="18"/>
                <w:szCs w:val="18"/>
              </w:rPr>
              <w:t>52,644</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9D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9DD"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9DE"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9DF" w14:textId="77777777" w:rsidR="0008009C" w:rsidRDefault="00936FDF">
            <w:pPr>
              <w:jc w:val="right"/>
              <w:textAlignment w:val="bottom"/>
            </w:pPr>
            <w:r>
              <w:rPr>
                <w:rFonts w:ascii="Arial" w:eastAsia="宋体" w:hAnsi="Arial" w:cs="Arial"/>
                <w:b/>
                <w:bCs/>
                <w:color w:val="262626"/>
                <w:sz w:val="18"/>
                <w:szCs w:val="18"/>
              </w:rPr>
              <w:t>76,354</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9E0" w14:textId="77777777" w:rsidR="0008009C" w:rsidRDefault="0008009C">
            <w:pPr>
              <w:jc w:val="right"/>
              <w:rPr>
                <w:rFonts w:ascii="宋体"/>
              </w:rPr>
            </w:pPr>
          </w:p>
        </w:tc>
      </w:tr>
      <w:tr w:rsidR="0008009C" w14:paraId="5C7C59ED" w14:textId="77777777">
        <w:trPr>
          <w:hidden/>
        </w:trPr>
        <w:tc>
          <w:tcPr>
            <w:tcW w:w="0" w:type="auto"/>
            <w:gridSpan w:val="3"/>
            <w:shd w:val="clear" w:color="auto" w:fill="auto"/>
          </w:tcPr>
          <w:p w14:paraId="5C7C59E2" w14:textId="77777777" w:rsidR="0008009C" w:rsidRDefault="0008009C">
            <w:pPr>
              <w:rPr>
                <w:rFonts w:ascii="宋体"/>
                <w:vanish/>
              </w:rPr>
            </w:pPr>
          </w:p>
        </w:tc>
        <w:tc>
          <w:tcPr>
            <w:tcW w:w="0" w:type="auto"/>
            <w:gridSpan w:val="3"/>
            <w:shd w:val="clear" w:color="auto" w:fill="auto"/>
          </w:tcPr>
          <w:p w14:paraId="5C7C59E3" w14:textId="77777777" w:rsidR="0008009C" w:rsidRDefault="0008009C">
            <w:pPr>
              <w:rPr>
                <w:rFonts w:ascii="宋体"/>
                <w:vanish/>
              </w:rPr>
            </w:pPr>
          </w:p>
        </w:tc>
        <w:tc>
          <w:tcPr>
            <w:tcW w:w="0" w:type="auto"/>
            <w:gridSpan w:val="3"/>
            <w:shd w:val="clear" w:color="auto" w:fill="auto"/>
          </w:tcPr>
          <w:p w14:paraId="5C7C59E4" w14:textId="77777777" w:rsidR="0008009C" w:rsidRDefault="0008009C">
            <w:pPr>
              <w:rPr>
                <w:rFonts w:ascii="宋体"/>
                <w:vanish/>
              </w:rPr>
            </w:pPr>
          </w:p>
        </w:tc>
        <w:tc>
          <w:tcPr>
            <w:tcW w:w="0" w:type="auto"/>
            <w:gridSpan w:val="3"/>
            <w:shd w:val="clear" w:color="auto" w:fill="auto"/>
          </w:tcPr>
          <w:p w14:paraId="5C7C59E5" w14:textId="77777777" w:rsidR="0008009C" w:rsidRDefault="0008009C">
            <w:pPr>
              <w:rPr>
                <w:rFonts w:ascii="宋体"/>
                <w:vanish/>
              </w:rPr>
            </w:pPr>
          </w:p>
        </w:tc>
        <w:tc>
          <w:tcPr>
            <w:tcW w:w="0" w:type="auto"/>
            <w:gridSpan w:val="3"/>
            <w:shd w:val="clear" w:color="auto" w:fill="auto"/>
          </w:tcPr>
          <w:p w14:paraId="5C7C59E6" w14:textId="77777777" w:rsidR="0008009C" w:rsidRDefault="0008009C">
            <w:pPr>
              <w:rPr>
                <w:rFonts w:ascii="宋体"/>
                <w:vanish/>
              </w:rPr>
            </w:pPr>
          </w:p>
        </w:tc>
        <w:tc>
          <w:tcPr>
            <w:tcW w:w="0" w:type="auto"/>
            <w:gridSpan w:val="3"/>
            <w:shd w:val="clear" w:color="auto" w:fill="auto"/>
          </w:tcPr>
          <w:p w14:paraId="5C7C59E7" w14:textId="77777777" w:rsidR="0008009C" w:rsidRDefault="0008009C">
            <w:pPr>
              <w:rPr>
                <w:rFonts w:ascii="宋体"/>
                <w:vanish/>
              </w:rPr>
            </w:pPr>
          </w:p>
        </w:tc>
        <w:tc>
          <w:tcPr>
            <w:tcW w:w="0" w:type="auto"/>
            <w:gridSpan w:val="3"/>
            <w:shd w:val="clear" w:color="auto" w:fill="auto"/>
          </w:tcPr>
          <w:p w14:paraId="5C7C59E8" w14:textId="77777777" w:rsidR="0008009C" w:rsidRDefault="0008009C">
            <w:pPr>
              <w:rPr>
                <w:rFonts w:ascii="宋体"/>
                <w:vanish/>
              </w:rPr>
            </w:pPr>
          </w:p>
        </w:tc>
        <w:tc>
          <w:tcPr>
            <w:tcW w:w="0" w:type="auto"/>
            <w:gridSpan w:val="3"/>
            <w:shd w:val="clear" w:color="auto" w:fill="auto"/>
          </w:tcPr>
          <w:p w14:paraId="5C7C59E9" w14:textId="77777777" w:rsidR="0008009C" w:rsidRDefault="0008009C">
            <w:pPr>
              <w:rPr>
                <w:rFonts w:ascii="宋体"/>
                <w:vanish/>
              </w:rPr>
            </w:pPr>
          </w:p>
        </w:tc>
        <w:tc>
          <w:tcPr>
            <w:tcW w:w="0" w:type="auto"/>
            <w:gridSpan w:val="3"/>
            <w:shd w:val="clear" w:color="auto" w:fill="auto"/>
          </w:tcPr>
          <w:p w14:paraId="5C7C59EA" w14:textId="77777777" w:rsidR="0008009C" w:rsidRDefault="0008009C">
            <w:pPr>
              <w:rPr>
                <w:rFonts w:ascii="宋体"/>
                <w:vanish/>
              </w:rPr>
            </w:pPr>
          </w:p>
        </w:tc>
        <w:tc>
          <w:tcPr>
            <w:tcW w:w="0" w:type="auto"/>
            <w:gridSpan w:val="3"/>
            <w:shd w:val="clear" w:color="auto" w:fill="auto"/>
          </w:tcPr>
          <w:p w14:paraId="5C7C59EB" w14:textId="77777777" w:rsidR="0008009C" w:rsidRDefault="0008009C">
            <w:pPr>
              <w:rPr>
                <w:rFonts w:ascii="宋体"/>
                <w:vanish/>
              </w:rPr>
            </w:pPr>
          </w:p>
        </w:tc>
        <w:tc>
          <w:tcPr>
            <w:tcW w:w="0" w:type="auto"/>
            <w:gridSpan w:val="3"/>
            <w:shd w:val="clear" w:color="auto" w:fill="auto"/>
          </w:tcPr>
          <w:p w14:paraId="5C7C59EC" w14:textId="77777777" w:rsidR="0008009C" w:rsidRDefault="0008009C">
            <w:pPr>
              <w:rPr>
                <w:rFonts w:ascii="宋体"/>
                <w:vanish/>
              </w:rPr>
            </w:pPr>
          </w:p>
        </w:tc>
      </w:tr>
      <w:tr w:rsidR="0008009C" w14:paraId="5C7C59F9" w14:textId="77777777">
        <w:trPr>
          <w:hidden/>
        </w:trPr>
        <w:tc>
          <w:tcPr>
            <w:tcW w:w="0" w:type="auto"/>
            <w:gridSpan w:val="3"/>
            <w:shd w:val="clear" w:color="auto" w:fill="auto"/>
          </w:tcPr>
          <w:p w14:paraId="5C7C59EE" w14:textId="77777777" w:rsidR="0008009C" w:rsidRDefault="0008009C">
            <w:pPr>
              <w:rPr>
                <w:rFonts w:ascii="宋体"/>
                <w:vanish/>
              </w:rPr>
            </w:pPr>
          </w:p>
        </w:tc>
        <w:tc>
          <w:tcPr>
            <w:tcW w:w="0" w:type="auto"/>
            <w:gridSpan w:val="3"/>
            <w:shd w:val="clear" w:color="auto" w:fill="auto"/>
          </w:tcPr>
          <w:p w14:paraId="5C7C59EF" w14:textId="77777777" w:rsidR="0008009C" w:rsidRDefault="0008009C">
            <w:pPr>
              <w:rPr>
                <w:rFonts w:ascii="宋体"/>
                <w:vanish/>
              </w:rPr>
            </w:pPr>
          </w:p>
        </w:tc>
        <w:tc>
          <w:tcPr>
            <w:tcW w:w="0" w:type="auto"/>
            <w:gridSpan w:val="3"/>
            <w:shd w:val="clear" w:color="auto" w:fill="auto"/>
          </w:tcPr>
          <w:p w14:paraId="5C7C59F0" w14:textId="77777777" w:rsidR="0008009C" w:rsidRDefault="0008009C">
            <w:pPr>
              <w:rPr>
                <w:rFonts w:ascii="宋体"/>
                <w:vanish/>
              </w:rPr>
            </w:pPr>
          </w:p>
        </w:tc>
        <w:tc>
          <w:tcPr>
            <w:tcW w:w="0" w:type="auto"/>
            <w:gridSpan w:val="3"/>
            <w:shd w:val="clear" w:color="auto" w:fill="auto"/>
          </w:tcPr>
          <w:p w14:paraId="5C7C59F1" w14:textId="77777777" w:rsidR="0008009C" w:rsidRDefault="0008009C">
            <w:pPr>
              <w:rPr>
                <w:rFonts w:ascii="宋体"/>
                <w:vanish/>
              </w:rPr>
            </w:pPr>
          </w:p>
        </w:tc>
        <w:tc>
          <w:tcPr>
            <w:tcW w:w="0" w:type="auto"/>
            <w:gridSpan w:val="3"/>
            <w:shd w:val="clear" w:color="auto" w:fill="auto"/>
          </w:tcPr>
          <w:p w14:paraId="5C7C59F2" w14:textId="77777777" w:rsidR="0008009C" w:rsidRDefault="0008009C">
            <w:pPr>
              <w:rPr>
                <w:rFonts w:ascii="宋体"/>
                <w:vanish/>
              </w:rPr>
            </w:pPr>
          </w:p>
        </w:tc>
        <w:tc>
          <w:tcPr>
            <w:tcW w:w="0" w:type="auto"/>
            <w:gridSpan w:val="3"/>
            <w:shd w:val="clear" w:color="auto" w:fill="auto"/>
          </w:tcPr>
          <w:p w14:paraId="5C7C59F3" w14:textId="77777777" w:rsidR="0008009C" w:rsidRDefault="0008009C">
            <w:pPr>
              <w:rPr>
                <w:rFonts w:ascii="宋体"/>
                <w:vanish/>
              </w:rPr>
            </w:pPr>
          </w:p>
        </w:tc>
        <w:tc>
          <w:tcPr>
            <w:tcW w:w="0" w:type="auto"/>
            <w:gridSpan w:val="3"/>
            <w:shd w:val="clear" w:color="auto" w:fill="auto"/>
          </w:tcPr>
          <w:p w14:paraId="5C7C59F4" w14:textId="77777777" w:rsidR="0008009C" w:rsidRDefault="0008009C">
            <w:pPr>
              <w:rPr>
                <w:rFonts w:ascii="宋体"/>
                <w:vanish/>
              </w:rPr>
            </w:pPr>
          </w:p>
        </w:tc>
        <w:tc>
          <w:tcPr>
            <w:tcW w:w="0" w:type="auto"/>
            <w:gridSpan w:val="3"/>
            <w:shd w:val="clear" w:color="auto" w:fill="auto"/>
          </w:tcPr>
          <w:p w14:paraId="5C7C59F5" w14:textId="77777777" w:rsidR="0008009C" w:rsidRDefault="0008009C">
            <w:pPr>
              <w:rPr>
                <w:rFonts w:ascii="宋体"/>
                <w:vanish/>
              </w:rPr>
            </w:pPr>
          </w:p>
        </w:tc>
        <w:tc>
          <w:tcPr>
            <w:tcW w:w="0" w:type="auto"/>
            <w:gridSpan w:val="3"/>
            <w:shd w:val="clear" w:color="auto" w:fill="auto"/>
          </w:tcPr>
          <w:p w14:paraId="5C7C59F6" w14:textId="77777777" w:rsidR="0008009C" w:rsidRDefault="0008009C">
            <w:pPr>
              <w:rPr>
                <w:rFonts w:ascii="宋体"/>
                <w:vanish/>
              </w:rPr>
            </w:pPr>
          </w:p>
        </w:tc>
        <w:tc>
          <w:tcPr>
            <w:tcW w:w="0" w:type="auto"/>
            <w:gridSpan w:val="3"/>
            <w:shd w:val="clear" w:color="auto" w:fill="auto"/>
          </w:tcPr>
          <w:p w14:paraId="5C7C59F7" w14:textId="77777777" w:rsidR="0008009C" w:rsidRDefault="0008009C">
            <w:pPr>
              <w:rPr>
                <w:rFonts w:ascii="宋体"/>
                <w:vanish/>
              </w:rPr>
            </w:pPr>
          </w:p>
        </w:tc>
        <w:tc>
          <w:tcPr>
            <w:tcW w:w="0" w:type="auto"/>
            <w:gridSpan w:val="3"/>
            <w:shd w:val="clear" w:color="auto" w:fill="auto"/>
          </w:tcPr>
          <w:p w14:paraId="5C7C59F8" w14:textId="77777777" w:rsidR="0008009C" w:rsidRDefault="0008009C">
            <w:pPr>
              <w:rPr>
                <w:rFonts w:ascii="宋体"/>
                <w:vanish/>
              </w:rPr>
            </w:pPr>
          </w:p>
        </w:tc>
      </w:tr>
      <w:tr w:rsidR="0008009C" w14:paraId="5C7C5A05" w14:textId="77777777">
        <w:trPr>
          <w:hidden/>
        </w:trPr>
        <w:tc>
          <w:tcPr>
            <w:tcW w:w="0" w:type="auto"/>
            <w:gridSpan w:val="3"/>
            <w:shd w:val="clear" w:color="auto" w:fill="auto"/>
          </w:tcPr>
          <w:p w14:paraId="5C7C59FA" w14:textId="77777777" w:rsidR="0008009C" w:rsidRDefault="0008009C">
            <w:pPr>
              <w:rPr>
                <w:rFonts w:ascii="宋体"/>
                <w:vanish/>
              </w:rPr>
            </w:pPr>
          </w:p>
        </w:tc>
        <w:tc>
          <w:tcPr>
            <w:tcW w:w="0" w:type="auto"/>
            <w:gridSpan w:val="3"/>
            <w:shd w:val="clear" w:color="auto" w:fill="auto"/>
          </w:tcPr>
          <w:p w14:paraId="5C7C59FB" w14:textId="77777777" w:rsidR="0008009C" w:rsidRDefault="0008009C">
            <w:pPr>
              <w:rPr>
                <w:rFonts w:ascii="宋体"/>
                <w:vanish/>
              </w:rPr>
            </w:pPr>
          </w:p>
        </w:tc>
        <w:tc>
          <w:tcPr>
            <w:tcW w:w="0" w:type="auto"/>
            <w:gridSpan w:val="3"/>
            <w:shd w:val="clear" w:color="auto" w:fill="auto"/>
          </w:tcPr>
          <w:p w14:paraId="5C7C59FC" w14:textId="77777777" w:rsidR="0008009C" w:rsidRDefault="0008009C">
            <w:pPr>
              <w:rPr>
                <w:rFonts w:ascii="宋体"/>
                <w:vanish/>
              </w:rPr>
            </w:pPr>
          </w:p>
        </w:tc>
        <w:tc>
          <w:tcPr>
            <w:tcW w:w="0" w:type="auto"/>
            <w:gridSpan w:val="3"/>
            <w:shd w:val="clear" w:color="auto" w:fill="auto"/>
          </w:tcPr>
          <w:p w14:paraId="5C7C59FD" w14:textId="77777777" w:rsidR="0008009C" w:rsidRDefault="0008009C">
            <w:pPr>
              <w:rPr>
                <w:rFonts w:ascii="宋体"/>
                <w:vanish/>
              </w:rPr>
            </w:pPr>
          </w:p>
        </w:tc>
        <w:tc>
          <w:tcPr>
            <w:tcW w:w="0" w:type="auto"/>
            <w:gridSpan w:val="3"/>
            <w:shd w:val="clear" w:color="auto" w:fill="auto"/>
          </w:tcPr>
          <w:p w14:paraId="5C7C59FE" w14:textId="77777777" w:rsidR="0008009C" w:rsidRDefault="0008009C">
            <w:pPr>
              <w:rPr>
                <w:rFonts w:ascii="宋体"/>
                <w:vanish/>
              </w:rPr>
            </w:pPr>
          </w:p>
        </w:tc>
        <w:tc>
          <w:tcPr>
            <w:tcW w:w="0" w:type="auto"/>
            <w:gridSpan w:val="3"/>
            <w:shd w:val="clear" w:color="auto" w:fill="auto"/>
          </w:tcPr>
          <w:p w14:paraId="5C7C59FF" w14:textId="77777777" w:rsidR="0008009C" w:rsidRDefault="0008009C">
            <w:pPr>
              <w:rPr>
                <w:rFonts w:ascii="宋体"/>
                <w:vanish/>
              </w:rPr>
            </w:pPr>
          </w:p>
        </w:tc>
        <w:tc>
          <w:tcPr>
            <w:tcW w:w="0" w:type="auto"/>
            <w:gridSpan w:val="3"/>
            <w:shd w:val="clear" w:color="auto" w:fill="auto"/>
          </w:tcPr>
          <w:p w14:paraId="5C7C5A00" w14:textId="77777777" w:rsidR="0008009C" w:rsidRDefault="0008009C">
            <w:pPr>
              <w:rPr>
                <w:rFonts w:ascii="宋体"/>
                <w:vanish/>
              </w:rPr>
            </w:pPr>
          </w:p>
        </w:tc>
        <w:tc>
          <w:tcPr>
            <w:tcW w:w="0" w:type="auto"/>
            <w:gridSpan w:val="3"/>
            <w:shd w:val="clear" w:color="auto" w:fill="auto"/>
          </w:tcPr>
          <w:p w14:paraId="5C7C5A01" w14:textId="77777777" w:rsidR="0008009C" w:rsidRDefault="0008009C">
            <w:pPr>
              <w:rPr>
                <w:rFonts w:ascii="宋体"/>
                <w:vanish/>
              </w:rPr>
            </w:pPr>
          </w:p>
        </w:tc>
        <w:tc>
          <w:tcPr>
            <w:tcW w:w="0" w:type="auto"/>
            <w:gridSpan w:val="3"/>
            <w:shd w:val="clear" w:color="auto" w:fill="auto"/>
          </w:tcPr>
          <w:p w14:paraId="5C7C5A02" w14:textId="77777777" w:rsidR="0008009C" w:rsidRDefault="0008009C">
            <w:pPr>
              <w:rPr>
                <w:rFonts w:ascii="宋体"/>
                <w:vanish/>
              </w:rPr>
            </w:pPr>
          </w:p>
        </w:tc>
        <w:tc>
          <w:tcPr>
            <w:tcW w:w="0" w:type="auto"/>
            <w:gridSpan w:val="3"/>
            <w:shd w:val="clear" w:color="auto" w:fill="auto"/>
          </w:tcPr>
          <w:p w14:paraId="5C7C5A03" w14:textId="77777777" w:rsidR="0008009C" w:rsidRDefault="0008009C">
            <w:pPr>
              <w:rPr>
                <w:rFonts w:ascii="宋体"/>
                <w:vanish/>
              </w:rPr>
            </w:pPr>
          </w:p>
        </w:tc>
        <w:tc>
          <w:tcPr>
            <w:tcW w:w="0" w:type="auto"/>
            <w:gridSpan w:val="3"/>
            <w:shd w:val="clear" w:color="auto" w:fill="auto"/>
          </w:tcPr>
          <w:p w14:paraId="5C7C5A04" w14:textId="77777777" w:rsidR="0008009C" w:rsidRDefault="0008009C">
            <w:pPr>
              <w:rPr>
                <w:rFonts w:ascii="宋体"/>
                <w:vanish/>
              </w:rPr>
            </w:pPr>
          </w:p>
        </w:tc>
      </w:tr>
      <w:tr w:rsidR="0008009C" w14:paraId="5C7C5A11" w14:textId="77777777">
        <w:trPr>
          <w:hidden/>
        </w:trPr>
        <w:tc>
          <w:tcPr>
            <w:tcW w:w="0" w:type="auto"/>
            <w:gridSpan w:val="3"/>
            <w:shd w:val="clear" w:color="auto" w:fill="auto"/>
          </w:tcPr>
          <w:p w14:paraId="5C7C5A06" w14:textId="77777777" w:rsidR="0008009C" w:rsidRDefault="0008009C">
            <w:pPr>
              <w:rPr>
                <w:rFonts w:ascii="宋体"/>
                <w:vanish/>
              </w:rPr>
            </w:pPr>
          </w:p>
        </w:tc>
        <w:tc>
          <w:tcPr>
            <w:tcW w:w="0" w:type="auto"/>
            <w:gridSpan w:val="3"/>
            <w:shd w:val="clear" w:color="auto" w:fill="auto"/>
          </w:tcPr>
          <w:p w14:paraId="5C7C5A07" w14:textId="77777777" w:rsidR="0008009C" w:rsidRDefault="0008009C">
            <w:pPr>
              <w:rPr>
                <w:rFonts w:ascii="宋体"/>
                <w:vanish/>
              </w:rPr>
            </w:pPr>
          </w:p>
        </w:tc>
        <w:tc>
          <w:tcPr>
            <w:tcW w:w="0" w:type="auto"/>
            <w:gridSpan w:val="3"/>
            <w:shd w:val="clear" w:color="auto" w:fill="auto"/>
          </w:tcPr>
          <w:p w14:paraId="5C7C5A08" w14:textId="77777777" w:rsidR="0008009C" w:rsidRDefault="0008009C">
            <w:pPr>
              <w:rPr>
                <w:rFonts w:ascii="宋体"/>
                <w:vanish/>
              </w:rPr>
            </w:pPr>
          </w:p>
        </w:tc>
        <w:tc>
          <w:tcPr>
            <w:tcW w:w="0" w:type="auto"/>
            <w:gridSpan w:val="3"/>
            <w:shd w:val="clear" w:color="auto" w:fill="auto"/>
          </w:tcPr>
          <w:p w14:paraId="5C7C5A09" w14:textId="77777777" w:rsidR="0008009C" w:rsidRDefault="0008009C">
            <w:pPr>
              <w:rPr>
                <w:rFonts w:ascii="宋体"/>
                <w:vanish/>
              </w:rPr>
            </w:pPr>
          </w:p>
        </w:tc>
        <w:tc>
          <w:tcPr>
            <w:tcW w:w="0" w:type="auto"/>
            <w:gridSpan w:val="3"/>
            <w:shd w:val="clear" w:color="auto" w:fill="auto"/>
          </w:tcPr>
          <w:p w14:paraId="5C7C5A0A" w14:textId="77777777" w:rsidR="0008009C" w:rsidRDefault="0008009C">
            <w:pPr>
              <w:rPr>
                <w:rFonts w:ascii="宋体"/>
                <w:vanish/>
              </w:rPr>
            </w:pPr>
          </w:p>
        </w:tc>
        <w:tc>
          <w:tcPr>
            <w:tcW w:w="0" w:type="auto"/>
            <w:gridSpan w:val="3"/>
            <w:shd w:val="clear" w:color="auto" w:fill="auto"/>
          </w:tcPr>
          <w:p w14:paraId="5C7C5A0B" w14:textId="77777777" w:rsidR="0008009C" w:rsidRDefault="0008009C">
            <w:pPr>
              <w:rPr>
                <w:rFonts w:ascii="宋体"/>
                <w:vanish/>
              </w:rPr>
            </w:pPr>
          </w:p>
        </w:tc>
        <w:tc>
          <w:tcPr>
            <w:tcW w:w="0" w:type="auto"/>
            <w:gridSpan w:val="3"/>
            <w:shd w:val="clear" w:color="auto" w:fill="auto"/>
          </w:tcPr>
          <w:p w14:paraId="5C7C5A0C" w14:textId="77777777" w:rsidR="0008009C" w:rsidRDefault="0008009C">
            <w:pPr>
              <w:rPr>
                <w:rFonts w:ascii="宋体"/>
                <w:vanish/>
              </w:rPr>
            </w:pPr>
          </w:p>
        </w:tc>
        <w:tc>
          <w:tcPr>
            <w:tcW w:w="0" w:type="auto"/>
            <w:gridSpan w:val="3"/>
            <w:shd w:val="clear" w:color="auto" w:fill="auto"/>
          </w:tcPr>
          <w:p w14:paraId="5C7C5A0D" w14:textId="77777777" w:rsidR="0008009C" w:rsidRDefault="0008009C">
            <w:pPr>
              <w:rPr>
                <w:rFonts w:ascii="宋体"/>
                <w:vanish/>
              </w:rPr>
            </w:pPr>
          </w:p>
        </w:tc>
        <w:tc>
          <w:tcPr>
            <w:tcW w:w="0" w:type="auto"/>
            <w:gridSpan w:val="3"/>
            <w:shd w:val="clear" w:color="auto" w:fill="auto"/>
          </w:tcPr>
          <w:p w14:paraId="5C7C5A0E" w14:textId="77777777" w:rsidR="0008009C" w:rsidRDefault="0008009C">
            <w:pPr>
              <w:rPr>
                <w:rFonts w:ascii="宋体"/>
                <w:vanish/>
              </w:rPr>
            </w:pPr>
          </w:p>
        </w:tc>
        <w:tc>
          <w:tcPr>
            <w:tcW w:w="0" w:type="auto"/>
            <w:gridSpan w:val="3"/>
            <w:shd w:val="clear" w:color="auto" w:fill="auto"/>
          </w:tcPr>
          <w:p w14:paraId="5C7C5A0F" w14:textId="77777777" w:rsidR="0008009C" w:rsidRDefault="0008009C">
            <w:pPr>
              <w:rPr>
                <w:rFonts w:ascii="宋体"/>
                <w:vanish/>
              </w:rPr>
            </w:pPr>
          </w:p>
        </w:tc>
        <w:tc>
          <w:tcPr>
            <w:tcW w:w="0" w:type="auto"/>
            <w:gridSpan w:val="3"/>
            <w:shd w:val="clear" w:color="auto" w:fill="auto"/>
          </w:tcPr>
          <w:p w14:paraId="5C7C5A10" w14:textId="77777777" w:rsidR="0008009C" w:rsidRDefault="0008009C">
            <w:pPr>
              <w:rPr>
                <w:rFonts w:ascii="宋体"/>
                <w:vanish/>
              </w:rPr>
            </w:pPr>
          </w:p>
        </w:tc>
      </w:tr>
      <w:tr w:rsidR="0008009C" w14:paraId="5C7C5A1D" w14:textId="77777777">
        <w:trPr>
          <w:hidden/>
        </w:trPr>
        <w:tc>
          <w:tcPr>
            <w:tcW w:w="0" w:type="auto"/>
            <w:gridSpan w:val="3"/>
            <w:shd w:val="clear" w:color="auto" w:fill="auto"/>
          </w:tcPr>
          <w:p w14:paraId="5C7C5A12" w14:textId="77777777" w:rsidR="0008009C" w:rsidRDefault="0008009C">
            <w:pPr>
              <w:rPr>
                <w:rFonts w:ascii="宋体"/>
                <w:vanish/>
              </w:rPr>
            </w:pPr>
          </w:p>
        </w:tc>
        <w:tc>
          <w:tcPr>
            <w:tcW w:w="0" w:type="auto"/>
            <w:gridSpan w:val="3"/>
            <w:shd w:val="clear" w:color="auto" w:fill="auto"/>
          </w:tcPr>
          <w:p w14:paraId="5C7C5A13" w14:textId="77777777" w:rsidR="0008009C" w:rsidRDefault="0008009C">
            <w:pPr>
              <w:rPr>
                <w:rFonts w:ascii="宋体"/>
                <w:vanish/>
              </w:rPr>
            </w:pPr>
          </w:p>
        </w:tc>
        <w:tc>
          <w:tcPr>
            <w:tcW w:w="0" w:type="auto"/>
            <w:gridSpan w:val="3"/>
            <w:shd w:val="clear" w:color="auto" w:fill="auto"/>
          </w:tcPr>
          <w:p w14:paraId="5C7C5A14" w14:textId="77777777" w:rsidR="0008009C" w:rsidRDefault="0008009C">
            <w:pPr>
              <w:rPr>
                <w:rFonts w:ascii="宋体"/>
                <w:vanish/>
              </w:rPr>
            </w:pPr>
          </w:p>
        </w:tc>
        <w:tc>
          <w:tcPr>
            <w:tcW w:w="0" w:type="auto"/>
            <w:gridSpan w:val="3"/>
            <w:shd w:val="clear" w:color="auto" w:fill="auto"/>
          </w:tcPr>
          <w:p w14:paraId="5C7C5A15" w14:textId="77777777" w:rsidR="0008009C" w:rsidRDefault="0008009C">
            <w:pPr>
              <w:rPr>
                <w:rFonts w:ascii="宋体"/>
                <w:vanish/>
              </w:rPr>
            </w:pPr>
          </w:p>
        </w:tc>
        <w:tc>
          <w:tcPr>
            <w:tcW w:w="0" w:type="auto"/>
            <w:gridSpan w:val="3"/>
            <w:shd w:val="clear" w:color="auto" w:fill="auto"/>
          </w:tcPr>
          <w:p w14:paraId="5C7C5A16" w14:textId="77777777" w:rsidR="0008009C" w:rsidRDefault="0008009C">
            <w:pPr>
              <w:rPr>
                <w:rFonts w:ascii="宋体"/>
                <w:vanish/>
              </w:rPr>
            </w:pPr>
          </w:p>
        </w:tc>
        <w:tc>
          <w:tcPr>
            <w:tcW w:w="0" w:type="auto"/>
            <w:gridSpan w:val="3"/>
            <w:shd w:val="clear" w:color="auto" w:fill="auto"/>
          </w:tcPr>
          <w:p w14:paraId="5C7C5A17" w14:textId="77777777" w:rsidR="0008009C" w:rsidRDefault="0008009C">
            <w:pPr>
              <w:rPr>
                <w:rFonts w:ascii="宋体"/>
                <w:vanish/>
              </w:rPr>
            </w:pPr>
          </w:p>
        </w:tc>
        <w:tc>
          <w:tcPr>
            <w:tcW w:w="0" w:type="auto"/>
            <w:gridSpan w:val="3"/>
            <w:shd w:val="clear" w:color="auto" w:fill="auto"/>
          </w:tcPr>
          <w:p w14:paraId="5C7C5A18" w14:textId="77777777" w:rsidR="0008009C" w:rsidRDefault="0008009C">
            <w:pPr>
              <w:rPr>
                <w:rFonts w:ascii="宋体"/>
                <w:vanish/>
              </w:rPr>
            </w:pPr>
          </w:p>
        </w:tc>
        <w:tc>
          <w:tcPr>
            <w:tcW w:w="0" w:type="auto"/>
            <w:gridSpan w:val="3"/>
            <w:shd w:val="clear" w:color="auto" w:fill="auto"/>
          </w:tcPr>
          <w:p w14:paraId="5C7C5A19" w14:textId="77777777" w:rsidR="0008009C" w:rsidRDefault="0008009C">
            <w:pPr>
              <w:rPr>
                <w:rFonts w:ascii="宋体"/>
                <w:vanish/>
              </w:rPr>
            </w:pPr>
          </w:p>
        </w:tc>
        <w:tc>
          <w:tcPr>
            <w:tcW w:w="0" w:type="auto"/>
            <w:gridSpan w:val="3"/>
            <w:shd w:val="clear" w:color="auto" w:fill="auto"/>
          </w:tcPr>
          <w:p w14:paraId="5C7C5A1A" w14:textId="77777777" w:rsidR="0008009C" w:rsidRDefault="0008009C">
            <w:pPr>
              <w:rPr>
                <w:rFonts w:ascii="宋体"/>
                <w:vanish/>
              </w:rPr>
            </w:pPr>
          </w:p>
        </w:tc>
        <w:tc>
          <w:tcPr>
            <w:tcW w:w="0" w:type="auto"/>
            <w:gridSpan w:val="3"/>
            <w:shd w:val="clear" w:color="auto" w:fill="auto"/>
          </w:tcPr>
          <w:p w14:paraId="5C7C5A1B" w14:textId="77777777" w:rsidR="0008009C" w:rsidRDefault="0008009C">
            <w:pPr>
              <w:rPr>
                <w:rFonts w:ascii="宋体"/>
                <w:vanish/>
              </w:rPr>
            </w:pPr>
          </w:p>
        </w:tc>
        <w:tc>
          <w:tcPr>
            <w:tcW w:w="0" w:type="auto"/>
            <w:gridSpan w:val="3"/>
            <w:shd w:val="clear" w:color="auto" w:fill="auto"/>
          </w:tcPr>
          <w:p w14:paraId="5C7C5A1C" w14:textId="77777777" w:rsidR="0008009C" w:rsidRDefault="0008009C">
            <w:pPr>
              <w:rPr>
                <w:rFonts w:ascii="宋体"/>
                <w:vanish/>
              </w:rPr>
            </w:pPr>
          </w:p>
        </w:tc>
      </w:tr>
      <w:tr w:rsidR="0008009C" w14:paraId="5C7C5A29" w14:textId="77777777">
        <w:trPr>
          <w:hidden/>
        </w:trPr>
        <w:tc>
          <w:tcPr>
            <w:tcW w:w="0" w:type="auto"/>
            <w:gridSpan w:val="3"/>
            <w:shd w:val="clear" w:color="auto" w:fill="auto"/>
          </w:tcPr>
          <w:p w14:paraId="5C7C5A1E" w14:textId="77777777" w:rsidR="0008009C" w:rsidRDefault="0008009C">
            <w:pPr>
              <w:rPr>
                <w:rFonts w:ascii="宋体"/>
                <w:vanish/>
              </w:rPr>
            </w:pPr>
          </w:p>
        </w:tc>
        <w:tc>
          <w:tcPr>
            <w:tcW w:w="0" w:type="auto"/>
            <w:gridSpan w:val="3"/>
            <w:shd w:val="clear" w:color="auto" w:fill="auto"/>
          </w:tcPr>
          <w:p w14:paraId="5C7C5A1F" w14:textId="77777777" w:rsidR="0008009C" w:rsidRDefault="0008009C">
            <w:pPr>
              <w:rPr>
                <w:rFonts w:ascii="宋体"/>
                <w:vanish/>
              </w:rPr>
            </w:pPr>
          </w:p>
        </w:tc>
        <w:tc>
          <w:tcPr>
            <w:tcW w:w="0" w:type="auto"/>
            <w:gridSpan w:val="3"/>
            <w:shd w:val="clear" w:color="auto" w:fill="auto"/>
          </w:tcPr>
          <w:p w14:paraId="5C7C5A20" w14:textId="77777777" w:rsidR="0008009C" w:rsidRDefault="0008009C">
            <w:pPr>
              <w:rPr>
                <w:rFonts w:ascii="宋体"/>
                <w:vanish/>
              </w:rPr>
            </w:pPr>
          </w:p>
        </w:tc>
        <w:tc>
          <w:tcPr>
            <w:tcW w:w="0" w:type="auto"/>
            <w:gridSpan w:val="3"/>
            <w:shd w:val="clear" w:color="auto" w:fill="auto"/>
          </w:tcPr>
          <w:p w14:paraId="5C7C5A21" w14:textId="77777777" w:rsidR="0008009C" w:rsidRDefault="0008009C">
            <w:pPr>
              <w:rPr>
                <w:rFonts w:ascii="宋体"/>
                <w:vanish/>
              </w:rPr>
            </w:pPr>
          </w:p>
        </w:tc>
        <w:tc>
          <w:tcPr>
            <w:tcW w:w="0" w:type="auto"/>
            <w:gridSpan w:val="3"/>
            <w:shd w:val="clear" w:color="auto" w:fill="auto"/>
          </w:tcPr>
          <w:p w14:paraId="5C7C5A22" w14:textId="77777777" w:rsidR="0008009C" w:rsidRDefault="0008009C">
            <w:pPr>
              <w:rPr>
                <w:rFonts w:ascii="宋体"/>
                <w:vanish/>
              </w:rPr>
            </w:pPr>
          </w:p>
        </w:tc>
        <w:tc>
          <w:tcPr>
            <w:tcW w:w="0" w:type="auto"/>
            <w:gridSpan w:val="3"/>
            <w:shd w:val="clear" w:color="auto" w:fill="auto"/>
          </w:tcPr>
          <w:p w14:paraId="5C7C5A23" w14:textId="77777777" w:rsidR="0008009C" w:rsidRDefault="0008009C">
            <w:pPr>
              <w:rPr>
                <w:rFonts w:ascii="宋体"/>
                <w:vanish/>
              </w:rPr>
            </w:pPr>
          </w:p>
        </w:tc>
        <w:tc>
          <w:tcPr>
            <w:tcW w:w="0" w:type="auto"/>
            <w:gridSpan w:val="3"/>
            <w:shd w:val="clear" w:color="auto" w:fill="auto"/>
          </w:tcPr>
          <w:p w14:paraId="5C7C5A24" w14:textId="77777777" w:rsidR="0008009C" w:rsidRDefault="0008009C">
            <w:pPr>
              <w:rPr>
                <w:rFonts w:ascii="宋体"/>
                <w:vanish/>
              </w:rPr>
            </w:pPr>
          </w:p>
        </w:tc>
        <w:tc>
          <w:tcPr>
            <w:tcW w:w="0" w:type="auto"/>
            <w:gridSpan w:val="3"/>
            <w:shd w:val="clear" w:color="auto" w:fill="auto"/>
          </w:tcPr>
          <w:p w14:paraId="5C7C5A25" w14:textId="77777777" w:rsidR="0008009C" w:rsidRDefault="0008009C">
            <w:pPr>
              <w:rPr>
                <w:rFonts w:ascii="宋体"/>
                <w:vanish/>
              </w:rPr>
            </w:pPr>
          </w:p>
        </w:tc>
        <w:tc>
          <w:tcPr>
            <w:tcW w:w="0" w:type="auto"/>
            <w:gridSpan w:val="3"/>
            <w:shd w:val="clear" w:color="auto" w:fill="auto"/>
          </w:tcPr>
          <w:p w14:paraId="5C7C5A26" w14:textId="77777777" w:rsidR="0008009C" w:rsidRDefault="0008009C">
            <w:pPr>
              <w:rPr>
                <w:rFonts w:ascii="宋体"/>
                <w:vanish/>
              </w:rPr>
            </w:pPr>
          </w:p>
        </w:tc>
        <w:tc>
          <w:tcPr>
            <w:tcW w:w="0" w:type="auto"/>
            <w:gridSpan w:val="3"/>
            <w:shd w:val="clear" w:color="auto" w:fill="auto"/>
          </w:tcPr>
          <w:p w14:paraId="5C7C5A27" w14:textId="77777777" w:rsidR="0008009C" w:rsidRDefault="0008009C">
            <w:pPr>
              <w:rPr>
                <w:rFonts w:ascii="宋体"/>
                <w:vanish/>
              </w:rPr>
            </w:pPr>
          </w:p>
        </w:tc>
        <w:tc>
          <w:tcPr>
            <w:tcW w:w="0" w:type="auto"/>
            <w:gridSpan w:val="3"/>
            <w:shd w:val="clear" w:color="auto" w:fill="auto"/>
          </w:tcPr>
          <w:p w14:paraId="5C7C5A28" w14:textId="77777777" w:rsidR="0008009C" w:rsidRDefault="0008009C">
            <w:pPr>
              <w:rPr>
                <w:rFonts w:ascii="宋体"/>
                <w:vanish/>
              </w:rPr>
            </w:pPr>
          </w:p>
        </w:tc>
      </w:tr>
      <w:tr w:rsidR="0008009C" w14:paraId="5C7C5A35" w14:textId="77777777">
        <w:trPr>
          <w:hidden/>
        </w:trPr>
        <w:tc>
          <w:tcPr>
            <w:tcW w:w="0" w:type="auto"/>
            <w:gridSpan w:val="3"/>
            <w:shd w:val="clear" w:color="auto" w:fill="auto"/>
          </w:tcPr>
          <w:p w14:paraId="5C7C5A2A" w14:textId="77777777" w:rsidR="0008009C" w:rsidRDefault="0008009C">
            <w:pPr>
              <w:rPr>
                <w:rFonts w:ascii="宋体"/>
                <w:vanish/>
              </w:rPr>
            </w:pPr>
          </w:p>
        </w:tc>
        <w:tc>
          <w:tcPr>
            <w:tcW w:w="0" w:type="auto"/>
            <w:gridSpan w:val="3"/>
            <w:shd w:val="clear" w:color="auto" w:fill="auto"/>
          </w:tcPr>
          <w:p w14:paraId="5C7C5A2B" w14:textId="77777777" w:rsidR="0008009C" w:rsidRDefault="0008009C">
            <w:pPr>
              <w:rPr>
                <w:rFonts w:ascii="宋体"/>
                <w:vanish/>
              </w:rPr>
            </w:pPr>
          </w:p>
        </w:tc>
        <w:tc>
          <w:tcPr>
            <w:tcW w:w="0" w:type="auto"/>
            <w:gridSpan w:val="3"/>
            <w:shd w:val="clear" w:color="auto" w:fill="auto"/>
          </w:tcPr>
          <w:p w14:paraId="5C7C5A2C" w14:textId="77777777" w:rsidR="0008009C" w:rsidRDefault="0008009C">
            <w:pPr>
              <w:rPr>
                <w:rFonts w:ascii="宋体"/>
                <w:vanish/>
              </w:rPr>
            </w:pPr>
          </w:p>
        </w:tc>
        <w:tc>
          <w:tcPr>
            <w:tcW w:w="0" w:type="auto"/>
            <w:gridSpan w:val="3"/>
            <w:shd w:val="clear" w:color="auto" w:fill="auto"/>
          </w:tcPr>
          <w:p w14:paraId="5C7C5A2D" w14:textId="77777777" w:rsidR="0008009C" w:rsidRDefault="0008009C">
            <w:pPr>
              <w:rPr>
                <w:rFonts w:ascii="宋体"/>
                <w:vanish/>
              </w:rPr>
            </w:pPr>
          </w:p>
        </w:tc>
        <w:tc>
          <w:tcPr>
            <w:tcW w:w="0" w:type="auto"/>
            <w:gridSpan w:val="3"/>
            <w:shd w:val="clear" w:color="auto" w:fill="auto"/>
          </w:tcPr>
          <w:p w14:paraId="5C7C5A2E" w14:textId="77777777" w:rsidR="0008009C" w:rsidRDefault="0008009C">
            <w:pPr>
              <w:rPr>
                <w:rFonts w:ascii="宋体"/>
                <w:vanish/>
              </w:rPr>
            </w:pPr>
          </w:p>
        </w:tc>
        <w:tc>
          <w:tcPr>
            <w:tcW w:w="0" w:type="auto"/>
            <w:gridSpan w:val="3"/>
            <w:shd w:val="clear" w:color="auto" w:fill="auto"/>
          </w:tcPr>
          <w:p w14:paraId="5C7C5A2F" w14:textId="77777777" w:rsidR="0008009C" w:rsidRDefault="0008009C">
            <w:pPr>
              <w:rPr>
                <w:rFonts w:ascii="宋体"/>
                <w:vanish/>
              </w:rPr>
            </w:pPr>
          </w:p>
        </w:tc>
        <w:tc>
          <w:tcPr>
            <w:tcW w:w="0" w:type="auto"/>
            <w:gridSpan w:val="3"/>
            <w:shd w:val="clear" w:color="auto" w:fill="auto"/>
          </w:tcPr>
          <w:p w14:paraId="5C7C5A30" w14:textId="77777777" w:rsidR="0008009C" w:rsidRDefault="0008009C">
            <w:pPr>
              <w:rPr>
                <w:rFonts w:ascii="宋体"/>
                <w:vanish/>
              </w:rPr>
            </w:pPr>
          </w:p>
        </w:tc>
        <w:tc>
          <w:tcPr>
            <w:tcW w:w="0" w:type="auto"/>
            <w:gridSpan w:val="3"/>
            <w:shd w:val="clear" w:color="auto" w:fill="auto"/>
          </w:tcPr>
          <w:p w14:paraId="5C7C5A31" w14:textId="77777777" w:rsidR="0008009C" w:rsidRDefault="0008009C">
            <w:pPr>
              <w:rPr>
                <w:rFonts w:ascii="宋体"/>
                <w:vanish/>
              </w:rPr>
            </w:pPr>
          </w:p>
        </w:tc>
        <w:tc>
          <w:tcPr>
            <w:tcW w:w="0" w:type="auto"/>
            <w:gridSpan w:val="3"/>
            <w:shd w:val="clear" w:color="auto" w:fill="auto"/>
          </w:tcPr>
          <w:p w14:paraId="5C7C5A32" w14:textId="77777777" w:rsidR="0008009C" w:rsidRDefault="0008009C">
            <w:pPr>
              <w:rPr>
                <w:rFonts w:ascii="宋体"/>
                <w:vanish/>
              </w:rPr>
            </w:pPr>
          </w:p>
        </w:tc>
        <w:tc>
          <w:tcPr>
            <w:tcW w:w="0" w:type="auto"/>
            <w:gridSpan w:val="3"/>
            <w:shd w:val="clear" w:color="auto" w:fill="auto"/>
          </w:tcPr>
          <w:p w14:paraId="5C7C5A33" w14:textId="77777777" w:rsidR="0008009C" w:rsidRDefault="0008009C">
            <w:pPr>
              <w:rPr>
                <w:rFonts w:ascii="宋体"/>
                <w:vanish/>
              </w:rPr>
            </w:pPr>
          </w:p>
        </w:tc>
        <w:tc>
          <w:tcPr>
            <w:tcW w:w="0" w:type="auto"/>
            <w:gridSpan w:val="3"/>
            <w:shd w:val="clear" w:color="auto" w:fill="auto"/>
          </w:tcPr>
          <w:p w14:paraId="5C7C5A34" w14:textId="77777777" w:rsidR="0008009C" w:rsidRDefault="0008009C">
            <w:pPr>
              <w:rPr>
                <w:rFonts w:ascii="宋体"/>
                <w:vanish/>
              </w:rPr>
            </w:pPr>
          </w:p>
        </w:tc>
      </w:tr>
      <w:tr w:rsidR="0008009C" w14:paraId="5C7C5A41" w14:textId="77777777">
        <w:trPr>
          <w:hidden/>
        </w:trPr>
        <w:tc>
          <w:tcPr>
            <w:tcW w:w="0" w:type="auto"/>
            <w:gridSpan w:val="3"/>
            <w:shd w:val="clear" w:color="auto" w:fill="auto"/>
          </w:tcPr>
          <w:p w14:paraId="5C7C5A36" w14:textId="77777777" w:rsidR="0008009C" w:rsidRDefault="0008009C">
            <w:pPr>
              <w:rPr>
                <w:rFonts w:ascii="宋体"/>
                <w:vanish/>
              </w:rPr>
            </w:pPr>
          </w:p>
        </w:tc>
        <w:tc>
          <w:tcPr>
            <w:tcW w:w="0" w:type="auto"/>
            <w:gridSpan w:val="3"/>
            <w:shd w:val="clear" w:color="auto" w:fill="auto"/>
          </w:tcPr>
          <w:p w14:paraId="5C7C5A37" w14:textId="77777777" w:rsidR="0008009C" w:rsidRDefault="0008009C">
            <w:pPr>
              <w:rPr>
                <w:rFonts w:ascii="宋体"/>
                <w:vanish/>
              </w:rPr>
            </w:pPr>
          </w:p>
        </w:tc>
        <w:tc>
          <w:tcPr>
            <w:tcW w:w="0" w:type="auto"/>
            <w:gridSpan w:val="3"/>
            <w:shd w:val="clear" w:color="auto" w:fill="auto"/>
          </w:tcPr>
          <w:p w14:paraId="5C7C5A38" w14:textId="77777777" w:rsidR="0008009C" w:rsidRDefault="0008009C">
            <w:pPr>
              <w:rPr>
                <w:rFonts w:ascii="宋体"/>
                <w:vanish/>
              </w:rPr>
            </w:pPr>
          </w:p>
        </w:tc>
        <w:tc>
          <w:tcPr>
            <w:tcW w:w="0" w:type="auto"/>
            <w:gridSpan w:val="3"/>
            <w:shd w:val="clear" w:color="auto" w:fill="auto"/>
          </w:tcPr>
          <w:p w14:paraId="5C7C5A39" w14:textId="77777777" w:rsidR="0008009C" w:rsidRDefault="0008009C">
            <w:pPr>
              <w:rPr>
                <w:rFonts w:ascii="宋体"/>
                <w:vanish/>
              </w:rPr>
            </w:pPr>
          </w:p>
        </w:tc>
        <w:tc>
          <w:tcPr>
            <w:tcW w:w="0" w:type="auto"/>
            <w:gridSpan w:val="3"/>
            <w:shd w:val="clear" w:color="auto" w:fill="auto"/>
          </w:tcPr>
          <w:p w14:paraId="5C7C5A3A" w14:textId="77777777" w:rsidR="0008009C" w:rsidRDefault="0008009C">
            <w:pPr>
              <w:rPr>
                <w:rFonts w:ascii="宋体"/>
                <w:vanish/>
              </w:rPr>
            </w:pPr>
          </w:p>
        </w:tc>
        <w:tc>
          <w:tcPr>
            <w:tcW w:w="0" w:type="auto"/>
            <w:gridSpan w:val="3"/>
            <w:shd w:val="clear" w:color="auto" w:fill="auto"/>
          </w:tcPr>
          <w:p w14:paraId="5C7C5A3B" w14:textId="77777777" w:rsidR="0008009C" w:rsidRDefault="0008009C">
            <w:pPr>
              <w:rPr>
                <w:rFonts w:ascii="宋体"/>
                <w:vanish/>
              </w:rPr>
            </w:pPr>
          </w:p>
        </w:tc>
        <w:tc>
          <w:tcPr>
            <w:tcW w:w="0" w:type="auto"/>
            <w:gridSpan w:val="3"/>
            <w:shd w:val="clear" w:color="auto" w:fill="auto"/>
          </w:tcPr>
          <w:p w14:paraId="5C7C5A3C" w14:textId="77777777" w:rsidR="0008009C" w:rsidRDefault="0008009C">
            <w:pPr>
              <w:rPr>
                <w:rFonts w:ascii="宋体"/>
                <w:vanish/>
              </w:rPr>
            </w:pPr>
          </w:p>
        </w:tc>
        <w:tc>
          <w:tcPr>
            <w:tcW w:w="0" w:type="auto"/>
            <w:gridSpan w:val="3"/>
            <w:shd w:val="clear" w:color="auto" w:fill="auto"/>
          </w:tcPr>
          <w:p w14:paraId="5C7C5A3D" w14:textId="77777777" w:rsidR="0008009C" w:rsidRDefault="0008009C">
            <w:pPr>
              <w:rPr>
                <w:rFonts w:ascii="宋体"/>
                <w:vanish/>
              </w:rPr>
            </w:pPr>
          </w:p>
        </w:tc>
        <w:tc>
          <w:tcPr>
            <w:tcW w:w="0" w:type="auto"/>
            <w:gridSpan w:val="3"/>
            <w:shd w:val="clear" w:color="auto" w:fill="auto"/>
          </w:tcPr>
          <w:p w14:paraId="5C7C5A3E" w14:textId="77777777" w:rsidR="0008009C" w:rsidRDefault="0008009C">
            <w:pPr>
              <w:rPr>
                <w:rFonts w:ascii="宋体"/>
                <w:vanish/>
              </w:rPr>
            </w:pPr>
          </w:p>
        </w:tc>
        <w:tc>
          <w:tcPr>
            <w:tcW w:w="0" w:type="auto"/>
            <w:gridSpan w:val="3"/>
            <w:shd w:val="clear" w:color="auto" w:fill="auto"/>
          </w:tcPr>
          <w:p w14:paraId="5C7C5A3F" w14:textId="77777777" w:rsidR="0008009C" w:rsidRDefault="0008009C">
            <w:pPr>
              <w:rPr>
                <w:rFonts w:ascii="宋体"/>
                <w:vanish/>
              </w:rPr>
            </w:pPr>
          </w:p>
        </w:tc>
        <w:tc>
          <w:tcPr>
            <w:tcW w:w="0" w:type="auto"/>
            <w:gridSpan w:val="3"/>
            <w:shd w:val="clear" w:color="auto" w:fill="auto"/>
          </w:tcPr>
          <w:p w14:paraId="5C7C5A40" w14:textId="77777777" w:rsidR="0008009C" w:rsidRDefault="0008009C">
            <w:pPr>
              <w:rPr>
                <w:rFonts w:ascii="宋体"/>
                <w:vanish/>
              </w:rPr>
            </w:pPr>
          </w:p>
        </w:tc>
      </w:tr>
      <w:tr w:rsidR="0008009C" w14:paraId="5C7C5A4D" w14:textId="77777777">
        <w:trPr>
          <w:hidden/>
        </w:trPr>
        <w:tc>
          <w:tcPr>
            <w:tcW w:w="0" w:type="auto"/>
            <w:gridSpan w:val="3"/>
            <w:shd w:val="clear" w:color="auto" w:fill="auto"/>
          </w:tcPr>
          <w:p w14:paraId="5C7C5A42" w14:textId="77777777" w:rsidR="0008009C" w:rsidRDefault="0008009C">
            <w:pPr>
              <w:rPr>
                <w:rFonts w:ascii="宋体"/>
                <w:vanish/>
              </w:rPr>
            </w:pPr>
          </w:p>
        </w:tc>
        <w:tc>
          <w:tcPr>
            <w:tcW w:w="0" w:type="auto"/>
            <w:gridSpan w:val="3"/>
            <w:shd w:val="clear" w:color="auto" w:fill="auto"/>
          </w:tcPr>
          <w:p w14:paraId="5C7C5A43" w14:textId="77777777" w:rsidR="0008009C" w:rsidRDefault="0008009C">
            <w:pPr>
              <w:rPr>
                <w:rFonts w:ascii="宋体"/>
                <w:vanish/>
              </w:rPr>
            </w:pPr>
          </w:p>
        </w:tc>
        <w:tc>
          <w:tcPr>
            <w:tcW w:w="0" w:type="auto"/>
            <w:gridSpan w:val="3"/>
            <w:shd w:val="clear" w:color="auto" w:fill="auto"/>
          </w:tcPr>
          <w:p w14:paraId="5C7C5A44" w14:textId="77777777" w:rsidR="0008009C" w:rsidRDefault="0008009C">
            <w:pPr>
              <w:rPr>
                <w:rFonts w:ascii="宋体"/>
                <w:vanish/>
              </w:rPr>
            </w:pPr>
          </w:p>
        </w:tc>
        <w:tc>
          <w:tcPr>
            <w:tcW w:w="0" w:type="auto"/>
            <w:gridSpan w:val="3"/>
            <w:shd w:val="clear" w:color="auto" w:fill="auto"/>
          </w:tcPr>
          <w:p w14:paraId="5C7C5A45" w14:textId="77777777" w:rsidR="0008009C" w:rsidRDefault="0008009C">
            <w:pPr>
              <w:rPr>
                <w:rFonts w:ascii="宋体"/>
                <w:vanish/>
              </w:rPr>
            </w:pPr>
          </w:p>
        </w:tc>
        <w:tc>
          <w:tcPr>
            <w:tcW w:w="0" w:type="auto"/>
            <w:gridSpan w:val="3"/>
            <w:shd w:val="clear" w:color="auto" w:fill="auto"/>
          </w:tcPr>
          <w:p w14:paraId="5C7C5A46" w14:textId="77777777" w:rsidR="0008009C" w:rsidRDefault="0008009C">
            <w:pPr>
              <w:rPr>
                <w:rFonts w:ascii="宋体"/>
                <w:vanish/>
              </w:rPr>
            </w:pPr>
          </w:p>
        </w:tc>
        <w:tc>
          <w:tcPr>
            <w:tcW w:w="0" w:type="auto"/>
            <w:gridSpan w:val="3"/>
            <w:shd w:val="clear" w:color="auto" w:fill="auto"/>
          </w:tcPr>
          <w:p w14:paraId="5C7C5A47" w14:textId="77777777" w:rsidR="0008009C" w:rsidRDefault="0008009C">
            <w:pPr>
              <w:rPr>
                <w:rFonts w:ascii="宋体"/>
                <w:vanish/>
              </w:rPr>
            </w:pPr>
          </w:p>
        </w:tc>
        <w:tc>
          <w:tcPr>
            <w:tcW w:w="0" w:type="auto"/>
            <w:gridSpan w:val="3"/>
            <w:shd w:val="clear" w:color="auto" w:fill="auto"/>
          </w:tcPr>
          <w:p w14:paraId="5C7C5A48" w14:textId="77777777" w:rsidR="0008009C" w:rsidRDefault="0008009C">
            <w:pPr>
              <w:rPr>
                <w:rFonts w:ascii="宋体"/>
                <w:vanish/>
              </w:rPr>
            </w:pPr>
          </w:p>
        </w:tc>
        <w:tc>
          <w:tcPr>
            <w:tcW w:w="0" w:type="auto"/>
            <w:gridSpan w:val="3"/>
            <w:shd w:val="clear" w:color="auto" w:fill="auto"/>
          </w:tcPr>
          <w:p w14:paraId="5C7C5A49" w14:textId="77777777" w:rsidR="0008009C" w:rsidRDefault="0008009C">
            <w:pPr>
              <w:rPr>
                <w:rFonts w:ascii="宋体"/>
                <w:vanish/>
              </w:rPr>
            </w:pPr>
          </w:p>
        </w:tc>
        <w:tc>
          <w:tcPr>
            <w:tcW w:w="0" w:type="auto"/>
            <w:gridSpan w:val="3"/>
            <w:shd w:val="clear" w:color="auto" w:fill="auto"/>
          </w:tcPr>
          <w:p w14:paraId="5C7C5A4A" w14:textId="77777777" w:rsidR="0008009C" w:rsidRDefault="0008009C">
            <w:pPr>
              <w:rPr>
                <w:rFonts w:ascii="宋体"/>
                <w:vanish/>
              </w:rPr>
            </w:pPr>
          </w:p>
        </w:tc>
        <w:tc>
          <w:tcPr>
            <w:tcW w:w="0" w:type="auto"/>
            <w:gridSpan w:val="3"/>
            <w:shd w:val="clear" w:color="auto" w:fill="auto"/>
          </w:tcPr>
          <w:p w14:paraId="5C7C5A4B" w14:textId="77777777" w:rsidR="0008009C" w:rsidRDefault="0008009C">
            <w:pPr>
              <w:rPr>
                <w:rFonts w:ascii="宋体"/>
                <w:vanish/>
              </w:rPr>
            </w:pPr>
          </w:p>
        </w:tc>
        <w:tc>
          <w:tcPr>
            <w:tcW w:w="0" w:type="auto"/>
            <w:gridSpan w:val="3"/>
            <w:shd w:val="clear" w:color="auto" w:fill="auto"/>
          </w:tcPr>
          <w:p w14:paraId="5C7C5A4C" w14:textId="77777777" w:rsidR="0008009C" w:rsidRDefault="0008009C">
            <w:pPr>
              <w:rPr>
                <w:rFonts w:ascii="宋体"/>
                <w:vanish/>
              </w:rPr>
            </w:pPr>
          </w:p>
        </w:tc>
      </w:tr>
      <w:tr w:rsidR="0008009C" w14:paraId="5C7C5A59" w14:textId="77777777">
        <w:trPr>
          <w:hidden/>
        </w:trPr>
        <w:tc>
          <w:tcPr>
            <w:tcW w:w="0" w:type="auto"/>
            <w:gridSpan w:val="3"/>
            <w:shd w:val="clear" w:color="auto" w:fill="auto"/>
          </w:tcPr>
          <w:p w14:paraId="5C7C5A4E" w14:textId="77777777" w:rsidR="0008009C" w:rsidRDefault="0008009C">
            <w:pPr>
              <w:rPr>
                <w:rFonts w:ascii="宋体"/>
                <w:vanish/>
              </w:rPr>
            </w:pPr>
          </w:p>
        </w:tc>
        <w:tc>
          <w:tcPr>
            <w:tcW w:w="0" w:type="auto"/>
            <w:gridSpan w:val="3"/>
            <w:shd w:val="clear" w:color="auto" w:fill="auto"/>
          </w:tcPr>
          <w:p w14:paraId="5C7C5A4F" w14:textId="77777777" w:rsidR="0008009C" w:rsidRDefault="0008009C">
            <w:pPr>
              <w:rPr>
                <w:rFonts w:ascii="宋体"/>
                <w:vanish/>
              </w:rPr>
            </w:pPr>
          </w:p>
        </w:tc>
        <w:tc>
          <w:tcPr>
            <w:tcW w:w="0" w:type="auto"/>
            <w:gridSpan w:val="3"/>
            <w:shd w:val="clear" w:color="auto" w:fill="auto"/>
          </w:tcPr>
          <w:p w14:paraId="5C7C5A50" w14:textId="77777777" w:rsidR="0008009C" w:rsidRDefault="0008009C">
            <w:pPr>
              <w:rPr>
                <w:rFonts w:ascii="宋体"/>
                <w:vanish/>
              </w:rPr>
            </w:pPr>
          </w:p>
        </w:tc>
        <w:tc>
          <w:tcPr>
            <w:tcW w:w="0" w:type="auto"/>
            <w:gridSpan w:val="3"/>
            <w:shd w:val="clear" w:color="auto" w:fill="auto"/>
          </w:tcPr>
          <w:p w14:paraId="5C7C5A51" w14:textId="77777777" w:rsidR="0008009C" w:rsidRDefault="0008009C">
            <w:pPr>
              <w:rPr>
                <w:rFonts w:ascii="宋体"/>
                <w:vanish/>
              </w:rPr>
            </w:pPr>
          </w:p>
        </w:tc>
        <w:tc>
          <w:tcPr>
            <w:tcW w:w="0" w:type="auto"/>
            <w:gridSpan w:val="3"/>
            <w:shd w:val="clear" w:color="auto" w:fill="auto"/>
          </w:tcPr>
          <w:p w14:paraId="5C7C5A52" w14:textId="77777777" w:rsidR="0008009C" w:rsidRDefault="0008009C">
            <w:pPr>
              <w:rPr>
                <w:rFonts w:ascii="宋体"/>
                <w:vanish/>
              </w:rPr>
            </w:pPr>
          </w:p>
        </w:tc>
        <w:tc>
          <w:tcPr>
            <w:tcW w:w="0" w:type="auto"/>
            <w:gridSpan w:val="3"/>
            <w:shd w:val="clear" w:color="auto" w:fill="auto"/>
          </w:tcPr>
          <w:p w14:paraId="5C7C5A53" w14:textId="77777777" w:rsidR="0008009C" w:rsidRDefault="0008009C">
            <w:pPr>
              <w:rPr>
                <w:rFonts w:ascii="宋体"/>
                <w:vanish/>
              </w:rPr>
            </w:pPr>
          </w:p>
        </w:tc>
        <w:tc>
          <w:tcPr>
            <w:tcW w:w="0" w:type="auto"/>
            <w:gridSpan w:val="3"/>
            <w:shd w:val="clear" w:color="auto" w:fill="auto"/>
          </w:tcPr>
          <w:p w14:paraId="5C7C5A54" w14:textId="77777777" w:rsidR="0008009C" w:rsidRDefault="0008009C">
            <w:pPr>
              <w:rPr>
                <w:rFonts w:ascii="宋体"/>
                <w:vanish/>
              </w:rPr>
            </w:pPr>
          </w:p>
        </w:tc>
        <w:tc>
          <w:tcPr>
            <w:tcW w:w="0" w:type="auto"/>
            <w:gridSpan w:val="3"/>
            <w:shd w:val="clear" w:color="auto" w:fill="auto"/>
          </w:tcPr>
          <w:p w14:paraId="5C7C5A55" w14:textId="77777777" w:rsidR="0008009C" w:rsidRDefault="0008009C">
            <w:pPr>
              <w:rPr>
                <w:rFonts w:ascii="宋体"/>
                <w:vanish/>
              </w:rPr>
            </w:pPr>
          </w:p>
        </w:tc>
        <w:tc>
          <w:tcPr>
            <w:tcW w:w="0" w:type="auto"/>
            <w:gridSpan w:val="3"/>
            <w:shd w:val="clear" w:color="auto" w:fill="auto"/>
          </w:tcPr>
          <w:p w14:paraId="5C7C5A56" w14:textId="77777777" w:rsidR="0008009C" w:rsidRDefault="0008009C">
            <w:pPr>
              <w:rPr>
                <w:rFonts w:ascii="宋体"/>
                <w:vanish/>
              </w:rPr>
            </w:pPr>
          </w:p>
        </w:tc>
        <w:tc>
          <w:tcPr>
            <w:tcW w:w="0" w:type="auto"/>
            <w:gridSpan w:val="3"/>
            <w:shd w:val="clear" w:color="auto" w:fill="auto"/>
          </w:tcPr>
          <w:p w14:paraId="5C7C5A57" w14:textId="77777777" w:rsidR="0008009C" w:rsidRDefault="0008009C">
            <w:pPr>
              <w:rPr>
                <w:rFonts w:ascii="宋体"/>
                <w:vanish/>
              </w:rPr>
            </w:pPr>
          </w:p>
        </w:tc>
        <w:tc>
          <w:tcPr>
            <w:tcW w:w="0" w:type="auto"/>
            <w:gridSpan w:val="3"/>
            <w:shd w:val="clear" w:color="auto" w:fill="auto"/>
          </w:tcPr>
          <w:p w14:paraId="5C7C5A58" w14:textId="77777777" w:rsidR="0008009C" w:rsidRDefault="0008009C">
            <w:pPr>
              <w:rPr>
                <w:rFonts w:ascii="宋体"/>
                <w:vanish/>
              </w:rPr>
            </w:pPr>
          </w:p>
        </w:tc>
      </w:tr>
      <w:tr w:rsidR="0008009C" w14:paraId="5C7C5A65" w14:textId="77777777">
        <w:trPr>
          <w:hidden/>
        </w:trPr>
        <w:tc>
          <w:tcPr>
            <w:tcW w:w="0" w:type="auto"/>
            <w:gridSpan w:val="3"/>
            <w:shd w:val="clear" w:color="auto" w:fill="auto"/>
          </w:tcPr>
          <w:p w14:paraId="5C7C5A5A" w14:textId="77777777" w:rsidR="0008009C" w:rsidRDefault="0008009C">
            <w:pPr>
              <w:rPr>
                <w:rFonts w:ascii="宋体"/>
                <w:vanish/>
              </w:rPr>
            </w:pPr>
          </w:p>
        </w:tc>
        <w:tc>
          <w:tcPr>
            <w:tcW w:w="0" w:type="auto"/>
            <w:gridSpan w:val="3"/>
            <w:shd w:val="clear" w:color="auto" w:fill="auto"/>
          </w:tcPr>
          <w:p w14:paraId="5C7C5A5B" w14:textId="77777777" w:rsidR="0008009C" w:rsidRDefault="0008009C">
            <w:pPr>
              <w:rPr>
                <w:rFonts w:ascii="宋体"/>
                <w:vanish/>
              </w:rPr>
            </w:pPr>
          </w:p>
        </w:tc>
        <w:tc>
          <w:tcPr>
            <w:tcW w:w="0" w:type="auto"/>
            <w:gridSpan w:val="3"/>
            <w:shd w:val="clear" w:color="auto" w:fill="auto"/>
          </w:tcPr>
          <w:p w14:paraId="5C7C5A5C" w14:textId="77777777" w:rsidR="0008009C" w:rsidRDefault="0008009C">
            <w:pPr>
              <w:rPr>
                <w:rFonts w:ascii="宋体"/>
                <w:vanish/>
              </w:rPr>
            </w:pPr>
          </w:p>
        </w:tc>
        <w:tc>
          <w:tcPr>
            <w:tcW w:w="0" w:type="auto"/>
            <w:gridSpan w:val="3"/>
            <w:shd w:val="clear" w:color="auto" w:fill="auto"/>
          </w:tcPr>
          <w:p w14:paraId="5C7C5A5D" w14:textId="77777777" w:rsidR="0008009C" w:rsidRDefault="0008009C">
            <w:pPr>
              <w:rPr>
                <w:rFonts w:ascii="宋体"/>
                <w:vanish/>
              </w:rPr>
            </w:pPr>
          </w:p>
        </w:tc>
        <w:tc>
          <w:tcPr>
            <w:tcW w:w="0" w:type="auto"/>
            <w:gridSpan w:val="3"/>
            <w:shd w:val="clear" w:color="auto" w:fill="auto"/>
          </w:tcPr>
          <w:p w14:paraId="5C7C5A5E" w14:textId="77777777" w:rsidR="0008009C" w:rsidRDefault="0008009C">
            <w:pPr>
              <w:rPr>
                <w:rFonts w:ascii="宋体"/>
                <w:vanish/>
              </w:rPr>
            </w:pPr>
          </w:p>
        </w:tc>
        <w:tc>
          <w:tcPr>
            <w:tcW w:w="0" w:type="auto"/>
            <w:gridSpan w:val="3"/>
            <w:shd w:val="clear" w:color="auto" w:fill="auto"/>
          </w:tcPr>
          <w:p w14:paraId="5C7C5A5F" w14:textId="77777777" w:rsidR="0008009C" w:rsidRDefault="0008009C">
            <w:pPr>
              <w:rPr>
                <w:rFonts w:ascii="宋体"/>
                <w:vanish/>
              </w:rPr>
            </w:pPr>
          </w:p>
        </w:tc>
        <w:tc>
          <w:tcPr>
            <w:tcW w:w="0" w:type="auto"/>
            <w:gridSpan w:val="3"/>
            <w:shd w:val="clear" w:color="auto" w:fill="auto"/>
          </w:tcPr>
          <w:p w14:paraId="5C7C5A60" w14:textId="77777777" w:rsidR="0008009C" w:rsidRDefault="0008009C">
            <w:pPr>
              <w:rPr>
                <w:rFonts w:ascii="宋体"/>
                <w:vanish/>
              </w:rPr>
            </w:pPr>
          </w:p>
        </w:tc>
        <w:tc>
          <w:tcPr>
            <w:tcW w:w="0" w:type="auto"/>
            <w:gridSpan w:val="3"/>
            <w:shd w:val="clear" w:color="auto" w:fill="auto"/>
          </w:tcPr>
          <w:p w14:paraId="5C7C5A61" w14:textId="77777777" w:rsidR="0008009C" w:rsidRDefault="0008009C">
            <w:pPr>
              <w:rPr>
                <w:rFonts w:ascii="宋体"/>
                <w:vanish/>
              </w:rPr>
            </w:pPr>
          </w:p>
        </w:tc>
        <w:tc>
          <w:tcPr>
            <w:tcW w:w="0" w:type="auto"/>
            <w:gridSpan w:val="3"/>
            <w:shd w:val="clear" w:color="auto" w:fill="auto"/>
          </w:tcPr>
          <w:p w14:paraId="5C7C5A62" w14:textId="77777777" w:rsidR="0008009C" w:rsidRDefault="0008009C">
            <w:pPr>
              <w:rPr>
                <w:rFonts w:ascii="宋体"/>
                <w:vanish/>
              </w:rPr>
            </w:pPr>
          </w:p>
        </w:tc>
        <w:tc>
          <w:tcPr>
            <w:tcW w:w="0" w:type="auto"/>
            <w:gridSpan w:val="3"/>
            <w:shd w:val="clear" w:color="auto" w:fill="auto"/>
          </w:tcPr>
          <w:p w14:paraId="5C7C5A63" w14:textId="77777777" w:rsidR="0008009C" w:rsidRDefault="0008009C">
            <w:pPr>
              <w:rPr>
                <w:rFonts w:ascii="宋体"/>
                <w:vanish/>
              </w:rPr>
            </w:pPr>
          </w:p>
        </w:tc>
        <w:tc>
          <w:tcPr>
            <w:tcW w:w="0" w:type="auto"/>
            <w:gridSpan w:val="3"/>
            <w:shd w:val="clear" w:color="auto" w:fill="auto"/>
          </w:tcPr>
          <w:p w14:paraId="5C7C5A64" w14:textId="77777777" w:rsidR="0008009C" w:rsidRDefault="0008009C">
            <w:pPr>
              <w:rPr>
                <w:rFonts w:ascii="宋体"/>
                <w:vanish/>
              </w:rPr>
            </w:pPr>
          </w:p>
        </w:tc>
      </w:tr>
      <w:tr w:rsidR="0008009C" w14:paraId="5C7C5A71" w14:textId="77777777">
        <w:trPr>
          <w:hidden/>
        </w:trPr>
        <w:tc>
          <w:tcPr>
            <w:tcW w:w="0" w:type="auto"/>
            <w:gridSpan w:val="3"/>
            <w:shd w:val="clear" w:color="auto" w:fill="auto"/>
          </w:tcPr>
          <w:p w14:paraId="5C7C5A66" w14:textId="77777777" w:rsidR="0008009C" w:rsidRDefault="0008009C">
            <w:pPr>
              <w:rPr>
                <w:rFonts w:ascii="宋体"/>
                <w:vanish/>
              </w:rPr>
            </w:pPr>
          </w:p>
        </w:tc>
        <w:tc>
          <w:tcPr>
            <w:tcW w:w="0" w:type="auto"/>
            <w:gridSpan w:val="3"/>
            <w:shd w:val="clear" w:color="auto" w:fill="auto"/>
          </w:tcPr>
          <w:p w14:paraId="5C7C5A67" w14:textId="77777777" w:rsidR="0008009C" w:rsidRDefault="0008009C">
            <w:pPr>
              <w:rPr>
                <w:rFonts w:ascii="宋体"/>
                <w:vanish/>
              </w:rPr>
            </w:pPr>
          </w:p>
        </w:tc>
        <w:tc>
          <w:tcPr>
            <w:tcW w:w="0" w:type="auto"/>
            <w:gridSpan w:val="3"/>
            <w:shd w:val="clear" w:color="auto" w:fill="auto"/>
          </w:tcPr>
          <w:p w14:paraId="5C7C5A68" w14:textId="77777777" w:rsidR="0008009C" w:rsidRDefault="0008009C">
            <w:pPr>
              <w:rPr>
                <w:rFonts w:ascii="宋体"/>
                <w:vanish/>
              </w:rPr>
            </w:pPr>
          </w:p>
        </w:tc>
        <w:tc>
          <w:tcPr>
            <w:tcW w:w="0" w:type="auto"/>
            <w:gridSpan w:val="3"/>
            <w:shd w:val="clear" w:color="auto" w:fill="auto"/>
          </w:tcPr>
          <w:p w14:paraId="5C7C5A69" w14:textId="77777777" w:rsidR="0008009C" w:rsidRDefault="0008009C">
            <w:pPr>
              <w:rPr>
                <w:rFonts w:ascii="宋体"/>
                <w:vanish/>
              </w:rPr>
            </w:pPr>
          </w:p>
        </w:tc>
        <w:tc>
          <w:tcPr>
            <w:tcW w:w="0" w:type="auto"/>
            <w:gridSpan w:val="3"/>
            <w:shd w:val="clear" w:color="auto" w:fill="auto"/>
          </w:tcPr>
          <w:p w14:paraId="5C7C5A6A" w14:textId="77777777" w:rsidR="0008009C" w:rsidRDefault="0008009C">
            <w:pPr>
              <w:rPr>
                <w:rFonts w:ascii="宋体"/>
                <w:vanish/>
              </w:rPr>
            </w:pPr>
          </w:p>
        </w:tc>
        <w:tc>
          <w:tcPr>
            <w:tcW w:w="0" w:type="auto"/>
            <w:gridSpan w:val="3"/>
            <w:shd w:val="clear" w:color="auto" w:fill="auto"/>
          </w:tcPr>
          <w:p w14:paraId="5C7C5A6B" w14:textId="77777777" w:rsidR="0008009C" w:rsidRDefault="0008009C">
            <w:pPr>
              <w:rPr>
                <w:rFonts w:ascii="宋体"/>
                <w:vanish/>
              </w:rPr>
            </w:pPr>
          </w:p>
        </w:tc>
        <w:tc>
          <w:tcPr>
            <w:tcW w:w="0" w:type="auto"/>
            <w:gridSpan w:val="3"/>
            <w:shd w:val="clear" w:color="auto" w:fill="auto"/>
          </w:tcPr>
          <w:p w14:paraId="5C7C5A6C" w14:textId="77777777" w:rsidR="0008009C" w:rsidRDefault="0008009C">
            <w:pPr>
              <w:rPr>
                <w:rFonts w:ascii="宋体"/>
                <w:vanish/>
              </w:rPr>
            </w:pPr>
          </w:p>
        </w:tc>
        <w:tc>
          <w:tcPr>
            <w:tcW w:w="0" w:type="auto"/>
            <w:gridSpan w:val="3"/>
            <w:shd w:val="clear" w:color="auto" w:fill="auto"/>
          </w:tcPr>
          <w:p w14:paraId="5C7C5A6D" w14:textId="77777777" w:rsidR="0008009C" w:rsidRDefault="0008009C">
            <w:pPr>
              <w:rPr>
                <w:rFonts w:ascii="宋体"/>
                <w:vanish/>
              </w:rPr>
            </w:pPr>
          </w:p>
        </w:tc>
        <w:tc>
          <w:tcPr>
            <w:tcW w:w="0" w:type="auto"/>
            <w:gridSpan w:val="3"/>
            <w:shd w:val="clear" w:color="auto" w:fill="auto"/>
          </w:tcPr>
          <w:p w14:paraId="5C7C5A6E" w14:textId="77777777" w:rsidR="0008009C" w:rsidRDefault="0008009C">
            <w:pPr>
              <w:rPr>
                <w:rFonts w:ascii="宋体"/>
                <w:vanish/>
              </w:rPr>
            </w:pPr>
          </w:p>
        </w:tc>
        <w:tc>
          <w:tcPr>
            <w:tcW w:w="0" w:type="auto"/>
            <w:gridSpan w:val="3"/>
            <w:shd w:val="clear" w:color="auto" w:fill="auto"/>
          </w:tcPr>
          <w:p w14:paraId="5C7C5A6F" w14:textId="77777777" w:rsidR="0008009C" w:rsidRDefault="0008009C">
            <w:pPr>
              <w:rPr>
                <w:rFonts w:ascii="宋体"/>
                <w:vanish/>
              </w:rPr>
            </w:pPr>
          </w:p>
        </w:tc>
        <w:tc>
          <w:tcPr>
            <w:tcW w:w="0" w:type="auto"/>
            <w:gridSpan w:val="3"/>
            <w:shd w:val="clear" w:color="auto" w:fill="auto"/>
          </w:tcPr>
          <w:p w14:paraId="5C7C5A70" w14:textId="77777777" w:rsidR="0008009C" w:rsidRDefault="0008009C">
            <w:pPr>
              <w:rPr>
                <w:rFonts w:ascii="宋体"/>
                <w:vanish/>
              </w:rPr>
            </w:pPr>
          </w:p>
        </w:tc>
      </w:tr>
      <w:tr w:rsidR="0008009C" w14:paraId="5C7C5A7D" w14:textId="77777777">
        <w:trPr>
          <w:hidden/>
        </w:trPr>
        <w:tc>
          <w:tcPr>
            <w:tcW w:w="0" w:type="auto"/>
            <w:gridSpan w:val="3"/>
            <w:shd w:val="clear" w:color="auto" w:fill="auto"/>
          </w:tcPr>
          <w:p w14:paraId="5C7C5A72" w14:textId="77777777" w:rsidR="0008009C" w:rsidRDefault="0008009C">
            <w:pPr>
              <w:rPr>
                <w:rFonts w:ascii="宋体"/>
                <w:vanish/>
              </w:rPr>
            </w:pPr>
          </w:p>
        </w:tc>
        <w:tc>
          <w:tcPr>
            <w:tcW w:w="0" w:type="auto"/>
            <w:gridSpan w:val="3"/>
            <w:shd w:val="clear" w:color="auto" w:fill="auto"/>
          </w:tcPr>
          <w:p w14:paraId="5C7C5A73" w14:textId="77777777" w:rsidR="0008009C" w:rsidRDefault="0008009C">
            <w:pPr>
              <w:rPr>
                <w:rFonts w:ascii="宋体"/>
                <w:vanish/>
              </w:rPr>
            </w:pPr>
          </w:p>
        </w:tc>
        <w:tc>
          <w:tcPr>
            <w:tcW w:w="0" w:type="auto"/>
            <w:gridSpan w:val="3"/>
            <w:shd w:val="clear" w:color="auto" w:fill="auto"/>
          </w:tcPr>
          <w:p w14:paraId="5C7C5A74" w14:textId="77777777" w:rsidR="0008009C" w:rsidRDefault="0008009C">
            <w:pPr>
              <w:rPr>
                <w:rFonts w:ascii="宋体"/>
                <w:vanish/>
              </w:rPr>
            </w:pPr>
          </w:p>
        </w:tc>
        <w:tc>
          <w:tcPr>
            <w:tcW w:w="0" w:type="auto"/>
            <w:gridSpan w:val="3"/>
            <w:shd w:val="clear" w:color="auto" w:fill="auto"/>
          </w:tcPr>
          <w:p w14:paraId="5C7C5A75" w14:textId="77777777" w:rsidR="0008009C" w:rsidRDefault="0008009C">
            <w:pPr>
              <w:rPr>
                <w:rFonts w:ascii="宋体"/>
                <w:vanish/>
              </w:rPr>
            </w:pPr>
          </w:p>
        </w:tc>
        <w:tc>
          <w:tcPr>
            <w:tcW w:w="0" w:type="auto"/>
            <w:gridSpan w:val="3"/>
            <w:shd w:val="clear" w:color="auto" w:fill="auto"/>
          </w:tcPr>
          <w:p w14:paraId="5C7C5A76" w14:textId="77777777" w:rsidR="0008009C" w:rsidRDefault="0008009C">
            <w:pPr>
              <w:rPr>
                <w:rFonts w:ascii="宋体"/>
                <w:vanish/>
              </w:rPr>
            </w:pPr>
          </w:p>
        </w:tc>
        <w:tc>
          <w:tcPr>
            <w:tcW w:w="0" w:type="auto"/>
            <w:gridSpan w:val="3"/>
            <w:shd w:val="clear" w:color="auto" w:fill="auto"/>
          </w:tcPr>
          <w:p w14:paraId="5C7C5A77" w14:textId="77777777" w:rsidR="0008009C" w:rsidRDefault="0008009C">
            <w:pPr>
              <w:rPr>
                <w:rFonts w:ascii="宋体"/>
                <w:vanish/>
              </w:rPr>
            </w:pPr>
          </w:p>
        </w:tc>
        <w:tc>
          <w:tcPr>
            <w:tcW w:w="0" w:type="auto"/>
            <w:gridSpan w:val="3"/>
            <w:shd w:val="clear" w:color="auto" w:fill="auto"/>
          </w:tcPr>
          <w:p w14:paraId="5C7C5A78" w14:textId="77777777" w:rsidR="0008009C" w:rsidRDefault="0008009C">
            <w:pPr>
              <w:rPr>
                <w:rFonts w:ascii="宋体"/>
                <w:vanish/>
              </w:rPr>
            </w:pPr>
          </w:p>
        </w:tc>
        <w:tc>
          <w:tcPr>
            <w:tcW w:w="0" w:type="auto"/>
            <w:gridSpan w:val="3"/>
            <w:shd w:val="clear" w:color="auto" w:fill="auto"/>
          </w:tcPr>
          <w:p w14:paraId="5C7C5A79" w14:textId="77777777" w:rsidR="0008009C" w:rsidRDefault="0008009C">
            <w:pPr>
              <w:rPr>
                <w:rFonts w:ascii="宋体"/>
                <w:vanish/>
              </w:rPr>
            </w:pPr>
          </w:p>
        </w:tc>
        <w:tc>
          <w:tcPr>
            <w:tcW w:w="0" w:type="auto"/>
            <w:gridSpan w:val="3"/>
            <w:shd w:val="clear" w:color="auto" w:fill="auto"/>
          </w:tcPr>
          <w:p w14:paraId="5C7C5A7A" w14:textId="77777777" w:rsidR="0008009C" w:rsidRDefault="0008009C">
            <w:pPr>
              <w:rPr>
                <w:rFonts w:ascii="宋体"/>
                <w:vanish/>
              </w:rPr>
            </w:pPr>
          </w:p>
        </w:tc>
        <w:tc>
          <w:tcPr>
            <w:tcW w:w="0" w:type="auto"/>
            <w:gridSpan w:val="3"/>
            <w:shd w:val="clear" w:color="auto" w:fill="auto"/>
          </w:tcPr>
          <w:p w14:paraId="5C7C5A7B" w14:textId="77777777" w:rsidR="0008009C" w:rsidRDefault="0008009C">
            <w:pPr>
              <w:rPr>
                <w:rFonts w:ascii="宋体"/>
                <w:vanish/>
              </w:rPr>
            </w:pPr>
          </w:p>
        </w:tc>
        <w:tc>
          <w:tcPr>
            <w:tcW w:w="0" w:type="auto"/>
            <w:gridSpan w:val="3"/>
            <w:shd w:val="clear" w:color="auto" w:fill="auto"/>
          </w:tcPr>
          <w:p w14:paraId="5C7C5A7C" w14:textId="77777777" w:rsidR="0008009C" w:rsidRDefault="0008009C">
            <w:pPr>
              <w:rPr>
                <w:rFonts w:ascii="宋体"/>
                <w:vanish/>
              </w:rPr>
            </w:pPr>
          </w:p>
        </w:tc>
      </w:tr>
      <w:tr w:rsidR="0008009C" w14:paraId="5C7C5A89" w14:textId="77777777">
        <w:trPr>
          <w:hidden/>
        </w:trPr>
        <w:tc>
          <w:tcPr>
            <w:tcW w:w="0" w:type="auto"/>
            <w:gridSpan w:val="3"/>
            <w:shd w:val="clear" w:color="auto" w:fill="auto"/>
          </w:tcPr>
          <w:p w14:paraId="5C7C5A7E" w14:textId="77777777" w:rsidR="0008009C" w:rsidRDefault="0008009C">
            <w:pPr>
              <w:rPr>
                <w:rFonts w:ascii="宋体"/>
                <w:vanish/>
              </w:rPr>
            </w:pPr>
          </w:p>
        </w:tc>
        <w:tc>
          <w:tcPr>
            <w:tcW w:w="0" w:type="auto"/>
            <w:gridSpan w:val="3"/>
            <w:shd w:val="clear" w:color="auto" w:fill="auto"/>
          </w:tcPr>
          <w:p w14:paraId="5C7C5A7F" w14:textId="77777777" w:rsidR="0008009C" w:rsidRDefault="0008009C">
            <w:pPr>
              <w:rPr>
                <w:rFonts w:ascii="宋体"/>
                <w:vanish/>
              </w:rPr>
            </w:pPr>
          </w:p>
        </w:tc>
        <w:tc>
          <w:tcPr>
            <w:tcW w:w="0" w:type="auto"/>
            <w:gridSpan w:val="3"/>
            <w:shd w:val="clear" w:color="auto" w:fill="auto"/>
          </w:tcPr>
          <w:p w14:paraId="5C7C5A80" w14:textId="77777777" w:rsidR="0008009C" w:rsidRDefault="0008009C">
            <w:pPr>
              <w:rPr>
                <w:rFonts w:ascii="宋体"/>
                <w:vanish/>
              </w:rPr>
            </w:pPr>
          </w:p>
        </w:tc>
        <w:tc>
          <w:tcPr>
            <w:tcW w:w="0" w:type="auto"/>
            <w:gridSpan w:val="3"/>
            <w:shd w:val="clear" w:color="auto" w:fill="auto"/>
          </w:tcPr>
          <w:p w14:paraId="5C7C5A81" w14:textId="77777777" w:rsidR="0008009C" w:rsidRDefault="0008009C">
            <w:pPr>
              <w:rPr>
                <w:rFonts w:ascii="宋体"/>
                <w:vanish/>
              </w:rPr>
            </w:pPr>
          </w:p>
        </w:tc>
        <w:tc>
          <w:tcPr>
            <w:tcW w:w="0" w:type="auto"/>
            <w:gridSpan w:val="3"/>
            <w:shd w:val="clear" w:color="auto" w:fill="auto"/>
          </w:tcPr>
          <w:p w14:paraId="5C7C5A82" w14:textId="77777777" w:rsidR="0008009C" w:rsidRDefault="0008009C">
            <w:pPr>
              <w:rPr>
                <w:rFonts w:ascii="宋体"/>
                <w:vanish/>
              </w:rPr>
            </w:pPr>
          </w:p>
        </w:tc>
        <w:tc>
          <w:tcPr>
            <w:tcW w:w="0" w:type="auto"/>
            <w:gridSpan w:val="3"/>
            <w:shd w:val="clear" w:color="auto" w:fill="auto"/>
          </w:tcPr>
          <w:p w14:paraId="5C7C5A83" w14:textId="77777777" w:rsidR="0008009C" w:rsidRDefault="0008009C">
            <w:pPr>
              <w:rPr>
                <w:rFonts w:ascii="宋体"/>
                <w:vanish/>
              </w:rPr>
            </w:pPr>
          </w:p>
        </w:tc>
        <w:tc>
          <w:tcPr>
            <w:tcW w:w="0" w:type="auto"/>
            <w:gridSpan w:val="3"/>
            <w:shd w:val="clear" w:color="auto" w:fill="auto"/>
          </w:tcPr>
          <w:p w14:paraId="5C7C5A84" w14:textId="77777777" w:rsidR="0008009C" w:rsidRDefault="0008009C">
            <w:pPr>
              <w:rPr>
                <w:rFonts w:ascii="宋体"/>
                <w:vanish/>
              </w:rPr>
            </w:pPr>
          </w:p>
        </w:tc>
        <w:tc>
          <w:tcPr>
            <w:tcW w:w="0" w:type="auto"/>
            <w:gridSpan w:val="3"/>
            <w:shd w:val="clear" w:color="auto" w:fill="auto"/>
          </w:tcPr>
          <w:p w14:paraId="5C7C5A85" w14:textId="77777777" w:rsidR="0008009C" w:rsidRDefault="0008009C">
            <w:pPr>
              <w:rPr>
                <w:rFonts w:ascii="宋体"/>
                <w:vanish/>
              </w:rPr>
            </w:pPr>
          </w:p>
        </w:tc>
        <w:tc>
          <w:tcPr>
            <w:tcW w:w="0" w:type="auto"/>
            <w:gridSpan w:val="3"/>
            <w:shd w:val="clear" w:color="auto" w:fill="auto"/>
          </w:tcPr>
          <w:p w14:paraId="5C7C5A86" w14:textId="77777777" w:rsidR="0008009C" w:rsidRDefault="0008009C">
            <w:pPr>
              <w:rPr>
                <w:rFonts w:ascii="宋体"/>
                <w:vanish/>
              </w:rPr>
            </w:pPr>
          </w:p>
        </w:tc>
        <w:tc>
          <w:tcPr>
            <w:tcW w:w="0" w:type="auto"/>
            <w:gridSpan w:val="3"/>
            <w:shd w:val="clear" w:color="auto" w:fill="auto"/>
          </w:tcPr>
          <w:p w14:paraId="5C7C5A87" w14:textId="77777777" w:rsidR="0008009C" w:rsidRDefault="0008009C">
            <w:pPr>
              <w:rPr>
                <w:rFonts w:ascii="宋体"/>
                <w:vanish/>
              </w:rPr>
            </w:pPr>
          </w:p>
        </w:tc>
        <w:tc>
          <w:tcPr>
            <w:tcW w:w="0" w:type="auto"/>
            <w:gridSpan w:val="3"/>
            <w:shd w:val="clear" w:color="auto" w:fill="auto"/>
          </w:tcPr>
          <w:p w14:paraId="5C7C5A88" w14:textId="77777777" w:rsidR="0008009C" w:rsidRDefault="0008009C">
            <w:pPr>
              <w:rPr>
                <w:rFonts w:ascii="宋体"/>
                <w:vanish/>
              </w:rPr>
            </w:pPr>
          </w:p>
        </w:tc>
      </w:tr>
      <w:tr w:rsidR="0008009C" w14:paraId="5C7C5A95" w14:textId="77777777">
        <w:trPr>
          <w:hidden/>
        </w:trPr>
        <w:tc>
          <w:tcPr>
            <w:tcW w:w="0" w:type="auto"/>
            <w:gridSpan w:val="3"/>
            <w:shd w:val="clear" w:color="auto" w:fill="auto"/>
          </w:tcPr>
          <w:p w14:paraId="5C7C5A8A" w14:textId="77777777" w:rsidR="0008009C" w:rsidRDefault="0008009C">
            <w:pPr>
              <w:rPr>
                <w:rFonts w:ascii="宋体"/>
                <w:vanish/>
              </w:rPr>
            </w:pPr>
          </w:p>
        </w:tc>
        <w:tc>
          <w:tcPr>
            <w:tcW w:w="0" w:type="auto"/>
            <w:gridSpan w:val="3"/>
            <w:shd w:val="clear" w:color="auto" w:fill="auto"/>
          </w:tcPr>
          <w:p w14:paraId="5C7C5A8B" w14:textId="77777777" w:rsidR="0008009C" w:rsidRDefault="0008009C">
            <w:pPr>
              <w:rPr>
                <w:rFonts w:ascii="宋体"/>
                <w:vanish/>
              </w:rPr>
            </w:pPr>
          </w:p>
        </w:tc>
        <w:tc>
          <w:tcPr>
            <w:tcW w:w="0" w:type="auto"/>
            <w:gridSpan w:val="3"/>
            <w:shd w:val="clear" w:color="auto" w:fill="auto"/>
          </w:tcPr>
          <w:p w14:paraId="5C7C5A8C" w14:textId="77777777" w:rsidR="0008009C" w:rsidRDefault="0008009C">
            <w:pPr>
              <w:rPr>
                <w:rFonts w:ascii="宋体"/>
                <w:vanish/>
              </w:rPr>
            </w:pPr>
          </w:p>
        </w:tc>
        <w:tc>
          <w:tcPr>
            <w:tcW w:w="0" w:type="auto"/>
            <w:gridSpan w:val="3"/>
            <w:shd w:val="clear" w:color="auto" w:fill="auto"/>
          </w:tcPr>
          <w:p w14:paraId="5C7C5A8D" w14:textId="77777777" w:rsidR="0008009C" w:rsidRDefault="0008009C">
            <w:pPr>
              <w:rPr>
                <w:rFonts w:ascii="宋体"/>
                <w:vanish/>
              </w:rPr>
            </w:pPr>
          </w:p>
        </w:tc>
        <w:tc>
          <w:tcPr>
            <w:tcW w:w="0" w:type="auto"/>
            <w:gridSpan w:val="3"/>
            <w:shd w:val="clear" w:color="auto" w:fill="auto"/>
          </w:tcPr>
          <w:p w14:paraId="5C7C5A8E" w14:textId="77777777" w:rsidR="0008009C" w:rsidRDefault="0008009C">
            <w:pPr>
              <w:rPr>
                <w:rFonts w:ascii="宋体"/>
                <w:vanish/>
              </w:rPr>
            </w:pPr>
          </w:p>
        </w:tc>
        <w:tc>
          <w:tcPr>
            <w:tcW w:w="0" w:type="auto"/>
            <w:gridSpan w:val="3"/>
            <w:shd w:val="clear" w:color="auto" w:fill="auto"/>
          </w:tcPr>
          <w:p w14:paraId="5C7C5A8F" w14:textId="77777777" w:rsidR="0008009C" w:rsidRDefault="0008009C">
            <w:pPr>
              <w:rPr>
                <w:rFonts w:ascii="宋体"/>
                <w:vanish/>
              </w:rPr>
            </w:pPr>
          </w:p>
        </w:tc>
        <w:tc>
          <w:tcPr>
            <w:tcW w:w="0" w:type="auto"/>
            <w:gridSpan w:val="3"/>
            <w:shd w:val="clear" w:color="auto" w:fill="auto"/>
          </w:tcPr>
          <w:p w14:paraId="5C7C5A90" w14:textId="77777777" w:rsidR="0008009C" w:rsidRDefault="0008009C">
            <w:pPr>
              <w:rPr>
                <w:rFonts w:ascii="宋体"/>
                <w:vanish/>
              </w:rPr>
            </w:pPr>
          </w:p>
        </w:tc>
        <w:tc>
          <w:tcPr>
            <w:tcW w:w="0" w:type="auto"/>
            <w:gridSpan w:val="3"/>
            <w:shd w:val="clear" w:color="auto" w:fill="auto"/>
          </w:tcPr>
          <w:p w14:paraId="5C7C5A91" w14:textId="77777777" w:rsidR="0008009C" w:rsidRDefault="0008009C">
            <w:pPr>
              <w:rPr>
                <w:rFonts w:ascii="宋体"/>
                <w:vanish/>
              </w:rPr>
            </w:pPr>
          </w:p>
        </w:tc>
        <w:tc>
          <w:tcPr>
            <w:tcW w:w="0" w:type="auto"/>
            <w:gridSpan w:val="3"/>
            <w:shd w:val="clear" w:color="auto" w:fill="auto"/>
          </w:tcPr>
          <w:p w14:paraId="5C7C5A92" w14:textId="77777777" w:rsidR="0008009C" w:rsidRDefault="0008009C">
            <w:pPr>
              <w:rPr>
                <w:rFonts w:ascii="宋体"/>
                <w:vanish/>
              </w:rPr>
            </w:pPr>
          </w:p>
        </w:tc>
        <w:tc>
          <w:tcPr>
            <w:tcW w:w="0" w:type="auto"/>
            <w:gridSpan w:val="3"/>
            <w:shd w:val="clear" w:color="auto" w:fill="auto"/>
          </w:tcPr>
          <w:p w14:paraId="5C7C5A93" w14:textId="77777777" w:rsidR="0008009C" w:rsidRDefault="0008009C">
            <w:pPr>
              <w:rPr>
                <w:rFonts w:ascii="宋体"/>
                <w:vanish/>
              </w:rPr>
            </w:pPr>
          </w:p>
        </w:tc>
        <w:tc>
          <w:tcPr>
            <w:tcW w:w="0" w:type="auto"/>
            <w:gridSpan w:val="3"/>
            <w:shd w:val="clear" w:color="auto" w:fill="auto"/>
          </w:tcPr>
          <w:p w14:paraId="5C7C5A94" w14:textId="77777777" w:rsidR="0008009C" w:rsidRDefault="0008009C">
            <w:pPr>
              <w:rPr>
                <w:rFonts w:ascii="宋体"/>
                <w:vanish/>
              </w:rPr>
            </w:pPr>
          </w:p>
        </w:tc>
      </w:tr>
      <w:tr w:rsidR="0008009C" w14:paraId="5C7C5AA1" w14:textId="77777777">
        <w:trPr>
          <w:hidden/>
        </w:trPr>
        <w:tc>
          <w:tcPr>
            <w:tcW w:w="0" w:type="auto"/>
            <w:gridSpan w:val="3"/>
            <w:shd w:val="clear" w:color="auto" w:fill="auto"/>
          </w:tcPr>
          <w:p w14:paraId="5C7C5A96" w14:textId="77777777" w:rsidR="0008009C" w:rsidRDefault="0008009C">
            <w:pPr>
              <w:rPr>
                <w:rFonts w:ascii="宋体"/>
                <w:vanish/>
              </w:rPr>
            </w:pPr>
          </w:p>
        </w:tc>
        <w:tc>
          <w:tcPr>
            <w:tcW w:w="0" w:type="auto"/>
            <w:gridSpan w:val="3"/>
            <w:shd w:val="clear" w:color="auto" w:fill="auto"/>
          </w:tcPr>
          <w:p w14:paraId="5C7C5A97" w14:textId="77777777" w:rsidR="0008009C" w:rsidRDefault="0008009C">
            <w:pPr>
              <w:rPr>
                <w:rFonts w:ascii="宋体"/>
                <w:vanish/>
              </w:rPr>
            </w:pPr>
          </w:p>
        </w:tc>
        <w:tc>
          <w:tcPr>
            <w:tcW w:w="0" w:type="auto"/>
            <w:gridSpan w:val="3"/>
            <w:shd w:val="clear" w:color="auto" w:fill="auto"/>
          </w:tcPr>
          <w:p w14:paraId="5C7C5A98" w14:textId="77777777" w:rsidR="0008009C" w:rsidRDefault="0008009C">
            <w:pPr>
              <w:rPr>
                <w:rFonts w:ascii="宋体"/>
                <w:vanish/>
              </w:rPr>
            </w:pPr>
          </w:p>
        </w:tc>
        <w:tc>
          <w:tcPr>
            <w:tcW w:w="0" w:type="auto"/>
            <w:gridSpan w:val="3"/>
            <w:shd w:val="clear" w:color="auto" w:fill="auto"/>
          </w:tcPr>
          <w:p w14:paraId="5C7C5A99" w14:textId="77777777" w:rsidR="0008009C" w:rsidRDefault="0008009C">
            <w:pPr>
              <w:rPr>
                <w:rFonts w:ascii="宋体"/>
                <w:vanish/>
              </w:rPr>
            </w:pPr>
          </w:p>
        </w:tc>
        <w:tc>
          <w:tcPr>
            <w:tcW w:w="0" w:type="auto"/>
            <w:gridSpan w:val="3"/>
            <w:shd w:val="clear" w:color="auto" w:fill="auto"/>
          </w:tcPr>
          <w:p w14:paraId="5C7C5A9A" w14:textId="77777777" w:rsidR="0008009C" w:rsidRDefault="0008009C">
            <w:pPr>
              <w:rPr>
                <w:rFonts w:ascii="宋体"/>
                <w:vanish/>
              </w:rPr>
            </w:pPr>
          </w:p>
        </w:tc>
        <w:tc>
          <w:tcPr>
            <w:tcW w:w="0" w:type="auto"/>
            <w:gridSpan w:val="3"/>
            <w:shd w:val="clear" w:color="auto" w:fill="auto"/>
          </w:tcPr>
          <w:p w14:paraId="5C7C5A9B" w14:textId="77777777" w:rsidR="0008009C" w:rsidRDefault="0008009C">
            <w:pPr>
              <w:rPr>
                <w:rFonts w:ascii="宋体"/>
                <w:vanish/>
              </w:rPr>
            </w:pPr>
          </w:p>
        </w:tc>
        <w:tc>
          <w:tcPr>
            <w:tcW w:w="0" w:type="auto"/>
            <w:gridSpan w:val="3"/>
            <w:shd w:val="clear" w:color="auto" w:fill="auto"/>
          </w:tcPr>
          <w:p w14:paraId="5C7C5A9C" w14:textId="77777777" w:rsidR="0008009C" w:rsidRDefault="0008009C">
            <w:pPr>
              <w:rPr>
                <w:rFonts w:ascii="宋体"/>
                <w:vanish/>
              </w:rPr>
            </w:pPr>
          </w:p>
        </w:tc>
        <w:tc>
          <w:tcPr>
            <w:tcW w:w="0" w:type="auto"/>
            <w:gridSpan w:val="3"/>
            <w:shd w:val="clear" w:color="auto" w:fill="auto"/>
          </w:tcPr>
          <w:p w14:paraId="5C7C5A9D" w14:textId="77777777" w:rsidR="0008009C" w:rsidRDefault="0008009C">
            <w:pPr>
              <w:rPr>
                <w:rFonts w:ascii="宋体"/>
                <w:vanish/>
              </w:rPr>
            </w:pPr>
          </w:p>
        </w:tc>
        <w:tc>
          <w:tcPr>
            <w:tcW w:w="0" w:type="auto"/>
            <w:gridSpan w:val="3"/>
            <w:shd w:val="clear" w:color="auto" w:fill="auto"/>
          </w:tcPr>
          <w:p w14:paraId="5C7C5A9E" w14:textId="77777777" w:rsidR="0008009C" w:rsidRDefault="0008009C">
            <w:pPr>
              <w:rPr>
                <w:rFonts w:ascii="宋体"/>
                <w:vanish/>
              </w:rPr>
            </w:pPr>
          </w:p>
        </w:tc>
        <w:tc>
          <w:tcPr>
            <w:tcW w:w="0" w:type="auto"/>
            <w:gridSpan w:val="3"/>
            <w:shd w:val="clear" w:color="auto" w:fill="auto"/>
          </w:tcPr>
          <w:p w14:paraId="5C7C5A9F" w14:textId="77777777" w:rsidR="0008009C" w:rsidRDefault="0008009C">
            <w:pPr>
              <w:rPr>
                <w:rFonts w:ascii="宋体"/>
                <w:vanish/>
              </w:rPr>
            </w:pPr>
          </w:p>
        </w:tc>
        <w:tc>
          <w:tcPr>
            <w:tcW w:w="0" w:type="auto"/>
            <w:gridSpan w:val="3"/>
            <w:shd w:val="clear" w:color="auto" w:fill="auto"/>
          </w:tcPr>
          <w:p w14:paraId="5C7C5AA0" w14:textId="77777777" w:rsidR="0008009C" w:rsidRDefault="0008009C">
            <w:pPr>
              <w:rPr>
                <w:rFonts w:ascii="宋体"/>
                <w:vanish/>
              </w:rPr>
            </w:pPr>
          </w:p>
        </w:tc>
      </w:tr>
      <w:tr w:rsidR="0008009C" w14:paraId="5C7C5AAD" w14:textId="77777777">
        <w:trPr>
          <w:hidden/>
        </w:trPr>
        <w:tc>
          <w:tcPr>
            <w:tcW w:w="0" w:type="auto"/>
            <w:gridSpan w:val="3"/>
            <w:shd w:val="clear" w:color="auto" w:fill="auto"/>
          </w:tcPr>
          <w:p w14:paraId="5C7C5AA2" w14:textId="77777777" w:rsidR="0008009C" w:rsidRDefault="0008009C">
            <w:pPr>
              <w:rPr>
                <w:rFonts w:ascii="宋体"/>
                <w:vanish/>
              </w:rPr>
            </w:pPr>
          </w:p>
        </w:tc>
        <w:tc>
          <w:tcPr>
            <w:tcW w:w="0" w:type="auto"/>
            <w:gridSpan w:val="3"/>
            <w:shd w:val="clear" w:color="auto" w:fill="auto"/>
          </w:tcPr>
          <w:p w14:paraId="5C7C5AA3" w14:textId="77777777" w:rsidR="0008009C" w:rsidRDefault="0008009C">
            <w:pPr>
              <w:rPr>
                <w:rFonts w:ascii="宋体"/>
                <w:vanish/>
              </w:rPr>
            </w:pPr>
          </w:p>
        </w:tc>
        <w:tc>
          <w:tcPr>
            <w:tcW w:w="0" w:type="auto"/>
            <w:gridSpan w:val="3"/>
            <w:shd w:val="clear" w:color="auto" w:fill="auto"/>
          </w:tcPr>
          <w:p w14:paraId="5C7C5AA4" w14:textId="77777777" w:rsidR="0008009C" w:rsidRDefault="0008009C">
            <w:pPr>
              <w:rPr>
                <w:rFonts w:ascii="宋体"/>
                <w:vanish/>
              </w:rPr>
            </w:pPr>
          </w:p>
        </w:tc>
        <w:tc>
          <w:tcPr>
            <w:tcW w:w="0" w:type="auto"/>
            <w:gridSpan w:val="3"/>
            <w:shd w:val="clear" w:color="auto" w:fill="auto"/>
          </w:tcPr>
          <w:p w14:paraId="5C7C5AA5" w14:textId="77777777" w:rsidR="0008009C" w:rsidRDefault="0008009C">
            <w:pPr>
              <w:rPr>
                <w:rFonts w:ascii="宋体"/>
                <w:vanish/>
              </w:rPr>
            </w:pPr>
          </w:p>
        </w:tc>
        <w:tc>
          <w:tcPr>
            <w:tcW w:w="0" w:type="auto"/>
            <w:gridSpan w:val="3"/>
            <w:shd w:val="clear" w:color="auto" w:fill="auto"/>
          </w:tcPr>
          <w:p w14:paraId="5C7C5AA6" w14:textId="77777777" w:rsidR="0008009C" w:rsidRDefault="0008009C">
            <w:pPr>
              <w:rPr>
                <w:rFonts w:ascii="宋体"/>
                <w:vanish/>
              </w:rPr>
            </w:pPr>
          </w:p>
        </w:tc>
        <w:tc>
          <w:tcPr>
            <w:tcW w:w="0" w:type="auto"/>
            <w:gridSpan w:val="3"/>
            <w:shd w:val="clear" w:color="auto" w:fill="auto"/>
          </w:tcPr>
          <w:p w14:paraId="5C7C5AA7" w14:textId="77777777" w:rsidR="0008009C" w:rsidRDefault="0008009C">
            <w:pPr>
              <w:rPr>
                <w:rFonts w:ascii="宋体"/>
                <w:vanish/>
              </w:rPr>
            </w:pPr>
          </w:p>
        </w:tc>
        <w:tc>
          <w:tcPr>
            <w:tcW w:w="0" w:type="auto"/>
            <w:gridSpan w:val="3"/>
            <w:shd w:val="clear" w:color="auto" w:fill="auto"/>
          </w:tcPr>
          <w:p w14:paraId="5C7C5AA8" w14:textId="77777777" w:rsidR="0008009C" w:rsidRDefault="0008009C">
            <w:pPr>
              <w:rPr>
                <w:rFonts w:ascii="宋体"/>
                <w:vanish/>
              </w:rPr>
            </w:pPr>
          </w:p>
        </w:tc>
        <w:tc>
          <w:tcPr>
            <w:tcW w:w="0" w:type="auto"/>
            <w:gridSpan w:val="3"/>
            <w:shd w:val="clear" w:color="auto" w:fill="auto"/>
          </w:tcPr>
          <w:p w14:paraId="5C7C5AA9" w14:textId="77777777" w:rsidR="0008009C" w:rsidRDefault="0008009C">
            <w:pPr>
              <w:rPr>
                <w:rFonts w:ascii="宋体"/>
                <w:vanish/>
              </w:rPr>
            </w:pPr>
          </w:p>
        </w:tc>
        <w:tc>
          <w:tcPr>
            <w:tcW w:w="0" w:type="auto"/>
            <w:gridSpan w:val="3"/>
            <w:shd w:val="clear" w:color="auto" w:fill="auto"/>
          </w:tcPr>
          <w:p w14:paraId="5C7C5AAA" w14:textId="77777777" w:rsidR="0008009C" w:rsidRDefault="0008009C">
            <w:pPr>
              <w:rPr>
                <w:rFonts w:ascii="宋体"/>
                <w:vanish/>
              </w:rPr>
            </w:pPr>
          </w:p>
        </w:tc>
        <w:tc>
          <w:tcPr>
            <w:tcW w:w="0" w:type="auto"/>
            <w:gridSpan w:val="3"/>
            <w:shd w:val="clear" w:color="auto" w:fill="auto"/>
          </w:tcPr>
          <w:p w14:paraId="5C7C5AAB" w14:textId="77777777" w:rsidR="0008009C" w:rsidRDefault="0008009C">
            <w:pPr>
              <w:rPr>
                <w:rFonts w:ascii="宋体"/>
                <w:vanish/>
              </w:rPr>
            </w:pPr>
          </w:p>
        </w:tc>
        <w:tc>
          <w:tcPr>
            <w:tcW w:w="0" w:type="auto"/>
            <w:gridSpan w:val="3"/>
            <w:shd w:val="clear" w:color="auto" w:fill="auto"/>
          </w:tcPr>
          <w:p w14:paraId="5C7C5AAC" w14:textId="77777777" w:rsidR="0008009C" w:rsidRDefault="0008009C">
            <w:pPr>
              <w:rPr>
                <w:rFonts w:ascii="宋体"/>
                <w:vanish/>
              </w:rPr>
            </w:pPr>
          </w:p>
        </w:tc>
      </w:tr>
      <w:tr w:rsidR="0008009C" w14:paraId="5C7C5AB9" w14:textId="77777777">
        <w:trPr>
          <w:hidden/>
        </w:trPr>
        <w:tc>
          <w:tcPr>
            <w:tcW w:w="0" w:type="auto"/>
            <w:gridSpan w:val="3"/>
            <w:shd w:val="clear" w:color="auto" w:fill="auto"/>
          </w:tcPr>
          <w:p w14:paraId="5C7C5AAE" w14:textId="77777777" w:rsidR="0008009C" w:rsidRDefault="0008009C">
            <w:pPr>
              <w:rPr>
                <w:rFonts w:ascii="宋体"/>
                <w:vanish/>
              </w:rPr>
            </w:pPr>
          </w:p>
        </w:tc>
        <w:tc>
          <w:tcPr>
            <w:tcW w:w="0" w:type="auto"/>
            <w:gridSpan w:val="3"/>
            <w:shd w:val="clear" w:color="auto" w:fill="auto"/>
          </w:tcPr>
          <w:p w14:paraId="5C7C5AAF" w14:textId="77777777" w:rsidR="0008009C" w:rsidRDefault="0008009C">
            <w:pPr>
              <w:rPr>
                <w:rFonts w:ascii="宋体"/>
                <w:vanish/>
              </w:rPr>
            </w:pPr>
          </w:p>
        </w:tc>
        <w:tc>
          <w:tcPr>
            <w:tcW w:w="0" w:type="auto"/>
            <w:gridSpan w:val="3"/>
            <w:shd w:val="clear" w:color="auto" w:fill="auto"/>
          </w:tcPr>
          <w:p w14:paraId="5C7C5AB0" w14:textId="77777777" w:rsidR="0008009C" w:rsidRDefault="0008009C">
            <w:pPr>
              <w:rPr>
                <w:rFonts w:ascii="宋体"/>
                <w:vanish/>
              </w:rPr>
            </w:pPr>
          </w:p>
        </w:tc>
        <w:tc>
          <w:tcPr>
            <w:tcW w:w="0" w:type="auto"/>
            <w:gridSpan w:val="3"/>
            <w:shd w:val="clear" w:color="auto" w:fill="auto"/>
          </w:tcPr>
          <w:p w14:paraId="5C7C5AB1" w14:textId="77777777" w:rsidR="0008009C" w:rsidRDefault="0008009C">
            <w:pPr>
              <w:rPr>
                <w:rFonts w:ascii="宋体"/>
                <w:vanish/>
              </w:rPr>
            </w:pPr>
          </w:p>
        </w:tc>
        <w:tc>
          <w:tcPr>
            <w:tcW w:w="0" w:type="auto"/>
            <w:gridSpan w:val="3"/>
            <w:shd w:val="clear" w:color="auto" w:fill="auto"/>
          </w:tcPr>
          <w:p w14:paraId="5C7C5AB2" w14:textId="77777777" w:rsidR="0008009C" w:rsidRDefault="0008009C">
            <w:pPr>
              <w:rPr>
                <w:rFonts w:ascii="宋体"/>
                <w:vanish/>
              </w:rPr>
            </w:pPr>
          </w:p>
        </w:tc>
        <w:tc>
          <w:tcPr>
            <w:tcW w:w="0" w:type="auto"/>
            <w:gridSpan w:val="3"/>
            <w:shd w:val="clear" w:color="auto" w:fill="auto"/>
          </w:tcPr>
          <w:p w14:paraId="5C7C5AB3" w14:textId="77777777" w:rsidR="0008009C" w:rsidRDefault="0008009C">
            <w:pPr>
              <w:rPr>
                <w:rFonts w:ascii="宋体"/>
                <w:vanish/>
              </w:rPr>
            </w:pPr>
          </w:p>
        </w:tc>
        <w:tc>
          <w:tcPr>
            <w:tcW w:w="0" w:type="auto"/>
            <w:gridSpan w:val="3"/>
            <w:shd w:val="clear" w:color="auto" w:fill="auto"/>
          </w:tcPr>
          <w:p w14:paraId="5C7C5AB4" w14:textId="77777777" w:rsidR="0008009C" w:rsidRDefault="0008009C">
            <w:pPr>
              <w:rPr>
                <w:rFonts w:ascii="宋体"/>
                <w:vanish/>
              </w:rPr>
            </w:pPr>
          </w:p>
        </w:tc>
        <w:tc>
          <w:tcPr>
            <w:tcW w:w="0" w:type="auto"/>
            <w:gridSpan w:val="3"/>
            <w:shd w:val="clear" w:color="auto" w:fill="auto"/>
          </w:tcPr>
          <w:p w14:paraId="5C7C5AB5" w14:textId="77777777" w:rsidR="0008009C" w:rsidRDefault="0008009C">
            <w:pPr>
              <w:rPr>
                <w:rFonts w:ascii="宋体"/>
                <w:vanish/>
              </w:rPr>
            </w:pPr>
          </w:p>
        </w:tc>
        <w:tc>
          <w:tcPr>
            <w:tcW w:w="0" w:type="auto"/>
            <w:gridSpan w:val="3"/>
            <w:shd w:val="clear" w:color="auto" w:fill="auto"/>
          </w:tcPr>
          <w:p w14:paraId="5C7C5AB6" w14:textId="77777777" w:rsidR="0008009C" w:rsidRDefault="0008009C">
            <w:pPr>
              <w:rPr>
                <w:rFonts w:ascii="宋体"/>
                <w:vanish/>
              </w:rPr>
            </w:pPr>
          </w:p>
        </w:tc>
        <w:tc>
          <w:tcPr>
            <w:tcW w:w="0" w:type="auto"/>
            <w:gridSpan w:val="3"/>
            <w:shd w:val="clear" w:color="auto" w:fill="auto"/>
          </w:tcPr>
          <w:p w14:paraId="5C7C5AB7" w14:textId="77777777" w:rsidR="0008009C" w:rsidRDefault="0008009C">
            <w:pPr>
              <w:rPr>
                <w:rFonts w:ascii="宋体"/>
                <w:vanish/>
              </w:rPr>
            </w:pPr>
          </w:p>
        </w:tc>
        <w:tc>
          <w:tcPr>
            <w:tcW w:w="0" w:type="auto"/>
            <w:gridSpan w:val="3"/>
            <w:shd w:val="clear" w:color="auto" w:fill="auto"/>
          </w:tcPr>
          <w:p w14:paraId="5C7C5AB8" w14:textId="77777777" w:rsidR="0008009C" w:rsidRDefault="0008009C">
            <w:pPr>
              <w:rPr>
                <w:rFonts w:ascii="宋体"/>
                <w:vanish/>
              </w:rPr>
            </w:pPr>
          </w:p>
        </w:tc>
      </w:tr>
      <w:tr w:rsidR="0008009C" w14:paraId="5C7C5AC5" w14:textId="77777777">
        <w:trPr>
          <w:hidden/>
        </w:trPr>
        <w:tc>
          <w:tcPr>
            <w:tcW w:w="0" w:type="auto"/>
            <w:gridSpan w:val="3"/>
            <w:shd w:val="clear" w:color="auto" w:fill="auto"/>
          </w:tcPr>
          <w:p w14:paraId="5C7C5ABA" w14:textId="77777777" w:rsidR="0008009C" w:rsidRDefault="0008009C">
            <w:pPr>
              <w:rPr>
                <w:rFonts w:ascii="宋体"/>
                <w:vanish/>
              </w:rPr>
            </w:pPr>
          </w:p>
        </w:tc>
        <w:tc>
          <w:tcPr>
            <w:tcW w:w="0" w:type="auto"/>
            <w:gridSpan w:val="3"/>
            <w:shd w:val="clear" w:color="auto" w:fill="auto"/>
          </w:tcPr>
          <w:p w14:paraId="5C7C5ABB" w14:textId="77777777" w:rsidR="0008009C" w:rsidRDefault="0008009C">
            <w:pPr>
              <w:rPr>
                <w:rFonts w:ascii="宋体"/>
                <w:vanish/>
              </w:rPr>
            </w:pPr>
          </w:p>
        </w:tc>
        <w:tc>
          <w:tcPr>
            <w:tcW w:w="0" w:type="auto"/>
            <w:gridSpan w:val="3"/>
            <w:shd w:val="clear" w:color="auto" w:fill="auto"/>
          </w:tcPr>
          <w:p w14:paraId="5C7C5ABC" w14:textId="77777777" w:rsidR="0008009C" w:rsidRDefault="0008009C">
            <w:pPr>
              <w:rPr>
                <w:rFonts w:ascii="宋体"/>
                <w:vanish/>
              </w:rPr>
            </w:pPr>
          </w:p>
        </w:tc>
        <w:tc>
          <w:tcPr>
            <w:tcW w:w="0" w:type="auto"/>
            <w:gridSpan w:val="3"/>
            <w:shd w:val="clear" w:color="auto" w:fill="auto"/>
          </w:tcPr>
          <w:p w14:paraId="5C7C5ABD" w14:textId="77777777" w:rsidR="0008009C" w:rsidRDefault="0008009C">
            <w:pPr>
              <w:rPr>
                <w:rFonts w:ascii="宋体"/>
                <w:vanish/>
              </w:rPr>
            </w:pPr>
          </w:p>
        </w:tc>
        <w:tc>
          <w:tcPr>
            <w:tcW w:w="0" w:type="auto"/>
            <w:gridSpan w:val="3"/>
            <w:shd w:val="clear" w:color="auto" w:fill="auto"/>
          </w:tcPr>
          <w:p w14:paraId="5C7C5ABE" w14:textId="77777777" w:rsidR="0008009C" w:rsidRDefault="0008009C">
            <w:pPr>
              <w:rPr>
                <w:rFonts w:ascii="宋体"/>
                <w:vanish/>
              </w:rPr>
            </w:pPr>
          </w:p>
        </w:tc>
        <w:tc>
          <w:tcPr>
            <w:tcW w:w="0" w:type="auto"/>
            <w:gridSpan w:val="3"/>
            <w:shd w:val="clear" w:color="auto" w:fill="auto"/>
          </w:tcPr>
          <w:p w14:paraId="5C7C5ABF" w14:textId="77777777" w:rsidR="0008009C" w:rsidRDefault="0008009C">
            <w:pPr>
              <w:rPr>
                <w:rFonts w:ascii="宋体"/>
                <w:vanish/>
              </w:rPr>
            </w:pPr>
          </w:p>
        </w:tc>
        <w:tc>
          <w:tcPr>
            <w:tcW w:w="0" w:type="auto"/>
            <w:gridSpan w:val="3"/>
            <w:shd w:val="clear" w:color="auto" w:fill="auto"/>
          </w:tcPr>
          <w:p w14:paraId="5C7C5AC0" w14:textId="77777777" w:rsidR="0008009C" w:rsidRDefault="0008009C">
            <w:pPr>
              <w:rPr>
                <w:rFonts w:ascii="宋体"/>
                <w:vanish/>
              </w:rPr>
            </w:pPr>
          </w:p>
        </w:tc>
        <w:tc>
          <w:tcPr>
            <w:tcW w:w="0" w:type="auto"/>
            <w:gridSpan w:val="3"/>
            <w:shd w:val="clear" w:color="auto" w:fill="auto"/>
          </w:tcPr>
          <w:p w14:paraId="5C7C5AC1" w14:textId="77777777" w:rsidR="0008009C" w:rsidRDefault="0008009C">
            <w:pPr>
              <w:rPr>
                <w:rFonts w:ascii="宋体"/>
                <w:vanish/>
              </w:rPr>
            </w:pPr>
          </w:p>
        </w:tc>
        <w:tc>
          <w:tcPr>
            <w:tcW w:w="0" w:type="auto"/>
            <w:gridSpan w:val="3"/>
            <w:shd w:val="clear" w:color="auto" w:fill="auto"/>
          </w:tcPr>
          <w:p w14:paraId="5C7C5AC2" w14:textId="77777777" w:rsidR="0008009C" w:rsidRDefault="0008009C">
            <w:pPr>
              <w:rPr>
                <w:rFonts w:ascii="宋体"/>
                <w:vanish/>
              </w:rPr>
            </w:pPr>
          </w:p>
        </w:tc>
        <w:tc>
          <w:tcPr>
            <w:tcW w:w="0" w:type="auto"/>
            <w:gridSpan w:val="3"/>
            <w:shd w:val="clear" w:color="auto" w:fill="auto"/>
          </w:tcPr>
          <w:p w14:paraId="5C7C5AC3" w14:textId="77777777" w:rsidR="0008009C" w:rsidRDefault="0008009C">
            <w:pPr>
              <w:rPr>
                <w:rFonts w:ascii="宋体"/>
                <w:vanish/>
              </w:rPr>
            </w:pPr>
          </w:p>
        </w:tc>
        <w:tc>
          <w:tcPr>
            <w:tcW w:w="0" w:type="auto"/>
            <w:gridSpan w:val="3"/>
            <w:shd w:val="clear" w:color="auto" w:fill="auto"/>
          </w:tcPr>
          <w:p w14:paraId="5C7C5AC4" w14:textId="77777777" w:rsidR="0008009C" w:rsidRDefault="0008009C">
            <w:pPr>
              <w:rPr>
                <w:rFonts w:ascii="宋体"/>
                <w:vanish/>
              </w:rPr>
            </w:pPr>
          </w:p>
        </w:tc>
      </w:tr>
      <w:tr w:rsidR="0008009C" w14:paraId="5C7C5AD1" w14:textId="77777777">
        <w:trPr>
          <w:hidden/>
        </w:trPr>
        <w:tc>
          <w:tcPr>
            <w:tcW w:w="0" w:type="auto"/>
            <w:gridSpan w:val="3"/>
            <w:shd w:val="clear" w:color="auto" w:fill="auto"/>
          </w:tcPr>
          <w:p w14:paraId="5C7C5AC6" w14:textId="77777777" w:rsidR="0008009C" w:rsidRDefault="0008009C">
            <w:pPr>
              <w:rPr>
                <w:rFonts w:ascii="宋体"/>
                <w:vanish/>
              </w:rPr>
            </w:pPr>
          </w:p>
        </w:tc>
        <w:tc>
          <w:tcPr>
            <w:tcW w:w="0" w:type="auto"/>
            <w:gridSpan w:val="3"/>
            <w:shd w:val="clear" w:color="auto" w:fill="auto"/>
          </w:tcPr>
          <w:p w14:paraId="5C7C5AC7" w14:textId="77777777" w:rsidR="0008009C" w:rsidRDefault="0008009C">
            <w:pPr>
              <w:rPr>
                <w:rFonts w:ascii="宋体"/>
                <w:vanish/>
              </w:rPr>
            </w:pPr>
          </w:p>
        </w:tc>
        <w:tc>
          <w:tcPr>
            <w:tcW w:w="0" w:type="auto"/>
            <w:gridSpan w:val="3"/>
            <w:shd w:val="clear" w:color="auto" w:fill="auto"/>
          </w:tcPr>
          <w:p w14:paraId="5C7C5AC8" w14:textId="77777777" w:rsidR="0008009C" w:rsidRDefault="0008009C">
            <w:pPr>
              <w:rPr>
                <w:rFonts w:ascii="宋体"/>
                <w:vanish/>
              </w:rPr>
            </w:pPr>
          </w:p>
        </w:tc>
        <w:tc>
          <w:tcPr>
            <w:tcW w:w="0" w:type="auto"/>
            <w:gridSpan w:val="3"/>
            <w:shd w:val="clear" w:color="auto" w:fill="auto"/>
          </w:tcPr>
          <w:p w14:paraId="5C7C5AC9" w14:textId="77777777" w:rsidR="0008009C" w:rsidRDefault="0008009C">
            <w:pPr>
              <w:rPr>
                <w:rFonts w:ascii="宋体"/>
                <w:vanish/>
              </w:rPr>
            </w:pPr>
          </w:p>
        </w:tc>
        <w:tc>
          <w:tcPr>
            <w:tcW w:w="0" w:type="auto"/>
            <w:gridSpan w:val="3"/>
            <w:shd w:val="clear" w:color="auto" w:fill="auto"/>
          </w:tcPr>
          <w:p w14:paraId="5C7C5ACA" w14:textId="77777777" w:rsidR="0008009C" w:rsidRDefault="0008009C">
            <w:pPr>
              <w:rPr>
                <w:rFonts w:ascii="宋体"/>
                <w:vanish/>
              </w:rPr>
            </w:pPr>
          </w:p>
        </w:tc>
        <w:tc>
          <w:tcPr>
            <w:tcW w:w="0" w:type="auto"/>
            <w:gridSpan w:val="3"/>
            <w:shd w:val="clear" w:color="auto" w:fill="auto"/>
          </w:tcPr>
          <w:p w14:paraId="5C7C5ACB" w14:textId="77777777" w:rsidR="0008009C" w:rsidRDefault="0008009C">
            <w:pPr>
              <w:rPr>
                <w:rFonts w:ascii="宋体"/>
                <w:vanish/>
              </w:rPr>
            </w:pPr>
          </w:p>
        </w:tc>
        <w:tc>
          <w:tcPr>
            <w:tcW w:w="0" w:type="auto"/>
            <w:gridSpan w:val="3"/>
            <w:shd w:val="clear" w:color="auto" w:fill="auto"/>
          </w:tcPr>
          <w:p w14:paraId="5C7C5ACC" w14:textId="77777777" w:rsidR="0008009C" w:rsidRDefault="0008009C">
            <w:pPr>
              <w:rPr>
                <w:rFonts w:ascii="宋体"/>
                <w:vanish/>
              </w:rPr>
            </w:pPr>
          </w:p>
        </w:tc>
        <w:tc>
          <w:tcPr>
            <w:tcW w:w="0" w:type="auto"/>
            <w:gridSpan w:val="3"/>
            <w:shd w:val="clear" w:color="auto" w:fill="auto"/>
          </w:tcPr>
          <w:p w14:paraId="5C7C5ACD" w14:textId="77777777" w:rsidR="0008009C" w:rsidRDefault="0008009C">
            <w:pPr>
              <w:rPr>
                <w:rFonts w:ascii="宋体"/>
                <w:vanish/>
              </w:rPr>
            </w:pPr>
          </w:p>
        </w:tc>
        <w:tc>
          <w:tcPr>
            <w:tcW w:w="0" w:type="auto"/>
            <w:gridSpan w:val="3"/>
            <w:shd w:val="clear" w:color="auto" w:fill="auto"/>
          </w:tcPr>
          <w:p w14:paraId="5C7C5ACE" w14:textId="77777777" w:rsidR="0008009C" w:rsidRDefault="0008009C">
            <w:pPr>
              <w:rPr>
                <w:rFonts w:ascii="宋体"/>
                <w:vanish/>
              </w:rPr>
            </w:pPr>
          </w:p>
        </w:tc>
        <w:tc>
          <w:tcPr>
            <w:tcW w:w="0" w:type="auto"/>
            <w:gridSpan w:val="3"/>
            <w:shd w:val="clear" w:color="auto" w:fill="auto"/>
          </w:tcPr>
          <w:p w14:paraId="5C7C5ACF" w14:textId="77777777" w:rsidR="0008009C" w:rsidRDefault="0008009C">
            <w:pPr>
              <w:rPr>
                <w:rFonts w:ascii="宋体"/>
                <w:vanish/>
              </w:rPr>
            </w:pPr>
          </w:p>
        </w:tc>
        <w:tc>
          <w:tcPr>
            <w:tcW w:w="0" w:type="auto"/>
            <w:gridSpan w:val="3"/>
            <w:shd w:val="clear" w:color="auto" w:fill="auto"/>
          </w:tcPr>
          <w:p w14:paraId="5C7C5AD0" w14:textId="77777777" w:rsidR="0008009C" w:rsidRDefault="0008009C">
            <w:pPr>
              <w:rPr>
                <w:rFonts w:ascii="宋体"/>
                <w:vanish/>
              </w:rPr>
            </w:pPr>
          </w:p>
        </w:tc>
      </w:tr>
      <w:tr w:rsidR="0008009C" w14:paraId="5C7C5ADD" w14:textId="77777777">
        <w:trPr>
          <w:hidden/>
        </w:trPr>
        <w:tc>
          <w:tcPr>
            <w:tcW w:w="0" w:type="auto"/>
            <w:gridSpan w:val="3"/>
            <w:shd w:val="clear" w:color="auto" w:fill="auto"/>
          </w:tcPr>
          <w:p w14:paraId="5C7C5AD2" w14:textId="77777777" w:rsidR="0008009C" w:rsidRDefault="0008009C">
            <w:pPr>
              <w:rPr>
                <w:rFonts w:ascii="宋体"/>
                <w:vanish/>
              </w:rPr>
            </w:pPr>
          </w:p>
        </w:tc>
        <w:tc>
          <w:tcPr>
            <w:tcW w:w="0" w:type="auto"/>
            <w:gridSpan w:val="3"/>
            <w:shd w:val="clear" w:color="auto" w:fill="auto"/>
          </w:tcPr>
          <w:p w14:paraId="5C7C5AD3" w14:textId="77777777" w:rsidR="0008009C" w:rsidRDefault="0008009C">
            <w:pPr>
              <w:rPr>
                <w:rFonts w:ascii="宋体"/>
                <w:vanish/>
              </w:rPr>
            </w:pPr>
          </w:p>
        </w:tc>
        <w:tc>
          <w:tcPr>
            <w:tcW w:w="0" w:type="auto"/>
            <w:gridSpan w:val="3"/>
            <w:shd w:val="clear" w:color="auto" w:fill="auto"/>
          </w:tcPr>
          <w:p w14:paraId="5C7C5AD4" w14:textId="77777777" w:rsidR="0008009C" w:rsidRDefault="0008009C">
            <w:pPr>
              <w:rPr>
                <w:rFonts w:ascii="宋体"/>
                <w:vanish/>
              </w:rPr>
            </w:pPr>
          </w:p>
        </w:tc>
        <w:tc>
          <w:tcPr>
            <w:tcW w:w="0" w:type="auto"/>
            <w:gridSpan w:val="3"/>
            <w:shd w:val="clear" w:color="auto" w:fill="auto"/>
          </w:tcPr>
          <w:p w14:paraId="5C7C5AD5" w14:textId="77777777" w:rsidR="0008009C" w:rsidRDefault="0008009C">
            <w:pPr>
              <w:rPr>
                <w:rFonts w:ascii="宋体"/>
                <w:vanish/>
              </w:rPr>
            </w:pPr>
          </w:p>
        </w:tc>
        <w:tc>
          <w:tcPr>
            <w:tcW w:w="0" w:type="auto"/>
            <w:gridSpan w:val="3"/>
            <w:shd w:val="clear" w:color="auto" w:fill="auto"/>
          </w:tcPr>
          <w:p w14:paraId="5C7C5AD6" w14:textId="77777777" w:rsidR="0008009C" w:rsidRDefault="0008009C">
            <w:pPr>
              <w:rPr>
                <w:rFonts w:ascii="宋体"/>
                <w:vanish/>
              </w:rPr>
            </w:pPr>
          </w:p>
        </w:tc>
        <w:tc>
          <w:tcPr>
            <w:tcW w:w="0" w:type="auto"/>
            <w:gridSpan w:val="3"/>
            <w:shd w:val="clear" w:color="auto" w:fill="auto"/>
          </w:tcPr>
          <w:p w14:paraId="5C7C5AD7" w14:textId="77777777" w:rsidR="0008009C" w:rsidRDefault="0008009C">
            <w:pPr>
              <w:rPr>
                <w:rFonts w:ascii="宋体"/>
                <w:vanish/>
              </w:rPr>
            </w:pPr>
          </w:p>
        </w:tc>
        <w:tc>
          <w:tcPr>
            <w:tcW w:w="0" w:type="auto"/>
            <w:gridSpan w:val="3"/>
            <w:shd w:val="clear" w:color="auto" w:fill="auto"/>
          </w:tcPr>
          <w:p w14:paraId="5C7C5AD8" w14:textId="77777777" w:rsidR="0008009C" w:rsidRDefault="0008009C">
            <w:pPr>
              <w:rPr>
                <w:rFonts w:ascii="宋体"/>
                <w:vanish/>
              </w:rPr>
            </w:pPr>
          </w:p>
        </w:tc>
        <w:tc>
          <w:tcPr>
            <w:tcW w:w="0" w:type="auto"/>
            <w:gridSpan w:val="3"/>
            <w:shd w:val="clear" w:color="auto" w:fill="auto"/>
          </w:tcPr>
          <w:p w14:paraId="5C7C5AD9" w14:textId="77777777" w:rsidR="0008009C" w:rsidRDefault="0008009C">
            <w:pPr>
              <w:rPr>
                <w:rFonts w:ascii="宋体"/>
                <w:vanish/>
              </w:rPr>
            </w:pPr>
          </w:p>
        </w:tc>
        <w:tc>
          <w:tcPr>
            <w:tcW w:w="0" w:type="auto"/>
            <w:gridSpan w:val="3"/>
            <w:shd w:val="clear" w:color="auto" w:fill="auto"/>
          </w:tcPr>
          <w:p w14:paraId="5C7C5ADA" w14:textId="77777777" w:rsidR="0008009C" w:rsidRDefault="0008009C">
            <w:pPr>
              <w:rPr>
                <w:rFonts w:ascii="宋体"/>
                <w:vanish/>
              </w:rPr>
            </w:pPr>
          </w:p>
        </w:tc>
        <w:tc>
          <w:tcPr>
            <w:tcW w:w="0" w:type="auto"/>
            <w:gridSpan w:val="3"/>
            <w:shd w:val="clear" w:color="auto" w:fill="auto"/>
          </w:tcPr>
          <w:p w14:paraId="5C7C5ADB" w14:textId="77777777" w:rsidR="0008009C" w:rsidRDefault="0008009C">
            <w:pPr>
              <w:rPr>
                <w:rFonts w:ascii="宋体"/>
                <w:vanish/>
              </w:rPr>
            </w:pPr>
          </w:p>
        </w:tc>
        <w:tc>
          <w:tcPr>
            <w:tcW w:w="0" w:type="auto"/>
            <w:gridSpan w:val="3"/>
            <w:shd w:val="clear" w:color="auto" w:fill="auto"/>
          </w:tcPr>
          <w:p w14:paraId="5C7C5ADC" w14:textId="77777777" w:rsidR="0008009C" w:rsidRDefault="0008009C">
            <w:pPr>
              <w:rPr>
                <w:rFonts w:ascii="宋体"/>
                <w:vanish/>
              </w:rPr>
            </w:pPr>
          </w:p>
        </w:tc>
      </w:tr>
      <w:tr w:rsidR="0008009C" w14:paraId="5C7C5AE9" w14:textId="77777777">
        <w:trPr>
          <w:hidden/>
        </w:trPr>
        <w:tc>
          <w:tcPr>
            <w:tcW w:w="0" w:type="auto"/>
            <w:gridSpan w:val="3"/>
            <w:shd w:val="clear" w:color="auto" w:fill="auto"/>
          </w:tcPr>
          <w:p w14:paraId="5C7C5ADE" w14:textId="77777777" w:rsidR="0008009C" w:rsidRDefault="0008009C">
            <w:pPr>
              <w:rPr>
                <w:rFonts w:ascii="宋体"/>
                <w:vanish/>
              </w:rPr>
            </w:pPr>
          </w:p>
        </w:tc>
        <w:tc>
          <w:tcPr>
            <w:tcW w:w="0" w:type="auto"/>
            <w:gridSpan w:val="3"/>
            <w:shd w:val="clear" w:color="auto" w:fill="auto"/>
          </w:tcPr>
          <w:p w14:paraId="5C7C5ADF" w14:textId="77777777" w:rsidR="0008009C" w:rsidRDefault="0008009C">
            <w:pPr>
              <w:rPr>
                <w:rFonts w:ascii="宋体"/>
                <w:vanish/>
              </w:rPr>
            </w:pPr>
          </w:p>
        </w:tc>
        <w:tc>
          <w:tcPr>
            <w:tcW w:w="0" w:type="auto"/>
            <w:gridSpan w:val="3"/>
            <w:shd w:val="clear" w:color="auto" w:fill="auto"/>
          </w:tcPr>
          <w:p w14:paraId="5C7C5AE0" w14:textId="77777777" w:rsidR="0008009C" w:rsidRDefault="0008009C">
            <w:pPr>
              <w:rPr>
                <w:rFonts w:ascii="宋体"/>
                <w:vanish/>
              </w:rPr>
            </w:pPr>
          </w:p>
        </w:tc>
        <w:tc>
          <w:tcPr>
            <w:tcW w:w="0" w:type="auto"/>
            <w:gridSpan w:val="3"/>
            <w:shd w:val="clear" w:color="auto" w:fill="auto"/>
          </w:tcPr>
          <w:p w14:paraId="5C7C5AE1" w14:textId="77777777" w:rsidR="0008009C" w:rsidRDefault="0008009C">
            <w:pPr>
              <w:rPr>
                <w:rFonts w:ascii="宋体"/>
                <w:vanish/>
              </w:rPr>
            </w:pPr>
          </w:p>
        </w:tc>
        <w:tc>
          <w:tcPr>
            <w:tcW w:w="0" w:type="auto"/>
            <w:gridSpan w:val="3"/>
            <w:shd w:val="clear" w:color="auto" w:fill="auto"/>
          </w:tcPr>
          <w:p w14:paraId="5C7C5AE2" w14:textId="77777777" w:rsidR="0008009C" w:rsidRDefault="0008009C">
            <w:pPr>
              <w:rPr>
                <w:rFonts w:ascii="宋体"/>
                <w:vanish/>
              </w:rPr>
            </w:pPr>
          </w:p>
        </w:tc>
        <w:tc>
          <w:tcPr>
            <w:tcW w:w="0" w:type="auto"/>
            <w:gridSpan w:val="3"/>
            <w:shd w:val="clear" w:color="auto" w:fill="auto"/>
          </w:tcPr>
          <w:p w14:paraId="5C7C5AE3" w14:textId="77777777" w:rsidR="0008009C" w:rsidRDefault="0008009C">
            <w:pPr>
              <w:rPr>
                <w:rFonts w:ascii="宋体"/>
                <w:vanish/>
              </w:rPr>
            </w:pPr>
          </w:p>
        </w:tc>
        <w:tc>
          <w:tcPr>
            <w:tcW w:w="0" w:type="auto"/>
            <w:gridSpan w:val="3"/>
            <w:shd w:val="clear" w:color="auto" w:fill="auto"/>
          </w:tcPr>
          <w:p w14:paraId="5C7C5AE4" w14:textId="77777777" w:rsidR="0008009C" w:rsidRDefault="0008009C">
            <w:pPr>
              <w:rPr>
                <w:rFonts w:ascii="宋体"/>
                <w:vanish/>
              </w:rPr>
            </w:pPr>
          </w:p>
        </w:tc>
        <w:tc>
          <w:tcPr>
            <w:tcW w:w="0" w:type="auto"/>
            <w:gridSpan w:val="3"/>
            <w:shd w:val="clear" w:color="auto" w:fill="auto"/>
          </w:tcPr>
          <w:p w14:paraId="5C7C5AE5" w14:textId="77777777" w:rsidR="0008009C" w:rsidRDefault="0008009C">
            <w:pPr>
              <w:rPr>
                <w:rFonts w:ascii="宋体"/>
                <w:vanish/>
              </w:rPr>
            </w:pPr>
          </w:p>
        </w:tc>
        <w:tc>
          <w:tcPr>
            <w:tcW w:w="0" w:type="auto"/>
            <w:gridSpan w:val="3"/>
            <w:shd w:val="clear" w:color="auto" w:fill="auto"/>
          </w:tcPr>
          <w:p w14:paraId="5C7C5AE6" w14:textId="77777777" w:rsidR="0008009C" w:rsidRDefault="0008009C">
            <w:pPr>
              <w:rPr>
                <w:rFonts w:ascii="宋体"/>
                <w:vanish/>
              </w:rPr>
            </w:pPr>
          </w:p>
        </w:tc>
        <w:tc>
          <w:tcPr>
            <w:tcW w:w="0" w:type="auto"/>
            <w:gridSpan w:val="3"/>
            <w:shd w:val="clear" w:color="auto" w:fill="auto"/>
          </w:tcPr>
          <w:p w14:paraId="5C7C5AE7" w14:textId="77777777" w:rsidR="0008009C" w:rsidRDefault="0008009C">
            <w:pPr>
              <w:rPr>
                <w:rFonts w:ascii="宋体"/>
                <w:vanish/>
              </w:rPr>
            </w:pPr>
          </w:p>
        </w:tc>
        <w:tc>
          <w:tcPr>
            <w:tcW w:w="0" w:type="auto"/>
            <w:gridSpan w:val="3"/>
            <w:shd w:val="clear" w:color="auto" w:fill="auto"/>
          </w:tcPr>
          <w:p w14:paraId="5C7C5AE8" w14:textId="77777777" w:rsidR="0008009C" w:rsidRDefault="0008009C">
            <w:pPr>
              <w:rPr>
                <w:rFonts w:ascii="宋体"/>
                <w:vanish/>
              </w:rPr>
            </w:pPr>
          </w:p>
        </w:tc>
      </w:tr>
      <w:tr w:rsidR="0008009C" w14:paraId="5C7C5AF5" w14:textId="77777777">
        <w:trPr>
          <w:hidden/>
        </w:trPr>
        <w:tc>
          <w:tcPr>
            <w:tcW w:w="0" w:type="auto"/>
            <w:gridSpan w:val="3"/>
            <w:shd w:val="clear" w:color="auto" w:fill="auto"/>
          </w:tcPr>
          <w:p w14:paraId="5C7C5AEA" w14:textId="77777777" w:rsidR="0008009C" w:rsidRDefault="0008009C">
            <w:pPr>
              <w:rPr>
                <w:rFonts w:ascii="宋体"/>
                <w:vanish/>
              </w:rPr>
            </w:pPr>
          </w:p>
        </w:tc>
        <w:tc>
          <w:tcPr>
            <w:tcW w:w="0" w:type="auto"/>
            <w:gridSpan w:val="3"/>
            <w:shd w:val="clear" w:color="auto" w:fill="auto"/>
          </w:tcPr>
          <w:p w14:paraId="5C7C5AEB" w14:textId="77777777" w:rsidR="0008009C" w:rsidRDefault="0008009C">
            <w:pPr>
              <w:rPr>
                <w:rFonts w:ascii="宋体"/>
                <w:vanish/>
              </w:rPr>
            </w:pPr>
          </w:p>
        </w:tc>
        <w:tc>
          <w:tcPr>
            <w:tcW w:w="0" w:type="auto"/>
            <w:gridSpan w:val="3"/>
            <w:shd w:val="clear" w:color="auto" w:fill="auto"/>
          </w:tcPr>
          <w:p w14:paraId="5C7C5AEC" w14:textId="77777777" w:rsidR="0008009C" w:rsidRDefault="0008009C">
            <w:pPr>
              <w:rPr>
                <w:rFonts w:ascii="宋体"/>
                <w:vanish/>
              </w:rPr>
            </w:pPr>
          </w:p>
        </w:tc>
        <w:tc>
          <w:tcPr>
            <w:tcW w:w="0" w:type="auto"/>
            <w:gridSpan w:val="3"/>
            <w:shd w:val="clear" w:color="auto" w:fill="auto"/>
          </w:tcPr>
          <w:p w14:paraId="5C7C5AED" w14:textId="77777777" w:rsidR="0008009C" w:rsidRDefault="0008009C">
            <w:pPr>
              <w:rPr>
                <w:rFonts w:ascii="宋体"/>
                <w:vanish/>
              </w:rPr>
            </w:pPr>
          </w:p>
        </w:tc>
        <w:tc>
          <w:tcPr>
            <w:tcW w:w="0" w:type="auto"/>
            <w:gridSpan w:val="3"/>
            <w:shd w:val="clear" w:color="auto" w:fill="auto"/>
          </w:tcPr>
          <w:p w14:paraId="5C7C5AEE" w14:textId="77777777" w:rsidR="0008009C" w:rsidRDefault="0008009C">
            <w:pPr>
              <w:rPr>
                <w:rFonts w:ascii="宋体"/>
                <w:vanish/>
              </w:rPr>
            </w:pPr>
          </w:p>
        </w:tc>
        <w:tc>
          <w:tcPr>
            <w:tcW w:w="0" w:type="auto"/>
            <w:gridSpan w:val="3"/>
            <w:shd w:val="clear" w:color="auto" w:fill="auto"/>
          </w:tcPr>
          <w:p w14:paraId="5C7C5AEF" w14:textId="77777777" w:rsidR="0008009C" w:rsidRDefault="0008009C">
            <w:pPr>
              <w:rPr>
                <w:rFonts w:ascii="宋体"/>
                <w:vanish/>
              </w:rPr>
            </w:pPr>
          </w:p>
        </w:tc>
        <w:tc>
          <w:tcPr>
            <w:tcW w:w="0" w:type="auto"/>
            <w:gridSpan w:val="3"/>
            <w:shd w:val="clear" w:color="auto" w:fill="auto"/>
          </w:tcPr>
          <w:p w14:paraId="5C7C5AF0" w14:textId="77777777" w:rsidR="0008009C" w:rsidRDefault="0008009C">
            <w:pPr>
              <w:rPr>
                <w:rFonts w:ascii="宋体"/>
                <w:vanish/>
              </w:rPr>
            </w:pPr>
          </w:p>
        </w:tc>
        <w:tc>
          <w:tcPr>
            <w:tcW w:w="0" w:type="auto"/>
            <w:gridSpan w:val="3"/>
            <w:shd w:val="clear" w:color="auto" w:fill="auto"/>
          </w:tcPr>
          <w:p w14:paraId="5C7C5AF1" w14:textId="77777777" w:rsidR="0008009C" w:rsidRDefault="0008009C">
            <w:pPr>
              <w:rPr>
                <w:rFonts w:ascii="宋体"/>
                <w:vanish/>
              </w:rPr>
            </w:pPr>
          </w:p>
        </w:tc>
        <w:tc>
          <w:tcPr>
            <w:tcW w:w="0" w:type="auto"/>
            <w:gridSpan w:val="3"/>
            <w:shd w:val="clear" w:color="auto" w:fill="auto"/>
          </w:tcPr>
          <w:p w14:paraId="5C7C5AF2" w14:textId="77777777" w:rsidR="0008009C" w:rsidRDefault="0008009C">
            <w:pPr>
              <w:rPr>
                <w:rFonts w:ascii="宋体"/>
                <w:vanish/>
              </w:rPr>
            </w:pPr>
          </w:p>
        </w:tc>
        <w:tc>
          <w:tcPr>
            <w:tcW w:w="0" w:type="auto"/>
            <w:gridSpan w:val="3"/>
            <w:shd w:val="clear" w:color="auto" w:fill="auto"/>
          </w:tcPr>
          <w:p w14:paraId="5C7C5AF3" w14:textId="77777777" w:rsidR="0008009C" w:rsidRDefault="0008009C">
            <w:pPr>
              <w:rPr>
                <w:rFonts w:ascii="宋体"/>
                <w:vanish/>
              </w:rPr>
            </w:pPr>
          </w:p>
        </w:tc>
        <w:tc>
          <w:tcPr>
            <w:tcW w:w="0" w:type="auto"/>
            <w:gridSpan w:val="3"/>
            <w:shd w:val="clear" w:color="auto" w:fill="auto"/>
          </w:tcPr>
          <w:p w14:paraId="5C7C5AF4" w14:textId="77777777" w:rsidR="0008009C" w:rsidRDefault="0008009C">
            <w:pPr>
              <w:rPr>
                <w:rFonts w:ascii="宋体"/>
                <w:vanish/>
              </w:rPr>
            </w:pPr>
          </w:p>
        </w:tc>
      </w:tr>
      <w:tr w:rsidR="0008009C" w14:paraId="5C7C5B01" w14:textId="77777777">
        <w:trPr>
          <w:hidden/>
        </w:trPr>
        <w:tc>
          <w:tcPr>
            <w:tcW w:w="0" w:type="auto"/>
            <w:gridSpan w:val="3"/>
            <w:shd w:val="clear" w:color="auto" w:fill="auto"/>
          </w:tcPr>
          <w:p w14:paraId="5C7C5AF6" w14:textId="77777777" w:rsidR="0008009C" w:rsidRDefault="0008009C">
            <w:pPr>
              <w:rPr>
                <w:rFonts w:ascii="宋体"/>
                <w:vanish/>
              </w:rPr>
            </w:pPr>
          </w:p>
        </w:tc>
        <w:tc>
          <w:tcPr>
            <w:tcW w:w="0" w:type="auto"/>
            <w:gridSpan w:val="3"/>
            <w:shd w:val="clear" w:color="auto" w:fill="auto"/>
          </w:tcPr>
          <w:p w14:paraId="5C7C5AF7" w14:textId="77777777" w:rsidR="0008009C" w:rsidRDefault="0008009C">
            <w:pPr>
              <w:rPr>
                <w:rFonts w:ascii="宋体"/>
                <w:vanish/>
              </w:rPr>
            </w:pPr>
          </w:p>
        </w:tc>
        <w:tc>
          <w:tcPr>
            <w:tcW w:w="0" w:type="auto"/>
            <w:gridSpan w:val="3"/>
            <w:shd w:val="clear" w:color="auto" w:fill="auto"/>
          </w:tcPr>
          <w:p w14:paraId="5C7C5AF8" w14:textId="77777777" w:rsidR="0008009C" w:rsidRDefault="0008009C">
            <w:pPr>
              <w:rPr>
                <w:rFonts w:ascii="宋体"/>
                <w:vanish/>
              </w:rPr>
            </w:pPr>
          </w:p>
        </w:tc>
        <w:tc>
          <w:tcPr>
            <w:tcW w:w="0" w:type="auto"/>
            <w:gridSpan w:val="3"/>
            <w:shd w:val="clear" w:color="auto" w:fill="auto"/>
          </w:tcPr>
          <w:p w14:paraId="5C7C5AF9" w14:textId="77777777" w:rsidR="0008009C" w:rsidRDefault="0008009C">
            <w:pPr>
              <w:rPr>
                <w:rFonts w:ascii="宋体"/>
                <w:vanish/>
              </w:rPr>
            </w:pPr>
          </w:p>
        </w:tc>
        <w:tc>
          <w:tcPr>
            <w:tcW w:w="0" w:type="auto"/>
            <w:gridSpan w:val="3"/>
            <w:shd w:val="clear" w:color="auto" w:fill="auto"/>
          </w:tcPr>
          <w:p w14:paraId="5C7C5AFA" w14:textId="77777777" w:rsidR="0008009C" w:rsidRDefault="0008009C">
            <w:pPr>
              <w:rPr>
                <w:rFonts w:ascii="宋体"/>
                <w:vanish/>
              </w:rPr>
            </w:pPr>
          </w:p>
        </w:tc>
        <w:tc>
          <w:tcPr>
            <w:tcW w:w="0" w:type="auto"/>
            <w:gridSpan w:val="3"/>
            <w:shd w:val="clear" w:color="auto" w:fill="auto"/>
          </w:tcPr>
          <w:p w14:paraId="5C7C5AFB" w14:textId="77777777" w:rsidR="0008009C" w:rsidRDefault="0008009C">
            <w:pPr>
              <w:rPr>
                <w:rFonts w:ascii="宋体"/>
                <w:vanish/>
              </w:rPr>
            </w:pPr>
          </w:p>
        </w:tc>
        <w:tc>
          <w:tcPr>
            <w:tcW w:w="0" w:type="auto"/>
            <w:gridSpan w:val="3"/>
            <w:shd w:val="clear" w:color="auto" w:fill="auto"/>
          </w:tcPr>
          <w:p w14:paraId="5C7C5AFC" w14:textId="77777777" w:rsidR="0008009C" w:rsidRDefault="0008009C">
            <w:pPr>
              <w:rPr>
                <w:rFonts w:ascii="宋体"/>
                <w:vanish/>
              </w:rPr>
            </w:pPr>
          </w:p>
        </w:tc>
        <w:tc>
          <w:tcPr>
            <w:tcW w:w="0" w:type="auto"/>
            <w:gridSpan w:val="3"/>
            <w:shd w:val="clear" w:color="auto" w:fill="auto"/>
          </w:tcPr>
          <w:p w14:paraId="5C7C5AFD" w14:textId="77777777" w:rsidR="0008009C" w:rsidRDefault="0008009C">
            <w:pPr>
              <w:rPr>
                <w:rFonts w:ascii="宋体"/>
                <w:vanish/>
              </w:rPr>
            </w:pPr>
          </w:p>
        </w:tc>
        <w:tc>
          <w:tcPr>
            <w:tcW w:w="0" w:type="auto"/>
            <w:gridSpan w:val="3"/>
            <w:shd w:val="clear" w:color="auto" w:fill="auto"/>
          </w:tcPr>
          <w:p w14:paraId="5C7C5AFE" w14:textId="77777777" w:rsidR="0008009C" w:rsidRDefault="0008009C">
            <w:pPr>
              <w:rPr>
                <w:rFonts w:ascii="宋体"/>
                <w:vanish/>
              </w:rPr>
            </w:pPr>
          </w:p>
        </w:tc>
        <w:tc>
          <w:tcPr>
            <w:tcW w:w="0" w:type="auto"/>
            <w:gridSpan w:val="3"/>
            <w:shd w:val="clear" w:color="auto" w:fill="auto"/>
          </w:tcPr>
          <w:p w14:paraId="5C7C5AFF" w14:textId="77777777" w:rsidR="0008009C" w:rsidRDefault="0008009C">
            <w:pPr>
              <w:rPr>
                <w:rFonts w:ascii="宋体"/>
                <w:vanish/>
              </w:rPr>
            </w:pPr>
          </w:p>
        </w:tc>
        <w:tc>
          <w:tcPr>
            <w:tcW w:w="0" w:type="auto"/>
            <w:gridSpan w:val="3"/>
            <w:shd w:val="clear" w:color="auto" w:fill="auto"/>
          </w:tcPr>
          <w:p w14:paraId="5C7C5B00" w14:textId="77777777" w:rsidR="0008009C" w:rsidRDefault="0008009C">
            <w:pPr>
              <w:rPr>
                <w:rFonts w:ascii="宋体"/>
                <w:vanish/>
              </w:rPr>
            </w:pPr>
          </w:p>
        </w:tc>
      </w:tr>
      <w:tr w:rsidR="0008009C" w14:paraId="5C7C5B0D" w14:textId="77777777">
        <w:trPr>
          <w:hidden/>
        </w:trPr>
        <w:tc>
          <w:tcPr>
            <w:tcW w:w="0" w:type="auto"/>
            <w:gridSpan w:val="3"/>
            <w:shd w:val="clear" w:color="auto" w:fill="auto"/>
          </w:tcPr>
          <w:p w14:paraId="5C7C5B02" w14:textId="77777777" w:rsidR="0008009C" w:rsidRDefault="0008009C">
            <w:pPr>
              <w:rPr>
                <w:rFonts w:ascii="宋体"/>
                <w:vanish/>
              </w:rPr>
            </w:pPr>
          </w:p>
        </w:tc>
        <w:tc>
          <w:tcPr>
            <w:tcW w:w="0" w:type="auto"/>
            <w:gridSpan w:val="3"/>
            <w:shd w:val="clear" w:color="auto" w:fill="auto"/>
          </w:tcPr>
          <w:p w14:paraId="5C7C5B03" w14:textId="77777777" w:rsidR="0008009C" w:rsidRDefault="0008009C">
            <w:pPr>
              <w:rPr>
                <w:rFonts w:ascii="宋体"/>
                <w:vanish/>
              </w:rPr>
            </w:pPr>
          </w:p>
        </w:tc>
        <w:tc>
          <w:tcPr>
            <w:tcW w:w="0" w:type="auto"/>
            <w:gridSpan w:val="3"/>
            <w:shd w:val="clear" w:color="auto" w:fill="auto"/>
          </w:tcPr>
          <w:p w14:paraId="5C7C5B04" w14:textId="77777777" w:rsidR="0008009C" w:rsidRDefault="0008009C">
            <w:pPr>
              <w:rPr>
                <w:rFonts w:ascii="宋体"/>
                <w:vanish/>
              </w:rPr>
            </w:pPr>
          </w:p>
        </w:tc>
        <w:tc>
          <w:tcPr>
            <w:tcW w:w="0" w:type="auto"/>
            <w:gridSpan w:val="3"/>
            <w:shd w:val="clear" w:color="auto" w:fill="auto"/>
          </w:tcPr>
          <w:p w14:paraId="5C7C5B05" w14:textId="77777777" w:rsidR="0008009C" w:rsidRDefault="0008009C">
            <w:pPr>
              <w:rPr>
                <w:rFonts w:ascii="宋体"/>
                <w:vanish/>
              </w:rPr>
            </w:pPr>
          </w:p>
        </w:tc>
        <w:tc>
          <w:tcPr>
            <w:tcW w:w="0" w:type="auto"/>
            <w:gridSpan w:val="3"/>
            <w:shd w:val="clear" w:color="auto" w:fill="auto"/>
          </w:tcPr>
          <w:p w14:paraId="5C7C5B06" w14:textId="77777777" w:rsidR="0008009C" w:rsidRDefault="0008009C">
            <w:pPr>
              <w:rPr>
                <w:rFonts w:ascii="宋体"/>
                <w:vanish/>
              </w:rPr>
            </w:pPr>
          </w:p>
        </w:tc>
        <w:tc>
          <w:tcPr>
            <w:tcW w:w="0" w:type="auto"/>
            <w:gridSpan w:val="3"/>
            <w:shd w:val="clear" w:color="auto" w:fill="auto"/>
          </w:tcPr>
          <w:p w14:paraId="5C7C5B07" w14:textId="77777777" w:rsidR="0008009C" w:rsidRDefault="0008009C">
            <w:pPr>
              <w:rPr>
                <w:rFonts w:ascii="宋体"/>
                <w:vanish/>
              </w:rPr>
            </w:pPr>
          </w:p>
        </w:tc>
        <w:tc>
          <w:tcPr>
            <w:tcW w:w="0" w:type="auto"/>
            <w:gridSpan w:val="3"/>
            <w:shd w:val="clear" w:color="auto" w:fill="auto"/>
          </w:tcPr>
          <w:p w14:paraId="5C7C5B08" w14:textId="77777777" w:rsidR="0008009C" w:rsidRDefault="0008009C">
            <w:pPr>
              <w:rPr>
                <w:rFonts w:ascii="宋体"/>
                <w:vanish/>
              </w:rPr>
            </w:pPr>
          </w:p>
        </w:tc>
        <w:tc>
          <w:tcPr>
            <w:tcW w:w="0" w:type="auto"/>
            <w:gridSpan w:val="3"/>
            <w:shd w:val="clear" w:color="auto" w:fill="auto"/>
          </w:tcPr>
          <w:p w14:paraId="5C7C5B09" w14:textId="77777777" w:rsidR="0008009C" w:rsidRDefault="0008009C">
            <w:pPr>
              <w:rPr>
                <w:rFonts w:ascii="宋体"/>
                <w:vanish/>
              </w:rPr>
            </w:pPr>
          </w:p>
        </w:tc>
        <w:tc>
          <w:tcPr>
            <w:tcW w:w="0" w:type="auto"/>
            <w:gridSpan w:val="3"/>
            <w:shd w:val="clear" w:color="auto" w:fill="auto"/>
          </w:tcPr>
          <w:p w14:paraId="5C7C5B0A" w14:textId="77777777" w:rsidR="0008009C" w:rsidRDefault="0008009C">
            <w:pPr>
              <w:rPr>
                <w:rFonts w:ascii="宋体"/>
                <w:vanish/>
              </w:rPr>
            </w:pPr>
          </w:p>
        </w:tc>
        <w:tc>
          <w:tcPr>
            <w:tcW w:w="0" w:type="auto"/>
            <w:gridSpan w:val="3"/>
            <w:shd w:val="clear" w:color="auto" w:fill="auto"/>
          </w:tcPr>
          <w:p w14:paraId="5C7C5B0B" w14:textId="77777777" w:rsidR="0008009C" w:rsidRDefault="0008009C">
            <w:pPr>
              <w:rPr>
                <w:rFonts w:ascii="宋体"/>
                <w:vanish/>
              </w:rPr>
            </w:pPr>
          </w:p>
        </w:tc>
        <w:tc>
          <w:tcPr>
            <w:tcW w:w="0" w:type="auto"/>
            <w:gridSpan w:val="3"/>
            <w:shd w:val="clear" w:color="auto" w:fill="auto"/>
          </w:tcPr>
          <w:p w14:paraId="5C7C5B0C" w14:textId="77777777" w:rsidR="0008009C" w:rsidRDefault="0008009C">
            <w:pPr>
              <w:rPr>
                <w:rFonts w:ascii="宋体"/>
                <w:vanish/>
              </w:rPr>
            </w:pPr>
          </w:p>
        </w:tc>
      </w:tr>
      <w:tr w:rsidR="0008009C" w14:paraId="5C7C5B19" w14:textId="77777777">
        <w:trPr>
          <w:hidden/>
        </w:trPr>
        <w:tc>
          <w:tcPr>
            <w:tcW w:w="0" w:type="auto"/>
            <w:gridSpan w:val="3"/>
            <w:shd w:val="clear" w:color="auto" w:fill="auto"/>
          </w:tcPr>
          <w:p w14:paraId="5C7C5B0E" w14:textId="77777777" w:rsidR="0008009C" w:rsidRDefault="0008009C">
            <w:pPr>
              <w:rPr>
                <w:rFonts w:ascii="宋体"/>
                <w:vanish/>
              </w:rPr>
            </w:pPr>
          </w:p>
        </w:tc>
        <w:tc>
          <w:tcPr>
            <w:tcW w:w="0" w:type="auto"/>
            <w:gridSpan w:val="3"/>
            <w:shd w:val="clear" w:color="auto" w:fill="auto"/>
          </w:tcPr>
          <w:p w14:paraId="5C7C5B0F" w14:textId="77777777" w:rsidR="0008009C" w:rsidRDefault="0008009C">
            <w:pPr>
              <w:rPr>
                <w:rFonts w:ascii="宋体"/>
                <w:vanish/>
              </w:rPr>
            </w:pPr>
          </w:p>
        </w:tc>
        <w:tc>
          <w:tcPr>
            <w:tcW w:w="0" w:type="auto"/>
            <w:gridSpan w:val="3"/>
            <w:shd w:val="clear" w:color="auto" w:fill="auto"/>
          </w:tcPr>
          <w:p w14:paraId="5C7C5B10" w14:textId="77777777" w:rsidR="0008009C" w:rsidRDefault="0008009C">
            <w:pPr>
              <w:rPr>
                <w:rFonts w:ascii="宋体"/>
                <w:vanish/>
              </w:rPr>
            </w:pPr>
          </w:p>
        </w:tc>
        <w:tc>
          <w:tcPr>
            <w:tcW w:w="0" w:type="auto"/>
            <w:gridSpan w:val="3"/>
            <w:shd w:val="clear" w:color="auto" w:fill="auto"/>
          </w:tcPr>
          <w:p w14:paraId="5C7C5B11" w14:textId="77777777" w:rsidR="0008009C" w:rsidRDefault="0008009C">
            <w:pPr>
              <w:rPr>
                <w:rFonts w:ascii="宋体"/>
                <w:vanish/>
              </w:rPr>
            </w:pPr>
          </w:p>
        </w:tc>
        <w:tc>
          <w:tcPr>
            <w:tcW w:w="0" w:type="auto"/>
            <w:gridSpan w:val="3"/>
            <w:shd w:val="clear" w:color="auto" w:fill="auto"/>
          </w:tcPr>
          <w:p w14:paraId="5C7C5B12" w14:textId="77777777" w:rsidR="0008009C" w:rsidRDefault="0008009C">
            <w:pPr>
              <w:rPr>
                <w:rFonts w:ascii="宋体"/>
                <w:vanish/>
              </w:rPr>
            </w:pPr>
          </w:p>
        </w:tc>
        <w:tc>
          <w:tcPr>
            <w:tcW w:w="0" w:type="auto"/>
            <w:gridSpan w:val="3"/>
            <w:shd w:val="clear" w:color="auto" w:fill="auto"/>
          </w:tcPr>
          <w:p w14:paraId="5C7C5B13" w14:textId="77777777" w:rsidR="0008009C" w:rsidRDefault="0008009C">
            <w:pPr>
              <w:rPr>
                <w:rFonts w:ascii="宋体"/>
                <w:vanish/>
              </w:rPr>
            </w:pPr>
          </w:p>
        </w:tc>
        <w:tc>
          <w:tcPr>
            <w:tcW w:w="0" w:type="auto"/>
            <w:gridSpan w:val="3"/>
            <w:shd w:val="clear" w:color="auto" w:fill="auto"/>
          </w:tcPr>
          <w:p w14:paraId="5C7C5B14" w14:textId="77777777" w:rsidR="0008009C" w:rsidRDefault="0008009C">
            <w:pPr>
              <w:rPr>
                <w:rFonts w:ascii="宋体"/>
                <w:vanish/>
              </w:rPr>
            </w:pPr>
          </w:p>
        </w:tc>
        <w:tc>
          <w:tcPr>
            <w:tcW w:w="0" w:type="auto"/>
            <w:gridSpan w:val="3"/>
            <w:shd w:val="clear" w:color="auto" w:fill="auto"/>
          </w:tcPr>
          <w:p w14:paraId="5C7C5B15" w14:textId="77777777" w:rsidR="0008009C" w:rsidRDefault="0008009C">
            <w:pPr>
              <w:rPr>
                <w:rFonts w:ascii="宋体"/>
                <w:vanish/>
              </w:rPr>
            </w:pPr>
          </w:p>
        </w:tc>
        <w:tc>
          <w:tcPr>
            <w:tcW w:w="0" w:type="auto"/>
            <w:gridSpan w:val="3"/>
            <w:shd w:val="clear" w:color="auto" w:fill="auto"/>
          </w:tcPr>
          <w:p w14:paraId="5C7C5B16" w14:textId="77777777" w:rsidR="0008009C" w:rsidRDefault="0008009C">
            <w:pPr>
              <w:rPr>
                <w:rFonts w:ascii="宋体"/>
                <w:vanish/>
              </w:rPr>
            </w:pPr>
          </w:p>
        </w:tc>
        <w:tc>
          <w:tcPr>
            <w:tcW w:w="0" w:type="auto"/>
            <w:gridSpan w:val="3"/>
            <w:shd w:val="clear" w:color="auto" w:fill="auto"/>
          </w:tcPr>
          <w:p w14:paraId="5C7C5B17" w14:textId="77777777" w:rsidR="0008009C" w:rsidRDefault="0008009C">
            <w:pPr>
              <w:rPr>
                <w:rFonts w:ascii="宋体"/>
                <w:vanish/>
              </w:rPr>
            </w:pPr>
          </w:p>
        </w:tc>
        <w:tc>
          <w:tcPr>
            <w:tcW w:w="0" w:type="auto"/>
            <w:gridSpan w:val="3"/>
            <w:shd w:val="clear" w:color="auto" w:fill="auto"/>
          </w:tcPr>
          <w:p w14:paraId="5C7C5B18" w14:textId="77777777" w:rsidR="0008009C" w:rsidRDefault="0008009C">
            <w:pPr>
              <w:rPr>
                <w:rFonts w:ascii="宋体"/>
                <w:vanish/>
              </w:rPr>
            </w:pPr>
          </w:p>
        </w:tc>
      </w:tr>
      <w:tr w:rsidR="0008009C" w14:paraId="5C7C5B25" w14:textId="77777777">
        <w:trPr>
          <w:hidden/>
        </w:trPr>
        <w:tc>
          <w:tcPr>
            <w:tcW w:w="0" w:type="auto"/>
            <w:gridSpan w:val="3"/>
            <w:shd w:val="clear" w:color="auto" w:fill="auto"/>
          </w:tcPr>
          <w:p w14:paraId="5C7C5B1A" w14:textId="77777777" w:rsidR="0008009C" w:rsidRDefault="0008009C">
            <w:pPr>
              <w:rPr>
                <w:rFonts w:ascii="宋体"/>
                <w:vanish/>
              </w:rPr>
            </w:pPr>
          </w:p>
        </w:tc>
        <w:tc>
          <w:tcPr>
            <w:tcW w:w="0" w:type="auto"/>
            <w:gridSpan w:val="3"/>
            <w:shd w:val="clear" w:color="auto" w:fill="auto"/>
          </w:tcPr>
          <w:p w14:paraId="5C7C5B1B" w14:textId="77777777" w:rsidR="0008009C" w:rsidRDefault="0008009C">
            <w:pPr>
              <w:rPr>
                <w:rFonts w:ascii="宋体"/>
                <w:vanish/>
              </w:rPr>
            </w:pPr>
          </w:p>
        </w:tc>
        <w:tc>
          <w:tcPr>
            <w:tcW w:w="0" w:type="auto"/>
            <w:gridSpan w:val="3"/>
            <w:shd w:val="clear" w:color="auto" w:fill="auto"/>
          </w:tcPr>
          <w:p w14:paraId="5C7C5B1C" w14:textId="77777777" w:rsidR="0008009C" w:rsidRDefault="0008009C">
            <w:pPr>
              <w:rPr>
                <w:rFonts w:ascii="宋体"/>
                <w:vanish/>
              </w:rPr>
            </w:pPr>
          </w:p>
        </w:tc>
        <w:tc>
          <w:tcPr>
            <w:tcW w:w="0" w:type="auto"/>
            <w:gridSpan w:val="3"/>
            <w:shd w:val="clear" w:color="auto" w:fill="auto"/>
          </w:tcPr>
          <w:p w14:paraId="5C7C5B1D" w14:textId="77777777" w:rsidR="0008009C" w:rsidRDefault="0008009C">
            <w:pPr>
              <w:rPr>
                <w:rFonts w:ascii="宋体"/>
                <w:vanish/>
              </w:rPr>
            </w:pPr>
          </w:p>
        </w:tc>
        <w:tc>
          <w:tcPr>
            <w:tcW w:w="0" w:type="auto"/>
            <w:gridSpan w:val="3"/>
            <w:shd w:val="clear" w:color="auto" w:fill="auto"/>
          </w:tcPr>
          <w:p w14:paraId="5C7C5B1E" w14:textId="77777777" w:rsidR="0008009C" w:rsidRDefault="0008009C">
            <w:pPr>
              <w:rPr>
                <w:rFonts w:ascii="宋体"/>
                <w:vanish/>
              </w:rPr>
            </w:pPr>
          </w:p>
        </w:tc>
        <w:tc>
          <w:tcPr>
            <w:tcW w:w="0" w:type="auto"/>
            <w:gridSpan w:val="3"/>
            <w:shd w:val="clear" w:color="auto" w:fill="auto"/>
          </w:tcPr>
          <w:p w14:paraId="5C7C5B1F" w14:textId="77777777" w:rsidR="0008009C" w:rsidRDefault="0008009C">
            <w:pPr>
              <w:rPr>
                <w:rFonts w:ascii="宋体"/>
                <w:vanish/>
              </w:rPr>
            </w:pPr>
          </w:p>
        </w:tc>
        <w:tc>
          <w:tcPr>
            <w:tcW w:w="0" w:type="auto"/>
            <w:gridSpan w:val="3"/>
            <w:shd w:val="clear" w:color="auto" w:fill="auto"/>
          </w:tcPr>
          <w:p w14:paraId="5C7C5B20" w14:textId="77777777" w:rsidR="0008009C" w:rsidRDefault="0008009C">
            <w:pPr>
              <w:rPr>
                <w:rFonts w:ascii="宋体"/>
                <w:vanish/>
              </w:rPr>
            </w:pPr>
          </w:p>
        </w:tc>
        <w:tc>
          <w:tcPr>
            <w:tcW w:w="0" w:type="auto"/>
            <w:gridSpan w:val="3"/>
            <w:shd w:val="clear" w:color="auto" w:fill="auto"/>
          </w:tcPr>
          <w:p w14:paraId="5C7C5B21" w14:textId="77777777" w:rsidR="0008009C" w:rsidRDefault="0008009C">
            <w:pPr>
              <w:rPr>
                <w:rFonts w:ascii="宋体"/>
                <w:vanish/>
              </w:rPr>
            </w:pPr>
          </w:p>
        </w:tc>
        <w:tc>
          <w:tcPr>
            <w:tcW w:w="0" w:type="auto"/>
            <w:gridSpan w:val="3"/>
            <w:shd w:val="clear" w:color="auto" w:fill="auto"/>
          </w:tcPr>
          <w:p w14:paraId="5C7C5B22" w14:textId="77777777" w:rsidR="0008009C" w:rsidRDefault="0008009C">
            <w:pPr>
              <w:rPr>
                <w:rFonts w:ascii="宋体"/>
                <w:vanish/>
              </w:rPr>
            </w:pPr>
          </w:p>
        </w:tc>
        <w:tc>
          <w:tcPr>
            <w:tcW w:w="0" w:type="auto"/>
            <w:gridSpan w:val="3"/>
            <w:shd w:val="clear" w:color="auto" w:fill="auto"/>
          </w:tcPr>
          <w:p w14:paraId="5C7C5B23" w14:textId="77777777" w:rsidR="0008009C" w:rsidRDefault="0008009C">
            <w:pPr>
              <w:rPr>
                <w:rFonts w:ascii="宋体"/>
                <w:vanish/>
              </w:rPr>
            </w:pPr>
          </w:p>
        </w:tc>
        <w:tc>
          <w:tcPr>
            <w:tcW w:w="0" w:type="auto"/>
            <w:gridSpan w:val="3"/>
            <w:shd w:val="clear" w:color="auto" w:fill="auto"/>
          </w:tcPr>
          <w:p w14:paraId="5C7C5B24" w14:textId="77777777" w:rsidR="0008009C" w:rsidRDefault="0008009C">
            <w:pPr>
              <w:rPr>
                <w:rFonts w:ascii="宋体"/>
                <w:vanish/>
              </w:rPr>
            </w:pPr>
          </w:p>
        </w:tc>
      </w:tr>
      <w:tr w:rsidR="0008009C" w14:paraId="5C7C5B31" w14:textId="77777777">
        <w:trPr>
          <w:hidden/>
        </w:trPr>
        <w:tc>
          <w:tcPr>
            <w:tcW w:w="0" w:type="auto"/>
            <w:gridSpan w:val="3"/>
            <w:shd w:val="clear" w:color="auto" w:fill="auto"/>
          </w:tcPr>
          <w:p w14:paraId="5C7C5B26" w14:textId="77777777" w:rsidR="0008009C" w:rsidRDefault="0008009C">
            <w:pPr>
              <w:rPr>
                <w:rFonts w:ascii="宋体"/>
                <w:vanish/>
              </w:rPr>
            </w:pPr>
          </w:p>
        </w:tc>
        <w:tc>
          <w:tcPr>
            <w:tcW w:w="0" w:type="auto"/>
            <w:gridSpan w:val="3"/>
            <w:shd w:val="clear" w:color="auto" w:fill="auto"/>
          </w:tcPr>
          <w:p w14:paraId="5C7C5B27" w14:textId="77777777" w:rsidR="0008009C" w:rsidRDefault="0008009C">
            <w:pPr>
              <w:rPr>
                <w:rFonts w:ascii="宋体"/>
                <w:vanish/>
              </w:rPr>
            </w:pPr>
          </w:p>
        </w:tc>
        <w:tc>
          <w:tcPr>
            <w:tcW w:w="0" w:type="auto"/>
            <w:gridSpan w:val="3"/>
            <w:shd w:val="clear" w:color="auto" w:fill="auto"/>
          </w:tcPr>
          <w:p w14:paraId="5C7C5B28" w14:textId="77777777" w:rsidR="0008009C" w:rsidRDefault="0008009C">
            <w:pPr>
              <w:rPr>
                <w:rFonts w:ascii="宋体"/>
                <w:vanish/>
              </w:rPr>
            </w:pPr>
          </w:p>
        </w:tc>
        <w:tc>
          <w:tcPr>
            <w:tcW w:w="0" w:type="auto"/>
            <w:gridSpan w:val="3"/>
            <w:shd w:val="clear" w:color="auto" w:fill="auto"/>
          </w:tcPr>
          <w:p w14:paraId="5C7C5B29" w14:textId="77777777" w:rsidR="0008009C" w:rsidRDefault="0008009C">
            <w:pPr>
              <w:rPr>
                <w:rFonts w:ascii="宋体"/>
                <w:vanish/>
              </w:rPr>
            </w:pPr>
          </w:p>
        </w:tc>
        <w:tc>
          <w:tcPr>
            <w:tcW w:w="0" w:type="auto"/>
            <w:gridSpan w:val="3"/>
            <w:shd w:val="clear" w:color="auto" w:fill="auto"/>
          </w:tcPr>
          <w:p w14:paraId="5C7C5B2A" w14:textId="77777777" w:rsidR="0008009C" w:rsidRDefault="0008009C">
            <w:pPr>
              <w:rPr>
                <w:rFonts w:ascii="宋体"/>
                <w:vanish/>
              </w:rPr>
            </w:pPr>
          </w:p>
        </w:tc>
        <w:tc>
          <w:tcPr>
            <w:tcW w:w="0" w:type="auto"/>
            <w:gridSpan w:val="3"/>
            <w:shd w:val="clear" w:color="auto" w:fill="auto"/>
          </w:tcPr>
          <w:p w14:paraId="5C7C5B2B" w14:textId="77777777" w:rsidR="0008009C" w:rsidRDefault="0008009C">
            <w:pPr>
              <w:rPr>
                <w:rFonts w:ascii="宋体"/>
                <w:vanish/>
              </w:rPr>
            </w:pPr>
          </w:p>
        </w:tc>
        <w:tc>
          <w:tcPr>
            <w:tcW w:w="0" w:type="auto"/>
            <w:gridSpan w:val="3"/>
            <w:shd w:val="clear" w:color="auto" w:fill="auto"/>
          </w:tcPr>
          <w:p w14:paraId="5C7C5B2C" w14:textId="77777777" w:rsidR="0008009C" w:rsidRDefault="0008009C">
            <w:pPr>
              <w:rPr>
                <w:rFonts w:ascii="宋体"/>
                <w:vanish/>
              </w:rPr>
            </w:pPr>
          </w:p>
        </w:tc>
        <w:tc>
          <w:tcPr>
            <w:tcW w:w="0" w:type="auto"/>
            <w:gridSpan w:val="3"/>
            <w:shd w:val="clear" w:color="auto" w:fill="auto"/>
          </w:tcPr>
          <w:p w14:paraId="5C7C5B2D" w14:textId="77777777" w:rsidR="0008009C" w:rsidRDefault="0008009C">
            <w:pPr>
              <w:rPr>
                <w:rFonts w:ascii="宋体"/>
                <w:vanish/>
              </w:rPr>
            </w:pPr>
          </w:p>
        </w:tc>
        <w:tc>
          <w:tcPr>
            <w:tcW w:w="0" w:type="auto"/>
            <w:gridSpan w:val="3"/>
            <w:shd w:val="clear" w:color="auto" w:fill="auto"/>
          </w:tcPr>
          <w:p w14:paraId="5C7C5B2E" w14:textId="77777777" w:rsidR="0008009C" w:rsidRDefault="0008009C">
            <w:pPr>
              <w:rPr>
                <w:rFonts w:ascii="宋体"/>
                <w:vanish/>
              </w:rPr>
            </w:pPr>
          </w:p>
        </w:tc>
        <w:tc>
          <w:tcPr>
            <w:tcW w:w="0" w:type="auto"/>
            <w:gridSpan w:val="3"/>
            <w:shd w:val="clear" w:color="auto" w:fill="auto"/>
          </w:tcPr>
          <w:p w14:paraId="5C7C5B2F" w14:textId="77777777" w:rsidR="0008009C" w:rsidRDefault="0008009C">
            <w:pPr>
              <w:rPr>
                <w:rFonts w:ascii="宋体"/>
                <w:vanish/>
              </w:rPr>
            </w:pPr>
          </w:p>
        </w:tc>
        <w:tc>
          <w:tcPr>
            <w:tcW w:w="0" w:type="auto"/>
            <w:gridSpan w:val="3"/>
            <w:shd w:val="clear" w:color="auto" w:fill="auto"/>
          </w:tcPr>
          <w:p w14:paraId="5C7C5B30" w14:textId="77777777" w:rsidR="0008009C" w:rsidRDefault="0008009C">
            <w:pPr>
              <w:rPr>
                <w:rFonts w:ascii="宋体"/>
                <w:vanish/>
              </w:rPr>
            </w:pPr>
          </w:p>
        </w:tc>
      </w:tr>
    </w:tbl>
    <w:p w14:paraId="5C7C5B32" w14:textId="77777777" w:rsidR="0008009C" w:rsidRDefault="00936FDF">
      <w:pPr>
        <w:spacing w:before="60" w:after="180"/>
        <w:ind w:hanging="180"/>
      </w:pPr>
      <w:r>
        <w:rPr>
          <w:rFonts w:ascii="Arial" w:eastAsia="宋体" w:hAnsi="Arial" w:cs="Arial"/>
          <w:i/>
          <w:iCs/>
          <w:color w:val="262626"/>
          <w:sz w:val="10"/>
          <w:szCs w:val="10"/>
        </w:rPr>
        <w:t>1.</w:t>
      </w:r>
      <w:r>
        <w:rPr>
          <w:rFonts w:ascii="Arial" w:eastAsia="宋体" w:hAnsi="Arial" w:cs="Arial"/>
          <w:i/>
          <w:iCs/>
          <w:color w:val="262626"/>
          <w:sz w:val="16"/>
          <w:szCs w:val="16"/>
        </w:rPr>
        <w:t>The retained earnings balance as of December 26, 2020 includes an opening balance adjustment made as a result of the adoption of a new accounting standard in 2021.</w:t>
      </w:r>
    </w:p>
    <w:p w14:paraId="5C7C5B33" w14:textId="77777777" w:rsidR="0008009C" w:rsidRDefault="00936FDF">
      <w:pPr>
        <w:spacing w:after="180"/>
        <w:ind w:hanging="180"/>
      </w:pPr>
      <w:r>
        <w:rPr>
          <w:rFonts w:ascii="Arial" w:eastAsia="宋体" w:hAnsi="Arial" w:cs="Arial"/>
          <w:i/>
          <w:iCs/>
          <w:color w:val="262626"/>
          <w:sz w:val="16"/>
          <w:szCs w:val="16"/>
        </w:rPr>
        <w:t xml:space="preserve">See </w:t>
      </w:r>
      <w:r>
        <w:rPr>
          <w:rFonts w:ascii="Arial" w:eastAsia="宋体" w:hAnsi="Arial" w:cs="Arial"/>
          <w:i/>
          <w:iCs/>
          <w:color w:val="262626"/>
          <w:sz w:val="16"/>
          <w:szCs w:val="16"/>
        </w:rPr>
        <w:t>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8009C" w14:paraId="5C7C5B40" w14:textId="77777777">
        <w:tc>
          <w:tcPr>
            <w:tcW w:w="50" w:type="pct"/>
            <w:shd w:val="clear" w:color="auto" w:fill="auto"/>
            <w:vAlign w:val="bottom"/>
          </w:tcPr>
          <w:p w14:paraId="5C7C5B34" w14:textId="77777777" w:rsidR="0008009C" w:rsidRDefault="0008009C">
            <w:pPr>
              <w:rPr>
                <w:rFonts w:ascii="宋体"/>
              </w:rPr>
            </w:pPr>
          </w:p>
        </w:tc>
        <w:tc>
          <w:tcPr>
            <w:tcW w:w="238" w:type="pct"/>
            <w:shd w:val="clear" w:color="auto" w:fill="auto"/>
            <w:vAlign w:val="bottom"/>
          </w:tcPr>
          <w:p w14:paraId="5C7C5B35" w14:textId="77777777" w:rsidR="0008009C" w:rsidRDefault="0008009C">
            <w:pPr>
              <w:rPr>
                <w:rFonts w:ascii="宋体"/>
              </w:rPr>
            </w:pPr>
          </w:p>
        </w:tc>
        <w:tc>
          <w:tcPr>
            <w:tcW w:w="5" w:type="pct"/>
            <w:shd w:val="clear" w:color="auto" w:fill="auto"/>
            <w:vAlign w:val="bottom"/>
          </w:tcPr>
          <w:p w14:paraId="5C7C5B36" w14:textId="77777777" w:rsidR="0008009C" w:rsidRDefault="0008009C">
            <w:pPr>
              <w:rPr>
                <w:rFonts w:ascii="宋体"/>
              </w:rPr>
            </w:pPr>
          </w:p>
        </w:tc>
        <w:tc>
          <w:tcPr>
            <w:tcW w:w="50" w:type="pct"/>
            <w:shd w:val="clear" w:color="auto" w:fill="auto"/>
            <w:vAlign w:val="bottom"/>
          </w:tcPr>
          <w:p w14:paraId="5C7C5B37" w14:textId="77777777" w:rsidR="0008009C" w:rsidRDefault="0008009C">
            <w:pPr>
              <w:rPr>
                <w:rFonts w:ascii="宋体"/>
              </w:rPr>
            </w:pPr>
          </w:p>
        </w:tc>
        <w:tc>
          <w:tcPr>
            <w:tcW w:w="983" w:type="pct"/>
            <w:shd w:val="clear" w:color="auto" w:fill="auto"/>
            <w:vAlign w:val="bottom"/>
          </w:tcPr>
          <w:p w14:paraId="5C7C5B38" w14:textId="77777777" w:rsidR="0008009C" w:rsidRDefault="0008009C">
            <w:pPr>
              <w:rPr>
                <w:rFonts w:ascii="宋体"/>
              </w:rPr>
            </w:pPr>
          </w:p>
        </w:tc>
        <w:tc>
          <w:tcPr>
            <w:tcW w:w="5" w:type="pct"/>
            <w:shd w:val="clear" w:color="auto" w:fill="auto"/>
            <w:vAlign w:val="bottom"/>
          </w:tcPr>
          <w:p w14:paraId="5C7C5B39" w14:textId="77777777" w:rsidR="0008009C" w:rsidRDefault="0008009C">
            <w:pPr>
              <w:rPr>
                <w:rFonts w:ascii="宋体"/>
              </w:rPr>
            </w:pPr>
          </w:p>
        </w:tc>
        <w:tc>
          <w:tcPr>
            <w:tcW w:w="50" w:type="pct"/>
            <w:shd w:val="clear" w:color="auto" w:fill="auto"/>
            <w:vAlign w:val="bottom"/>
          </w:tcPr>
          <w:p w14:paraId="5C7C5B3A" w14:textId="77777777" w:rsidR="0008009C" w:rsidRDefault="0008009C">
            <w:pPr>
              <w:rPr>
                <w:rFonts w:ascii="宋体"/>
              </w:rPr>
            </w:pPr>
          </w:p>
        </w:tc>
        <w:tc>
          <w:tcPr>
            <w:tcW w:w="2035" w:type="pct"/>
            <w:shd w:val="clear" w:color="auto" w:fill="auto"/>
            <w:vAlign w:val="bottom"/>
          </w:tcPr>
          <w:p w14:paraId="5C7C5B3B" w14:textId="77777777" w:rsidR="0008009C" w:rsidRDefault="0008009C">
            <w:pPr>
              <w:rPr>
                <w:rFonts w:ascii="宋体"/>
              </w:rPr>
            </w:pPr>
          </w:p>
        </w:tc>
        <w:tc>
          <w:tcPr>
            <w:tcW w:w="5" w:type="pct"/>
            <w:shd w:val="clear" w:color="auto" w:fill="auto"/>
            <w:vAlign w:val="bottom"/>
          </w:tcPr>
          <w:p w14:paraId="5C7C5B3C" w14:textId="77777777" w:rsidR="0008009C" w:rsidRDefault="0008009C">
            <w:pPr>
              <w:rPr>
                <w:rFonts w:ascii="宋体"/>
              </w:rPr>
            </w:pPr>
          </w:p>
        </w:tc>
        <w:tc>
          <w:tcPr>
            <w:tcW w:w="50" w:type="pct"/>
            <w:shd w:val="clear" w:color="auto" w:fill="auto"/>
            <w:vAlign w:val="bottom"/>
          </w:tcPr>
          <w:p w14:paraId="5C7C5B3D" w14:textId="77777777" w:rsidR="0008009C" w:rsidRDefault="0008009C">
            <w:pPr>
              <w:rPr>
                <w:rFonts w:ascii="宋体"/>
              </w:rPr>
            </w:pPr>
          </w:p>
        </w:tc>
        <w:tc>
          <w:tcPr>
            <w:tcW w:w="1522" w:type="pct"/>
            <w:shd w:val="clear" w:color="auto" w:fill="auto"/>
            <w:vAlign w:val="bottom"/>
          </w:tcPr>
          <w:p w14:paraId="5C7C5B3E" w14:textId="77777777" w:rsidR="0008009C" w:rsidRDefault="0008009C">
            <w:pPr>
              <w:rPr>
                <w:rFonts w:ascii="宋体"/>
              </w:rPr>
            </w:pPr>
          </w:p>
        </w:tc>
        <w:tc>
          <w:tcPr>
            <w:tcW w:w="5" w:type="pct"/>
            <w:shd w:val="clear" w:color="auto" w:fill="auto"/>
            <w:vAlign w:val="bottom"/>
          </w:tcPr>
          <w:p w14:paraId="5C7C5B3F" w14:textId="77777777" w:rsidR="0008009C" w:rsidRDefault="0008009C">
            <w:pPr>
              <w:rPr>
                <w:rFonts w:ascii="宋体"/>
              </w:rPr>
            </w:pPr>
          </w:p>
        </w:tc>
      </w:tr>
      <w:tr w:rsidR="0008009C" w14:paraId="5C7C5B45"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5B41"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CFF" wp14:editId="5C7C7D00">
                  <wp:extent cx="304800" cy="304800"/>
                  <wp:effectExtent l="0" t="0" r="0" b="0"/>
                  <wp:docPr id="91" name="图片 53"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53"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B42"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5B43" w14:textId="77777777" w:rsidR="0008009C" w:rsidRDefault="00936FDF">
            <w:pPr>
              <w:textAlignment w:val="center"/>
            </w:pPr>
            <w:r>
              <w:rPr>
                <w:rFonts w:ascii="Arial" w:eastAsia="宋体" w:hAnsi="Arial" w:cs="Arial"/>
                <w:color w:val="262626"/>
                <w:sz w:val="16"/>
                <w:szCs w:val="16"/>
              </w:rPr>
              <w:t>  Consolidated Condensed Statements of Stockholders' Equity</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B44" w14:textId="77777777" w:rsidR="0008009C" w:rsidRDefault="00936FDF">
            <w:pPr>
              <w:jc w:val="right"/>
              <w:textAlignment w:val="center"/>
            </w:pPr>
            <w:r>
              <w:rPr>
                <w:rFonts w:ascii="Arial" w:eastAsia="宋体" w:hAnsi="Arial" w:cs="Arial"/>
                <w:color w:val="262626"/>
                <w:sz w:val="16"/>
                <w:szCs w:val="16"/>
              </w:rPr>
              <w:t>7</w:t>
            </w:r>
          </w:p>
        </w:tc>
      </w:tr>
    </w:tbl>
    <w:p w14:paraId="5C7C5B46" w14:textId="77777777" w:rsidR="0008009C" w:rsidRDefault="00936FDF">
      <w:r>
        <w:pict w14:anchorId="5C7C7D01">
          <v:rect id="_x0000_i1033" style="width:415.3pt;height:1.5pt" o:hralign="center" o:hrstd="t" o:hr="t" fillcolor="#a0a0a0" stroked="f"/>
        </w:pict>
      </w:r>
    </w:p>
    <w:p w14:paraId="5C7C5B47" w14:textId="77777777" w:rsidR="0008009C" w:rsidRDefault="00936FDF">
      <w:pPr>
        <w:spacing w:after="180"/>
        <w:jc w:val="right"/>
      </w:pPr>
      <w:hyperlink r:id="rId33" w:anchor="i3a00378f6cc84b1c9cfc83239548ad53_7" w:history="1">
        <w:r>
          <w:rPr>
            <w:rStyle w:val="a5"/>
            <w:rFonts w:ascii="Arial" w:eastAsia="宋体" w:hAnsi="Arial" w:cs="Arial"/>
            <w:b/>
            <w:bCs/>
            <w:sz w:val="16"/>
            <w:szCs w:val="16"/>
          </w:rPr>
          <w:t>Table of Contents</w:t>
        </w:r>
      </w:hyperlink>
    </w:p>
    <w:p w14:paraId="5C7C5B48" w14:textId="77777777" w:rsidR="0008009C" w:rsidRDefault="0008009C">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8009C" w14:paraId="5C7C5B4F" w14:textId="77777777">
        <w:tc>
          <w:tcPr>
            <w:tcW w:w="50" w:type="pct"/>
            <w:shd w:val="clear" w:color="auto" w:fill="auto"/>
          </w:tcPr>
          <w:p w14:paraId="5C7C5B49" w14:textId="77777777" w:rsidR="0008009C" w:rsidRDefault="0008009C">
            <w:pPr>
              <w:rPr>
                <w:rFonts w:ascii="宋体"/>
              </w:rPr>
            </w:pPr>
          </w:p>
        </w:tc>
        <w:tc>
          <w:tcPr>
            <w:tcW w:w="4870" w:type="pct"/>
            <w:shd w:val="clear" w:color="auto" w:fill="auto"/>
          </w:tcPr>
          <w:p w14:paraId="5C7C5B4A" w14:textId="77777777" w:rsidR="0008009C" w:rsidRDefault="0008009C">
            <w:pPr>
              <w:rPr>
                <w:rFonts w:ascii="宋体"/>
              </w:rPr>
            </w:pPr>
          </w:p>
        </w:tc>
        <w:tc>
          <w:tcPr>
            <w:tcW w:w="5" w:type="pct"/>
            <w:shd w:val="clear" w:color="auto" w:fill="auto"/>
          </w:tcPr>
          <w:p w14:paraId="5C7C5B4B" w14:textId="77777777" w:rsidR="0008009C" w:rsidRDefault="0008009C">
            <w:pPr>
              <w:rPr>
                <w:rFonts w:ascii="宋体"/>
              </w:rPr>
            </w:pPr>
          </w:p>
        </w:tc>
        <w:tc>
          <w:tcPr>
            <w:tcW w:w="5" w:type="pct"/>
            <w:shd w:val="clear" w:color="auto" w:fill="auto"/>
          </w:tcPr>
          <w:p w14:paraId="5C7C5B4C" w14:textId="77777777" w:rsidR="0008009C" w:rsidRDefault="0008009C">
            <w:pPr>
              <w:rPr>
                <w:rFonts w:ascii="宋体"/>
              </w:rPr>
            </w:pPr>
          </w:p>
        </w:tc>
        <w:tc>
          <w:tcPr>
            <w:tcW w:w="64" w:type="pct"/>
            <w:shd w:val="clear" w:color="auto" w:fill="auto"/>
          </w:tcPr>
          <w:p w14:paraId="5C7C5B4D" w14:textId="77777777" w:rsidR="0008009C" w:rsidRDefault="0008009C">
            <w:pPr>
              <w:rPr>
                <w:rFonts w:ascii="宋体"/>
              </w:rPr>
            </w:pPr>
          </w:p>
        </w:tc>
        <w:tc>
          <w:tcPr>
            <w:tcW w:w="5" w:type="pct"/>
            <w:shd w:val="clear" w:color="auto" w:fill="auto"/>
          </w:tcPr>
          <w:p w14:paraId="5C7C5B4E" w14:textId="77777777" w:rsidR="0008009C" w:rsidRDefault="0008009C">
            <w:pPr>
              <w:rPr>
                <w:rFonts w:ascii="宋体"/>
              </w:rPr>
            </w:pPr>
          </w:p>
        </w:tc>
      </w:tr>
      <w:tr w:rsidR="0008009C" w14:paraId="5C7C5B52" w14:textId="77777777">
        <w:tc>
          <w:tcPr>
            <w:tcW w:w="0" w:type="auto"/>
            <w:gridSpan w:val="3"/>
            <w:shd w:val="clear" w:color="auto" w:fill="004A86"/>
            <w:tcMar>
              <w:top w:w="40" w:type="dxa"/>
              <w:left w:w="20" w:type="dxa"/>
              <w:bottom w:w="40" w:type="dxa"/>
              <w:right w:w="20" w:type="dxa"/>
            </w:tcMar>
            <w:vAlign w:val="center"/>
          </w:tcPr>
          <w:p w14:paraId="5C7C5B50" w14:textId="77777777" w:rsidR="0008009C" w:rsidRDefault="00936FDF">
            <w:pPr>
              <w:textAlignment w:val="center"/>
            </w:pPr>
            <w:r>
              <w:rPr>
                <w:rFonts w:ascii="Arial" w:eastAsia="宋体" w:hAnsi="Arial" w:cs="Arial"/>
                <w:color w:val="FFFFFF"/>
                <w:sz w:val="36"/>
                <w:szCs w:val="36"/>
              </w:rPr>
              <w:t>Notes to Consolidated Condensed Financial Statements</w:t>
            </w:r>
          </w:p>
        </w:tc>
        <w:tc>
          <w:tcPr>
            <w:tcW w:w="0" w:type="auto"/>
            <w:gridSpan w:val="3"/>
            <w:shd w:val="clear" w:color="auto" w:fill="auto"/>
            <w:tcMar>
              <w:top w:w="0" w:type="dxa"/>
              <w:left w:w="20" w:type="dxa"/>
              <w:bottom w:w="0" w:type="dxa"/>
              <w:right w:w="20" w:type="dxa"/>
            </w:tcMar>
          </w:tcPr>
          <w:p w14:paraId="5C7C5B51" w14:textId="77777777" w:rsidR="0008009C" w:rsidRDefault="0008009C">
            <w:pPr>
              <w:rPr>
                <w:rFonts w:ascii="宋体"/>
              </w:rPr>
            </w:pPr>
          </w:p>
        </w:tc>
      </w:tr>
      <w:tr w:rsidR="0008009C" w14:paraId="5C7C5B55" w14:textId="77777777">
        <w:trPr>
          <w:trHeight w:val="160"/>
        </w:trPr>
        <w:tc>
          <w:tcPr>
            <w:tcW w:w="0" w:type="auto"/>
            <w:gridSpan w:val="3"/>
            <w:shd w:val="clear" w:color="auto" w:fill="auto"/>
            <w:tcMar>
              <w:top w:w="0" w:type="dxa"/>
              <w:left w:w="20" w:type="dxa"/>
              <w:bottom w:w="0" w:type="dxa"/>
              <w:right w:w="20" w:type="dxa"/>
            </w:tcMar>
          </w:tcPr>
          <w:p w14:paraId="5C7C5B53" w14:textId="77777777" w:rsidR="0008009C" w:rsidRDefault="0008009C">
            <w:pPr>
              <w:rPr>
                <w:rFonts w:ascii="宋体"/>
              </w:rPr>
            </w:pPr>
          </w:p>
        </w:tc>
        <w:tc>
          <w:tcPr>
            <w:tcW w:w="0" w:type="auto"/>
            <w:gridSpan w:val="3"/>
            <w:shd w:val="clear" w:color="auto" w:fill="00A3F6"/>
            <w:tcMar>
              <w:top w:w="0" w:type="dxa"/>
              <w:left w:w="20" w:type="dxa"/>
              <w:bottom w:w="0" w:type="dxa"/>
              <w:right w:w="20" w:type="dxa"/>
            </w:tcMar>
          </w:tcPr>
          <w:p w14:paraId="5C7C5B54" w14:textId="77777777" w:rsidR="0008009C" w:rsidRDefault="0008009C">
            <w:pPr>
              <w:rPr>
                <w:rFonts w:ascii="宋体"/>
              </w:rPr>
            </w:pPr>
          </w:p>
        </w:tc>
      </w:tr>
    </w:tbl>
    <w:p w14:paraId="5C7C5B56"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8009C" w14:paraId="5C7C5B5D" w14:textId="77777777">
        <w:tc>
          <w:tcPr>
            <w:tcW w:w="50" w:type="pct"/>
            <w:shd w:val="clear" w:color="auto" w:fill="auto"/>
          </w:tcPr>
          <w:p w14:paraId="5C7C5B57" w14:textId="77777777" w:rsidR="0008009C" w:rsidRDefault="0008009C">
            <w:pPr>
              <w:rPr>
                <w:rFonts w:ascii="宋体"/>
              </w:rPr>
            </w:pPr>
          </w:p>
        </w:tc>
        <w:tc>
          <w:tcPr>
            <w:tcW w:w="511" w:type="pct"/>
            <w:shd w:val="clear" w:color="auto" w:fill="auto"/>
          </w:tcPr>
          <w:p w14:paraId="5C7C5B58" w14:textId="77777777" w:rsidR="0008009C" w:rsidRDefault="0008009C">
            <w:pPr>
              <w:rPr>
                <w:rFonts w:ascii="宋体"/>
              </w:rPr>
            </w:pPr>
          </w:p>
        </w:tc>
        <w:tc>
          <w:tcPr>
            <w:tcW w:w="5" w:type="pct"/>
            <w:shd w:val="clear" w:color="auto" w:fill="auto"/>
          </w:tcPr>
          <w:p w14:paraId="5C7C5B59" w14:textId="77777777" w:rsidR="0008009C" w:rsidRDefault="0008009C">
            <w:pPr>
              <w:rPr>
                <w:rFonts w:ascii="宋体"/>
              </w:rPr>
            </w:pPr>
          </w:p>
        </w:tc>
        <w:tc>
          <w:tcPr>
            <w:tcW w:w="50" w:type="pct"/>
            <w:shd w:val="clear" w:color="auto" w:fill="auto"/>
          </w:tcPr>
          <w:p w14:paraId="5C7C5B5A" w14:textId="77777777" w:rsidR="0008009C" w:rsidRDefault="0008009C">
            <w:pPr>
              <w:rPr>
                <w:rFonts w:ascii="宋体"/>
              </w:rPr>
            </w:pPr>
          </w:p>
        </w:tc>
        <w:tc>
          <w:tcPr>
            <w:tcW w:w="4378" w:type="pct"/>
            <w:shd w:val="clear" w:color="auto" w:fill="auto"/>
          </w:tcPr>
          <w:p w14:paraId="5C7C5B5B" w14:textId="77777777" w:rsidR="0008009C" w:rsidRDefault="0008009C">
            <w:pPr>
              <w:rPr>
                <w:rFonts w:ascii="宋体"/>
              </w:rPr>
            </w:pPr>
          </w:p>
        </w:tc>
        <w:tc>
          <w:tcPr>
            <w:tcW w:w="5" w:type="pct"/>
            <w:shd w:val="clear" w:color="auto" w:fill="auto"/>
          </w:tcPr>
          <w:p w14:paraId="5C7C5B5C" w14:textId="77777777" w:rsidR="0008009C" w:rsidRDefault="0008009C">
            <w:pPr>
              <w:rPr>
                <w:rFonts w:ascii="宋体"/>
              </w:rPr>
            </w:pPr>
          </w:p>
        </w:tc>
      </w:tr>
      <w:tr w:rsidR="0008009C" w14:paraId="5C7C5B60"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C7C5B5E" w14:textId="77777777" w:rsidR="0008009C" w:rsidRDefault="00936FDF">
            <w:pPr>
              <w:textAlignment w:val="bottom"/>
            </w:pPr>
            <w:r>
              <w:rPr>
                <w:rFonts w:ascii="Arial" w:eastAsia="宋体" w:hAnsi="Arial" w:cs="Arial"/>
                <w:color w:val="FFFFFF"/>
                <w:sz w:val="28"/>
                <w:szCs w:val="28"/>
              </w:rPr>
              <w:t xml:space="preserve">Note 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C7C5B5F" w14:textId="77777777" w:rsidR="0008009C" w:rsidRDefault="00936FDF">
            <w:pPr>
              <w:textAlignment w:val="bottom"/>
            </w:pPr>
            <w:r>
              <w:rPr>
                <w:rFonts w:ascii="Arial" w:eastAsia="宋体" w:hAnsi="Arial" w:cs="Arial"/>
                <w:color w:val="0068B5"/>
                <w:sz w:val="28"/>
                <w:szCs w:val="28"/>
              </w:rPr>
              <w:t>Basis of Presentation</w:t>
            </w:r>
          </w:p>
        </w:tc>
      </w:tr>
    </w:tbl>
    <w:p w14:paraId="5C7C5B61" w14:textId="77777777" w:rsidR="0008009C" w:rsidRDefault="00936FDF">
      <w:pPr>
        <w:spacing w:after="180"/>
      </w:pPr>
      <w:r>
        <w:rPr>
          <w:rFonts w:ascii="Arial" w:eastAsia="宋体" w:hAnsi="Arial" w:cs="Arial"/>
          <w:color w:val="262626"/>
          <w:sz w:val="18"/>
          <w:szCs w:val="18"/>
        </w:rPr>
        <w:t>We prepared our interim Consolidated Condensed Financial Statements that accompany these notes in conformity with U.S. GAAP, consistent in all material respects with those applied in our 2020 Form 10-K.</w:t>
      </w:r>
    </w:p>
    <w:p w14:paraId="5C7C5B62" w14:textId="77777777" w:rsidR="0008009C" w:rsidRDefault="00936FDF">
      <w:pPr>
        <w:spacing w:after="180"/>
      </w:pPr>
      <w:r>
        <w:rPr>
          <w:rFonts w:ascii="Arial" w:eastAsia="宋体" w:hAnsi="Arial" w:cs="Arial"/>
          <w:color w:val="262626"/>
          <w:sz w:val="18"/>
          <w:szCs w:val="18"/>
        </w:rPr>
        <w:t>We have made estimat</w:t>
      </w:r>
      <w:r>
        <w:rPr>
          <w:rFonts w:ascii="Arial" w:eastAsia="宋体" w:hAnsi="Arial" w:cs="Arial"/>
          <w:color w:val="262626"/>
          <w:sz w:val="18"/>
          <w:szCs w:val="18"/>
        </w:rPr>
        <w:t>es and judgments affecting the amounts reported in our Consolidated Condensed Financial Statements and the accompanying notes. The actual results that we experience may differ materially from our estimates. The interim financial information is unaudited, a</w:t>
      </w:r>
      <w:r>
        <w:rPr>
          <w:rFonts w:ascii="Arial" w:eastAsia="宋体" w:hAnsi="Arial" w:cs="Arial"/>
          <w:color w:val="262626"/>
          <w:sz w:val="18"/>
          <w:szCs w:val="18"/>
        </w:rPr>
        <w:t>nd reflects all normal adjustments that are, in our opinion, necessary to provide a fair statement of results for the interim periods presented. This report should be read in conjunction with the Consolidated Financial Statements in our 2020 Form 10-K wher</w:t>
      </w:r>
      <w:r>
        <w:rPr>
          <w:rFonts w:ascii="Arial" w:eastAsia="宋体" w:hAnsi="Arial" w:cs="Arial"/>
          <w:color w:val="262626"/>
          <w:sz w:val="18"/>
          <w:szCs w:val="18"/>
        </w:rPr>
        <w:t>e we include additional information about our policies and the methods and assumptions used in our estimates.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8009C" w14:paraId="5C7C5B69" w14:textId="77777777">
        <w:tc>
          <w:tcPr>
            <w:tcW w:w="50" w:type="pct"/>
            <w:shd w:val="clear" w:color="auto" w:fill="auto"/>
          </w:tcPr>
          <w:p w14:paraId="5C7C5B63" w14:textId="77777777" w:rsidR="0008009C" w:rsidRDefault="0008009C">
            <w:pPr>
              <w:rPr>
                <w:rFonts w:ascii="宋体"/>
              </w:rPr>
            </w:pPr>
          </w:p>
        </w:tc>
        <w:tc>
          <w:tcPr>
            <w:tcW w:w="511" w:type="pct"/>
            <w:shd w:val="clear" w:color="auto" w:fill="auto"/>
          </w:tcPr>
          <w:p w14:paraId="5C7C5B64" w14:textId="77777777" w:rsidR="0008009C" w:rsidRDefault="0008009C">
            <w:pPr>
              <w:rPr>
                <w:rFonts w:ascii="宋体"/>
              </w:rPr>
            </w:pPr>
          </w:p>
        </w:tc>
        <w:tc>
          <w:tcPr>
            <w:tcW w:w="5" w:type="pct"/>
            <w:shd w:val="clear" w:color="auto" w:fill="auto"/>
          </w:tcPr>
          <w:p w14:paraId="5C7C5B65" w14:textId="77777777" w:rsidR="0008009C" w:rsidRDefault="0008009C">
            <w:pPr>
              <w:rPr>
                <w:rFonts w:ascii="宋体"/>
              </w:rPr>
            </w:pPr>
          </w:p>
        </w:tc>
        <w:tc>
          <w:tcPr>
            <w:tcW w:w="50" w:type="pct"/>
            <w:shd w:val="clear" w:color="auto" w:fill="auto"/>
          </w:tcPr>
          <w:p w14:paraId="5C7C5B66" w14:textId="77777777" w:rsidR="0008009C" w:rsidRDefault="0008009C">
            <w:pPr>
              <w:rPr>
                <w:rFonts w:ascii="宋体"/>
              </w:rPr>
            </w:pPr>
          </w:p>
        </w:tc>
        <w:tc>
          <w:tcPr>
            <w:tcW w:w="4378" w:type="pct"/>
            <w:shd w:val="clear" w:color="auto" w:fill="auto"/>
          </w:tcPr>
          <w:p w14:paraId="5C7C5B67" w14:textId="77777777" w:rsidR="0008009C" w:rsidRDefault="0008009C">
            <w:pPr>
              <w:rPr>
                <w:rFonts w:ascii="宋体"/>
              </w:rPr>
            </w:pPr>
          </w:p>
        </w:tc>
        <w:tc>
          <w:tcPr>
            <w:tcW w:w="5" w:type="pct"/>
            <w:shd w:val="clear" w:color="auto" w:fill="auto"/>
          </w:tcPr>
          <w:p w14:paraId="5C7C5B68" w14:textId="77777777" w:rsidR="0008009C" w:rsidRDefault="0008009C">
            <w:pPr>
              <w:rPr>
                <w:rFonts w:ascii="宋体"/>
              </w:rPr>
            </w:pPr>
          </w:p>
        </w:tc>
      </w:tr>
      <w:tr w:rsidR="0008009C" w14:paraId="5C7C5B6C"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C7C5B6A" w14:textId="77777777" w:rsidR="0008009C" w:rsidRDefault="00936FDF">
            <w:pPr>
              <w:textAlignment w:val="bottom"/>
            </w:pPr>
            <w:r>
              <w:rPr>
                <w:rFonts w:ascii="Arial" w:eastAsia="宋体" w:hAnsi="Arial" w:cs="Arial"/>
                <w:color w:val="FFFFFF"/>
                <w:sz w:val="28"/>
                <w:szCs w:val="28"/>
              </w:rPr>
              <w:t xml:space="preserve">Note 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C7C5B6B" w14:textId="77777777" w:rsidR="0008009C" w:rsidRDefault="00936FDF">
            <w:pPr>
              <w:textAlignment w:val="bottom"/>
            </w:pPr>
            <w:r>
              <w:rPr>
                <w:rFonts w:ascii="Arial" w:eastAsia="宋体" w:hAnsi="Arial" w:cs="Arial"/>
                <w:color w:val="0068B5"/>
                <w:sz w:val="28"/>
                <w:szCs w:val="28"/>
              </w:rPr>
              <w:t>Operating Segments</w:t>
            </w:r>
          </w:p>
        </w:tc>
      </w:tr>
    </w:tbl>
    <w:p w14:paraId="5C7C5B6D" w14:textId="77777777" w:rsidR="0008009C" w:rsidRDefault="00936FDF">
      <w:pPr>
        <w:spacing w:before="180" w:after="120"/>
      </w:pPr>
      <w:r>
        <w:rPr>
          <w:rFonts w:ascii="Arial" w:eastAsia="宋体" w:hAnsi="Arial" w:cs="Arial"/>
          <w:color w:val="262626"/>
          <w:sz w:val="18"/>
          <w:szCs w:val="18"/>
        </w:rPr>
        <w:t>We manage our business through the following operating segments:</w:t>
      </w:r>
    </w:p>
    <w:p w14:paraId="5C7C5B6E" w14:textId="77777777" w:rsidR="0008009C" w:rsidRDefault="00936FDF">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DCG</w:t>
      </w:r>
    </w:p>
    <w:p w14:paraId="5C7C5B6F" w14:textId="77777777" w:rsidR="0008009C" w:rsidRDefault="00936FDF">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IOTG</w:t>
      </w:r>
    </w:p>
    <w:p w14:paraId="5C7C5B70" w14:textId="77777777" w:rsidR="0008009C" w:rsidRDefault="00936FDF">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Mobileye </w:t>
      </w:r>
    </w:p>
    <w:p w14:paraId="5C7C5B71" w14:textId="77777777" w:rsidR="0008009C" w:rsidRDefault="00936FDF">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NSG</w:t>
      </w:r>
    </w:p>
    <w:p w14:paraId="5C7C5B72" w14:textId="77777777" w:rsidR="0008009C" w:rsidRDefault="00936FDF">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PSG</w:t>
      </w:r>
    </w:p>
    <w:p w14:paraId="5C7C5B73" w14:textId="77777777" w:rsidR="0008009C" w:rsidRDefault="00936FDF">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CCG</w:t>
      </w:r>
    </w:p>
    <w:p w14:paraId="5C7C5B74" w14:textId="77777777" w:rsidR="0008009C" w:rsidRDefault="00936FDF">
      <w:pPr>
        <w:spacing w:after="180"/>
      </w:pPr>
      <w:r>
        <w:rPr>
          <w:rFonts w:ascii="Arial" w:eastAsia="宋体" w:hAnsi="Arial" w:cs="Arial"/>
          <w:color w:val="262626"/>
          <w:sz w:val="18"/>
          <w:szCs w:val="18"/>
        </w:rPr>
        <w:t>We derive a substantial majority of our revenue from platform products, which are our principal products and considered as one product class. We offer platform products that incorporate various components and technologies, including a microprocessor and ch</w:t>
      </w:r>
      <w:r>
        <w:rPr>
          <w:rFonts w:ascii="Arial" w:eastAsia="宋体" w:hAnsi="Arial" w:cs="Arial"/>
          <w:color w:val="262626"/>
          <w:sz w:val="18"/>
          <w:szCs w:val="18"/>
        </w:rPr>
        <w:t>ipset, a stand-alone SoC, or a multichip package. Platform products are used in various form factors across our DCG, IOTG, and CCG operating segments. Our non-platform, or adjacent products, can be combined with platform products to form comprehensive plat</w:t>
      </w:r>
      <w:r>
        <w:rPr>
          <w:rFonts w:ascii="Arial" w:eastAsia="宋体" w:hAnsi="Arial" w:cs="Arial"/>
          <w:color w:val="262626"/>
          <w:sz w:val="18"/>
          <w:szCs w:val="18"/>
        </w:rPr>
        <w:t xml:space="preserve">form solutions to meet customer needs. </w:t>
      </w:r>
    </w:p>
    <w:p w14:paraId="5C7C5B75" w14:textId="77777777" w:rsidR="0008009C" w:rsidRDefault="00936FDF">
      <w:pPr>
        <w:spacing w:after="180"/>
      </w:pPr>
      <w:r>
        <w:rPr>
          <w:rFonts w:ascii="Arial" w:eastAsia="宋体" w:hAnsi="Arial" w:cs="Arial"/>
          <w:color w:val="262626"/>
          <w:sz w:val="18"/>
          <w:szCs w:val="18"/>
        </w:rPr>
        <w:t>DCG and CCG are our reportable operating segments. IOTG, Mobileye, NSG, and PSG do not meet the quantitative thresholds to qualify as reportable operating segments; however, we have elected to disclose the results of</w:t>
      </w:r>
      <w:r>
        <w:rPr>
          <w:rFonts w:ascii="Arial" w:eastAsia="宋体" w:hAnsi="Arial" w:cs="Arial"/>
          <w:color w:val="262626"/>
          <w:sz w:val="18"/>
          <w:szCs w:val="18"/>
        </w:rPr>
        <w:t xml:space="preserve"> these non-reportable operating segments. Our Internet of Things portfolio, presented as Internet of Things, is comprised of IOTG and Mobileye operating segments. In 2021, our DCG operating segment includes the results of our Intel</w:t>
      </w:r>
      <w:r>
        <w:rPr>
          <w:rFonts w:ascii="Arial" w:eastAsia="宋体" w:hAnsi="Arial" w:cs="Arial"/>
          <w:color w:val="262626"/>
          <w:sz w:val="11"/>
          <w:szCs w:val="11"/>
        </w:rPr>
        <w:t>®</w:t>
      </w:r>
      <w:r>
        <w:rPr>
          <w:rFonts w:ascii="Arial" w:eastAsia="宋体" w:hAnsi="Arial" w:cs="Arial"/>
          <w:color w:val="262626"/>
          <w:sz w:val="18"/>
          <w:szCs w:val="18"/>
        </w:rPr>
        <w:t xml:space="preserve"> Optane</w:t>
      </w:r>
      <w:r>
        <w:rPr>
          <w:rFonts w:ascii="Arial" w:eastAsia="宋体" w:hAnsi="Arial" w:cs="Arial"/>
          <w:color w:val="262626"/>
          <w:sz w:val="11"/>
          <w:szCs w:val="11"/>
        </w:rPr>
        <w:t>TM</w:t>
      </w:r>
      <w:r>
        <w:rPr>
          <w:rFonts w:ascii="Arial" w:eastAsia="宋体" w:hAnsi="Arial" w:cs="Arial"/>
          <w:color w:val="262626"/>
          <w:sz w:val="18"/>
          <w:szCs w:val="18"/>
        </w:rPr>
        <w:t xml:space="preserve"> memory busines</w:t>
      </w:r>
      <w:r>
        <w:rPr>
          <w:rFonts w:ascii="Arial" w:eastAsia="宋体" w:hAnsi="Arial" w:cs="Arial"/>
          <w:color w:val="262626"/>
          <w:sz w:val="18"/>
          <w:szCs w:val="18"/>
        </w:rPr>
        <w:t>s, and our NSG operating segment is composed of our NAND memory business. Refer to "Note 8: Acquisitions and Divestitures" within Notes to Consolidated Condensed Financial Statements for further information on the pending divestiture of our NAND memory bus</w:t>
      </w:r>
      <w:r>
        <w:rPr>
          <w:rFonts w:ascii="Arial" w:eastAsia="宋体" w:hAnsi="Arial" w:cs="Arial"/>
          <w:color w:val="262626"/>
          <w:sz w:val="18"/>
          <w:szCs w:val="18"/>
        </w:rPr>
        <w:t>iness.</w:t>
      </w:r>
    </w:p>
    <w:p w14:paraId="5C7C5B76" w14:textId="77777777" w:rsidR="0008009C" w:rsidRDefault="00936FDF">
      <w:pPr>
        <w:spacing w:after="120"/>
      </w:pPr>
      <w:r>
        <w:rPr>
          <w:rFonts w:ascii="Arial" w:eastAsia="宋体" w:hAnsi="Arial" w:cs="Arial"/>
          <w:color w:val="262626"/>
          <w:sz w:val="18"/>
          <w:szCs w:val="18"/>
        </w:rPr>
        <w:t>We have an “all other” category that includes revenue, expenses, and charges such as:</w:t>
      </w:r>
    </w:p>
    <w:p w14:paraId="5C7C5B77" w14:textId="77777777" w:rsidR="0008009C" w:rsidRDefault="00936FDF">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results of operations from non-reportable segments not otherwise presented;</w:t>
      </w:r>
    </w:p>
    <w:p w14:paraId="5C7C5B78" w14:textId="77777777" w:rsidR="0008009C" w:rsidRDefault="00936FDF">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historical results of operations from divested businesses; </w:t>
      </w:r>
    </w:p>
    <w:p w14:paraId="5C7C5B79" w14:textId="77777777" w:rsidR="0008009C" w:rsidRDefault="00936FDF">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results of operations of</w:t>
      </w:r>
      <w:r>
        <w:rPr>
          <w:rFonts w:ascii="Arial" w:eastAsia="宋体" w:hAnsi="Arial" w:cs="Arial"/>
          <w:color w:val="262626"/>
          <w:sz w:val="18"/>
          <w:szCs w:val="18"/>
        </w:rPr>
        <w:t xml:space="preserve"> start-up businesses that support our initiatives, including our foundry business; </w:t>
      </w:r>
    </w:p>
    <w:p w14:paraId="5C7C5B7A" w14:textId="77777777" w:rsidR="0008009C" w:rsidRDefault="00936FDF">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amounts included within restructuring and other charges; </w:t>
      </w:r>
    </w:p>
    <w:p w14:paraId="5C7C5B7B" w14:textId="77777777" w:rsidR="0008009C" w:rsidRDefault="00936FDF">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a portion of employee benefits, compensation, and other expenses not allocated to the operating segments; and </w:t>
      </w:r>
    </w:p>
    <w:p w14:paraId="5C7C5B7C" w14:textId="77777777" w:rsidR="0008009C" w:rsidRDefault="00936FDF">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acquisition-related costs, including amortization and any impairment of acquisition-related intangibles and goodwill. </w:t>
      </w:r>
    </w:p>
    <w:p w14:paraId="5C7C5B7D" w14:textId="77777777" w:rsidR="0008009C" w:rsidRDefault="00936FDF">
      <w:pPr>
        <w:spacing w:after="180"/>
      </w:pPr>
      <w:r>
        <w:rPr>
          <w:rFonts w:ascii="Arial" w:eastAsia="宋体" w:hAnsi="Arial" w:cs="Arial"/>
          <w:color w:val="262626"/>
          <w:sz w:val="18"/>
          <w:szCs w:val="18"/>
        </w:rPr>
        <w:t>The CODM, who is our CEO, does not evaluate operating segments using discrete asset information. Operating segments do not record inter-s</w:t>
      </w:r>
      <w:r>
        <w:rPr>
          <w:rFonts w:ascii="Arial" w:eastAsia="宋体" w:hAnsi="Arial" w:cs="Arial"/>
          <w:color w:val="262626"/>
          <w:sz w:val="18"/>
          <w:szCs w:val="18"/>
        </w:rPr>
        <w:t>egment revenue. We do not allocate gains and losses from equity investments, interest and other income, or taxes to operating segments. Although the CODM uses operating income to evaluate the segments, operating costs included in one segment may benefit ot</w:t>
      </w:r>
      <w:r>
        <w:rPr>
          <w:rFonts w:ascii="Arial" w:eastAsia="宋体" w:hAnsi="Arial" w:cs="Arial"/>
          <w:color w:val="262626"/>
          <w:sz w:val="18"/>
          <w:szCs w:val="18"/>
        </w:rPr>
        <w:t>her segments. The accounting policies for segment reporting are the same as for Intel as a whole.</w:t>
      </w:r>
    </w:p>
    <w:p w14:paraId="5C7C5B7E" w14:textId="77777777" w:rsidR="0008009C" w:rsidRDefault="0008009C">
      <w:pPr>
        <w:spacing w:after="180"/>
      </w:pPr>
    </w:p>
    <w:p w14:paraId="5C7C5B7F" w14:textId="77777777" w:rsidR="0008009C" w:rsidRDefault="0008009C">
      <w:pPr>
        <w:spacing w:after="180"/>
      </w:pPr>
    </w:p>
    <w:p w14:paraId="5C7C5B80" w14:textId="77777777" w:rsidR="0008009C" w:rsidRDefault="0008009C">
      <w:pPr>
        <w:spacing w:after="180"/>
      </w:pPr>
    </w:p>
    <w:p w14:paraId="5C7C5B81" w14:textId="77777777" w:rsidR="0008009C" w:rsidRDefault="0008009C">
      <w:pPr>
        <w:spacing w:after="180"/>
      </w:pPr>
    </w:p>
    <w:p w14:paraId="5C7C5B82" w14:textId="77777777" w:rsidR="0008009C" w:rsidRDefault="0008009C">
      <w:pPr>
        <w:spacing w:after="180"/>
      </w:pPr>
    </w:p>
    <w:p w14:paraId="5C7C5B83" w14:textId="77777777" w:rsidR="0008009C" w:rsidRDefault="0008009C">
      <w:pPr>
        <w:spacing w:after="180"/>
      </w:pPr>
    </w:p>
    <w:p w14:paraId="5C7C5B84" w14:textId="77777777" w:rsidR="0008009C" w:rsidRDefault="0008009C">
      <w:pPr>
        <w:spacing w:after="180"/>
      </w:pPr>
    </w:p>
    <w:p w14:paraId="5C7C5B85" w14:textId="77777777" w:rsidR="0008009C" w:rsidRDefault="0008009C">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8009C" w14:paraId="5C7C5B92" w14:textId="77777777">
        <w:tc>
          <w:tcPr>
            <w:tcW w:w="50" w:type="pct"/>
            <w:shd w:val="clear" w:color="auto" w:fill="auto"/>
            <w:vAlign w:val="bottom"/>
          </w:tcPr>
          <w:p w14:paraId="5C7C5B86" w14:textId="77777777" w:rsidR="0008009C" w:rsidRDefault="0008009C">
            <w:pPr>
              <w:rPr>
                <w:rFonts w:ascii="宋体"/>
              </w:rPr>
            </w:pPr>
          </w:p>
        </w:tc>
        <w:tc>
          <w:tcPr>
            <w:tcW w:w="238" w:type="pct"/>
            <w:shd w:val="clear" w:color="auto" w:fill="auto"/>
            <w:vAlign w:val="bottom"/>
          </w:tcPr>
          <w:p w14:paraId="5C7C5B87" w14:textId="77777777" w:rsidR="0008009C" w:rsidRDefault="0008009C">
            <w:pPr>
              <w:rPr>
                <w:rFonts w:ascii="宋体"/>
              </w:rPr>
            </w:pPr>
          </w:p>
        </w:tc>
        <w:tc>
          <w:tcPr>
            <w:tcW w:w="5" w:type="pct"/>
            <w:shd w:val="clear" w:color="auto" w:fill="auto"/>
            <w:vAlign w:val="bottom"/>
          </w:tcPr>
          <w:p w14:paraId="5C7C5B88" w14:textId="77777777" w:rsidR="0008009C" w:rsidRDefault="0008009C">
            <w:pPr>
              <w:rPr>
                <w:rFonts w:ascii="宋体"/>
              </w:rPr>
            </w:pPr>
          </w:p>
        </w:tc>
        <w:tc>
          <w:tcPr>
            <w:tcW w:w="50" w:type="pct"/>
            <w:shd w:val="clear" w:color="auto" w:fill="auto"/>
            <w:vAlign w:val="bottom"/>
          </w:tcPr>
          <w:p w14:paraId="5C7C5B89" w14:textId="77777777" w:rsidR="0008009C" w:rsidRDefault="0008009C">
            <w:pPr>
              <w:rPr>
                <w:rFonts w:ascii="宋体"/>
              </w:rPr>
            </w:pPr>
          </w:p>
        </w:tc>
        <w:tc>
          <w:tcPr>
            <w:tcW w:w="983" w:type="pct"/>
            <w:shd w:val="clear" w:color="auto" w:fill="auto"/>
            <w:vAlign w:val="bottom"/>
          </w:tcPr>
          <w:p w14:paraId="5C7C5B8A" w14:textId="77777777" w:rsidR="0008009C" w:rsidRDefault="0008009C">
            <w:pPr>
              <w:rPr>
                <w:rFonts w:ascii="宋体"/>
              </w:rPr>
            </w:pPr>
          </w:p>
        </w:tc>
        <w:tc>
          <w:tcPr>
            <w:tcW w:w="5" w:type="pct"/>
            <w:shd w:val="clear" w:color="auto" w:fill="auto"/>
            <w:vAlign w:val="bottom"/>
          </w:tcPr>
          <w:p w14:paraId="5C7C5B8B" w14:textId="77777777" w:rsidR="0008009C" w:rsidRDefault="0008009C">
            <w:pPr>
              <w:rPr>
                <w:rFonts w:ascii="宋体"/>
              </w:rPr>
            </w:pPr>
          </w:p>
        </w:tc>
        <w:tc>
          <w:tcPr>
            <w:tcW w:w="50" w:type="pct"/>
            <w:shd w:val="clear" w:color="auto" w:fill="auto"/>
            <w:vAlign w:val="bottom"/>
          </w:tcPr>
          <w:p w14:paraId="5C7C5B8C" w14:textId="77777777" w:rsidR="0008009C" w:rsidRDefault="0008009C">
            <w:pPr>
              <w:rPr>
                <w:rFonts w:ascii="宋体"/>
              </w:rPr>
            </w:pPr>
          </w:p>
        </w:tc>
        <w:tc>
          <w:tcPr>
            <w:tcW w:w="2035" w:type="pct"/>
            <w:shd w:val="clear" w:color="auto" w:fill="auto"/>
            <w:vAlign w:val="bottom"/>
          </w:tcPr>
          <w:p w14:paraId="5C7C5B8D" w14:textId="77777777" w:rsidR="0008009C" w:rsidRDefault="0008009C">
            <w:pPr>
              <w:rPr>
                <w:rFonts w:ascii="宋体"/>
              </w:rPr>
            </w:pPr>
          </w:p>
        </w:tc>
        <w:tc>
          <w:tcPr>
            <w:tcW w:w="5" w:type="pct"/>
            <w:shd w:val="clear" w:color="auto" w:fill="auto"/>
            <w:vAlign w:val="bottom"/>
          </w:tcPr>
          <w:p w14:paraId="5C7C5B8E" w14:textId="77777777" w:rsidR="0008009C" w:rsidRDefault="0008009C">
            <w:pPr>
              <w:rPr>
                <w:rFonts w:ascii="宋体"/>
              </w:rPr>
            </w:pPr>
          </w:p>
        </w:tc>
        <w:tc>
          <w:tcPr>
            <w:tcW w:w="50" w:type="pct"/>
            <w:shd w:val="clear" w:color="auto" w:fill="auto"/>
            <w:vAlign w:val="bottom"/>
          </w:tcPr>
          <w:p w14:paraId="5C7C5B8F" w14:textId="77777777" w:rsidR="0008009C" w:rsidRDefault="0008009C">
            <w:pPr>
              <w:rPr>
                <w:rFonts w:ascii="宋体"/>
              </w:rPr>
            </w:pPr>
          </w:p>
        </w:tc>
        <w:tc>
          <w:tcPr>
            <w:tcW w:w="1522" w:type="pct"/>
            <w:shd w:val="clear" w:color="auto" w:fill="auto"/>
            <w:vAlign w:val="bottom"/>
          </w:tcPr>
          <w:p w14:paraId="5C7C5B90" w14:textId="77777777" w:rsidR="0008009C" w:rsidRDefault="0008009C">
            <w:pPr>
              <w:rPr>
                <w:rFonts w:ascii="宋体"/>
              </w:rPr>
            </w:pPr>
          </w:p>
        </w:tc>
        <w:tc>
          <w:tcPr>
            <w:tcW w:w="5" w:type="pct"/>
            <w:shd w:val="clear" w:color="auto" w:fill="auto"/>
            <w:vAlign w:val="bottom"/>
          </w:tcPr>
          <w:p w14:paraId="5C7C5B91" w14:textId="77777777" w:rsidR="0008009C" w:rsidRDefault="0008009C">
            <w:pPr>
              <w:rPr>
                <w:rFonts w:ascii="宋体"/>
              </w:rPr>
            </w:pPr>
          </w:p>
        </w:tc>
      </w:tr>
      <w:tr w:rsidR="0008009C" w14:paraId="5C7C5B97"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5B93"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02" wp14:editId="5C7C7D03">
                  <wp:extent cx="304800" cy="304800"/>
                  <wp:effectExtent l="0" t="0" r="0" b="0"/>
                  <wp:docPr id="92" name="图片 55"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5"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B94"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5B95" w14:textId="77777777" w:rsidR="0008009C" w:rsidRDefault="00936FDF">
            <w:pPr>
              <w:textAlignment w:val="center"/>
            </w:pPr>
            <w:r>
              <w:rPr>
                <w:rFonts w:ascii="Arial" w:eastAsia="宋体" w:hAnsi="Arial" w:cs="Arial"/>
                <w:color w:val="262626"/>
                <w:sz w:val="16"/>
                <w:szCs w:val="16"/>
              </w:rPr>
              <w:t> Notes to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B96" w14:textId="77777777" w:rsidR="0008009C" w:rsidRDefault="00936FDF">
            <w:pPr>
              <w:jc w:val="right"/>
              <w:textAlignment w:val="center"/>
            </w:pPr>
            <w:r>
              <w:rPr>
                <w:rFonts w:ascii="Arial" w:eastAsia="宋体" w:hAnsi="Arial" w:cs="Arial"/>
                <w:color w:val="262626"/>
                <w:sz w:val="16"/>
                <w:szCs w:val="16"/>
              </w:rPr>
              <w:t>8</w:t>
            </w:r>
          </w:p>
        </w:tc>
      </w:tr>
    </w:tbl>
    <w:p w14:paraId="5C7C5B98" w14:textId="77777777" w:rsidR="0008009C" w:rsidRDefault="00936FDF">
      <w:r>
        <w:pict w14:anchorId="5C7C7D04">
          <v:rect id="_x0000_i1034" style="width:415.3pt;height:1.5pt" o:hralign="center" o:hrstd="t" o:hr="t" fillcolor="#a0a0a0" stroked="f"/>
        </w:pict>
      </w:r>
    </w:p>
    <w:p w14:paraId="5C7C5B99" w14:textId="77777777" w:rsidR="0008009C" w:rsidRDefault="00936FDF">
      <w:pPr>
        <w:spacing w:after="180"/>
        <w:jc w:val="right"/>
      </w:pPr>
      <w:hyperlink r:id="rId34" w:anchor="i3a00378f6cc84b1c9cfc83239548ad53_7" w:history="1">
        <w:r>
          <w:rPr>
            <w:rStyle w:val="a5"/>
            <w:rFonts w:ascii="Arial" w:eastAsia="宋体" w:hAnsi="Arial" w:cs="Arial"/>
            <w:b/>
            <w:bCs/>
            <w:sz w:val="16"/>
            <w:szCs w:val="16"/>
          </w:rPr>
          <w:t>Table of Contents</w:t>
        </w:r>
      </w:hyperlink>
    </w:p>
    <w:p w14:paraId="5C7C5B9A" w14:textId="77777777" w:rsidR="0008009C" w:rsidRDefault="0008009C">
      <w:pPr>
        <w:spacing w:after="180"/>
        <w:jc w:val="right"/>
      </w:pPr>
    </w:p>
    <w:p w14:paraId="5C7C5B9B" w14:textId="77777777" w:rsidR="0008009C" w:rsidRDefault="00936FDF">
      <w:pPr>
        <w:spacing w:after="120"/>
      </w:pPr>
      <w:r>
        <w:rPr>
          <w:rFonts w:ascii="Arial" w:eastAsia="宋体" w:hAnsi="Arial" w:cs="Arial"/>
          <w:color w:val="262626"/>
          <w:sz w:val="18"/>
          <w:szCs w:val="18"/>
        </w:rPr>
        <w:t>Net revenue and operating income (loss)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5883"/>
        <w:gridCol w:w="40"/>
        <w:gridCol w:w="36"/>
        <w:gridCol w:w="36"/>
        <w:gridCol w:w="36"/>
        <w:gridCol w:w="121"/>
        <w:gridCol w:w="777"/>
        <w:gridCol w:w="36"/>
        <w:gridCol w:w="36"/>
        <w:gridCol w:w="36"/>
        <w:gridCol w:w="36"/>
        <w:gridCol w:w="121"/>
        <w:gridCol w:w="777"/>
        <w:gridCol w:w="36"/>
        <w:gridCol w:w="36"/>
        <w:gridCol w:w="36"/>
        <w:gridCol w:w="36"/>
        <w:gridCol w:w="36"/>
        <w:gridCol w:w="36"/>
        <w:gridCol w:w="36"/>
        <w:gridCol w:w="36"/>
        <w:gridCol w:w="36"/>
      </w:tblGrid>
      <w:tr w:rsidR="0008009C" w14:paraId="5C7C5BAF" w14:textId="77777777">
        <w:tc>
          <w:tcPr>
            <w:tcW w:w="50" w:type="pct"/>
            <w:shd w:val="clear" w:color="auto" w:fill="auto"/>
          </w:tcPr>
          <w:p w14:paraId="5C7C5B9C" w14:textId="77777777" w:rsidR="0008009C" w:rsidRDefault="0008009C">
            <w:pPr>
              <w:rPr>
                <w:rFonts w:ascii="宋体"/>
              </w:rPr>
            </w:pPr>
          </w:p>
        </w:tc>
        <w:tc>
          <w:tcPr>
            <w:tcW w:w="3688" w:type="pct"/>
            <w:shd w:val="clear" w:color="auto" w:fill="auto"/>
          </w:tcPr>
          <w:p w14:paraId="5C7C5B9D" w14:textId="77777777" w:rsidR="0008009C" w:rsidRDefault="0008009C">
            <w:pPr>
              <w:rPr>
                <w:rFonts w:ascii="宋体"/>
              </w:rPr>
            </w:pPr>
          </w:p>
        </w:tc>
        <w:tc>
          <w:tcPr>
            <w:tcW w:w="5" w:type="pct"/>
            <w:shd w:val="clear" w:color="auto" w:fill="auto"/>
          </w:tcPr>
          <w:p w14:paraId="5C7C5B9E" w14:textId="77777777" w:rsidR="0008009C" w:rsidRDefault="0008009C">
            <w:pPr>
              <w:rPr>
                <w:rFonts w:ascii="宋体"/>
              </w:rPr>
            </w:pPr>
          </w:p>
        </w:tc>
        <w:tc>
          <w:tcPr>
            <w:tcW w:w="5" w:type="pct"/>
            <w:shd w:val="clear" w:color="auto" w:fill="auto"/>
          </w:tcPr>
          <w:p w14:paraId="5C7C5B9F" w14:textId="77777777" w:rsidR="0008009C" w:rsidRDefault="0008009C">
            <w:pPr>
              <w:rPr>
                <w:rFonts w:ascii="宋体"/>
              </w:rPr>
            </w:pPr>
          </w:p>
        </w:tc>
        <w:tc>
          <w:tcPr>
            <w:tcW w:w="24" w:type="pct"/>
            <w:shd w:val="clear" w:color="auto" w:fill="auto"/>
          </w:tcPr>
          <w:p w14:paraId="5C7C5BA0" w14:textId="77777777" w:rsidR="0008009C" w:rsidRDefault="0008009C">
            <w:pPr>
              <w:rPr>
                <w:rFonts w:ascii="宋体"/>
              </w:rPr>
            </w:pPr>
          </w:p>
        </w:tc>
        <w:tc>
          <w:tcPr>
            <w:tcW w:w="5" w:type="pct"/>
            <w:shd w:val="clear" w:color="auto" w:fill="auto"/>
          </w:tcPr>
          <w:p w14:paraId="5C7C5BA1" w14:textId="77777777" w:rsidR="0008009C" w:rsidRDefault="0008009C">
            <w:pPr>
              <w:rPr>
                <w:rFonts w:ascii="宋体"/>
              </w:rPr>
            </w:pPr>
          </w:p>
        </w:tc>
        <w:tc>
          <w:tcPr>
            <w:tcW w:w="50" w:type="pct"/>
            <w:shd w:val="clear" w:color="auto" w:fill="auto"/>
          </w:tcPr>
          <w:p w14:paraId="5C7C5BA2" w14:textId="77777777" w:rsidR="0008009C" w:rsidRDefault="0008009C">
            <w:pPr>
              <w:rPr>
                <w:rFonts w:ascii="宋体"/>
              </w:rPr>
            </w:pPr>
          </w:p>
        </w:tc>
        <w:tc>
          <w:tcPr>
            <w:tcW w:w="539" w:type="pct"/>
            <w:shd w:val="clear" w:color="auto" w:fill="auto"/>
          </w:tcPr>
          <w:p w14:paraId="5C7C5BA3" w14:textId="77777777" w:rsidR="0008009C" w:rsidRDefault="0008009C">
            <w:pPr>
              <w:rPr>
                <w:rFonts w:ascii="宋体"/>
              </w:rPr>
            </w:pPr>
          </w:p>
        </w:tc>
        <w:tc>
          <w:tcPr>
            <w:tcW w:w="5" w:type="pct"/>
            <w:shd w:val="clear" w:color="auto" w:fill="auto"/>
          </w:tcPr>
          <w:p w14:paraId="5C7C5BA4" w14:textId="77777777" w:rsidR="0008009C" w:rsidRDefault="0008009C">
            <w:pPr>
              <w:rPr>
                <w:rFonts w:ascii="宋体"/>
              </w:rPr>
            </w:pPr>
          </w:p>
        </w:tc>
        <w:tc>
          <w:tcPr>
            <w:tcW w:w="5" w:type="pct"/>
            <w:shd w:val="clear" w:color="auto" w:fill="auto"/>
          </w:tcPr>
          <w:p w14:paraId="5C7C5BA5" w14:textId="77777777" w:rsidR="0008009C" w:rsidRDefault="0008009C">
            <w:pPr>
              <w:rPr>
                <w:rFonts w:ascii="宋体"/>
              </w:rPr>
            </w:pPr>
          </w:p>
        </w:tc>
        <w:tc>
          <w:tcPr>
            <w:tcW w:w="24" w:type="pct"/>
            <w:shd w:val="clear" w:color="auto" w:fill="auto"/>
          </w:tcPr>
          <w:p w14:paraId="5C7C5BA6" w14:textId="77777777" w:rsidR="0008009C" w:rsidRDefault="0008009C">
            <w:pPr>
              <w:rPr>
                <w:rFonts w:ascii="宋体"/>
              </w:rPr>
            </w:pPr>
          </w:p>
        </w:tc>
        <w:tc>
          <w:tcPr>
            <w:tcW w:w="5" w:type="pct"/>
            <w:shd w:val="clear" w:color="auto" w:fill="auto"/>
          </w:tcPr>
          <w:p w14:paraId="5C7C5BA7" w14:textId="77777777" w:rsidR="0008009C" w:rsidRDefault="0008009C">
            <w:pPr>
              <w:rPr>
                <w:rFonts w:ascii="宋体"/>
              </w:rPr>
            </w:pPr>
          </w:p>
        </w:tc>
        <w:tc>
          <w:tcPr>
            <w:tcW w:w="50" w:type="pct"/>
            <w:shd w:val="clear" w:color="auto" w:fill="auto"/>
          </w:tcPr>
          <w:p w14:paraId="5C7C5BA8" w14:textId="77777777" w:rsidR="0008009C" w:rsidRDefault="0008009C">
            <w:pPr>
              <w:rPr>
                <w:rFonts w:ascii="宋体"/>
              </w:rPr>
            </w:pPr>
          </w:p>
        </w:tc>
        <w:tc>
          <w:tcPr>
            <w:tcW w:w="539" w:type="pct"/>
            <w:shd w:val="clear" w:color="auto" w:fill="auto"/>
          </w:tcPr>
          <w:p w14:paraId="5C7C5BA9" w14:textId="77777777" w:rsidR="0008009C" w:rsidRDefault="0008009C">
            <w:pPr>
              <w:rPr>
                <w:rFonts w:ascii="宋体"/>
              </w:rPr>
            </w:pPr>
          </w:p>
        </w:tc>
        <w:tc>
          <w:tcPr>
            <w:tcW w:w="5" w:type="pct"/>
            <w:shd w:val="clear" w:color="auto" w:fill="auto"/>
          </w:tcPr>
          <w:p w14:paraId="5C7C5BAA" w14:textId="77777777" w:rsidR="0008009C" w:rsidRDefault="0008009C">
            <w:pPr>
              <w:rPr>
                <w:rFonts w:ascii="宋体"/>
              </w:rPr>
            </w:pPr>
          </w:p>
        </w:tc>
        <w:tc>
          <w:tcPr>
            <w:tcW w:w="0" w:type="auto"/>
            <w:shd w:val="clear" w:color="auto" w:fill="auto"/>
          </w:tcPr>
          <w:p w14:paraId="5C7C5BAB" w14:textId="77777777" w:rsidR="0008009C" w:rsidRDefault="0008009C">
            <w:pPr>
              <w:rPr>
                <w:rFonts w:ascii="宋体"/>
                <w:vanish/>
              </w:rPr>
            </w:pPr>
          </w:p>
        </w:tc>
        <w:tc>
          <w:tcPr>
            <w:tcW w:w="0" w:type="auto"/>
            <w:shd w:val="clear" w:color="auto" w:fill="auto"/>
          </w:tcPr>
          <w:p w14:paraId="5C7C5BAC" w14:textId="77777777" w:rsidR="0008009C" w:rsidRDefault="0008009C">
            <w:pPr>
              <w:rPr>
                <w:rFonts w:ascii="宋体"/>
                <w:vanish/>
              </w:rPr>
            </w:pPr>
          </w:p>
        </w:tc>
        <w:tc>
          <w:tcPr>
            <w:tcW w:w="0" w:type="auto"/>
            <w:gridSpan w:val="3"/>
            <w:shd w:val="clear" w:color="auto" w:fill="auto"/>
          </w:tcPr>
          <w:p w14:paraId="5C7C5BAD" w14:textId="77777777" w:rsidR="0008009C" w:rsidRDefault="0008009C">
            <w:pPr>
              <w:rPr>
                <w:rFonts w:ascii="宋体"/>
                <w:vanish/>
              </w:rPr>
            </w:pPr>
          </w:p>
        </w:tc>
        <w:tc>
          <w:tcPr>
            <w:tcW w:w="0" w:type="auto"/>
            <w:gridSpan w:val="3"/>
            <w:shd w:val="clear" w:color="auto" w:fill="auto"/>
          </w:tcPr>
          <w:p w14:paraId="5C7C5BAE" w14:textId="77777777" w:rsidR="0008009C" w:rsidRDefault="0008009C">
            <w:pPr>
              <w:rPr>
                <w:rFonts w:ascii="宋体"/>
                <w:vanish/>
              </w:rPr>
            </w:pPr>
          </w:p>
        </w:tc>
      </w:tr>
      <w:tr w:rsidR="0008009C" w14:paraId="5C7C5BBB" w14:textId="77777777">
        <w:tc>
          <w:tcPr>
            <w:tcW w:w="0" w:type="auto"/>
            <w:gridSpan w:val="3"/>
            <w:shd w:val="clear" w:color="auto" w:fill="auto"/>
            <w:tcMar>
              <w:top w:w="0" w:type="dxa"/>
              <w:left w:w="20" w:type="dxa"/>
              <w:bottom w:w="0" w:type="dxa"/>
              <w:right w:w="20" w:type="dxa"/>
            </w:tcMar>
          </w:tcPr>
          <w:p w14:paraId="5C7C5BB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BB1"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bottom"/>
          </w:tcPr>
          <w:p w14:paraId="5C7C5BB2" w14:textId="77777777" w:rsidR="0008009C" w:rsidRDefault="00936FDF">
            <w:pPr>
              <w:jc w:val="center"/>
              <w:textAlignment w:val="bottom"/>
            </w:pPr>
            <w:r>
              <w:rPr>
                <w:rFonts w:ascii="Arial" w:eastAsia="宋体" w:hAnsi="Arial" w:cs="Arial"/>
                <w:b/>
                <w:bCs/>
                <w:color w:val="262626"/>
                <w:sz w:val="18"/>
                <w:szCs w:val="18"/>
              </w:rPr>
              <w:t>Three Months Ended</w:t>
            </w:r>
          </w:p>
        </w:tc>
        <w:tc>
          <w:tcPr>
            <w:tcW w:w="0" w:type="auto"/>
            <w:shd w:val="clear" w:color="auto" w:fill="auto"/>
          </w:tcPr>
          <w:p w14:paraId="5C7C5BB3" w14:textId="77777777" w:rsidR="0008009C" w:rsidRDefault="0008009C">
            <w:pPr>
              <w:rPr>
                <w:rFonts w:ascii="宋体"/>
                <w:vanish/>
              </w:rPr>
            </w:pPr>
          </w:p>
        </w:tc>
        <w:tc>
          <w:tcPr>
            <w:tcW w:w="0" w:type="auto"/>
            <w:shd w:val="clear" w:color="auto" w:fill="auto"/>
          </w:tcPr>
          <w:p w14:paraId="5C7C5BB4" w14:textId="77777777" w:rsidR="0008009C" w:rsidRDefault="0008009C">
            <w:pPr>
              <w:rPr>
                <w:rFonts w:ascii="宋体"/>
                <w:vanish/>
              </w:rPr>
            </w:pPr>
          </w:p>
        </w:tc>
        <w:tc>
          <w:tcPr>
            <w:tcW w:w="0" w:type="auto"/>
            <w:shd w:val="clear" w:color="auto" w:fill="auto"/>
          </w:tcPr>
          <w:p w14:paraId="5C7C5BB5" w14:textId="77777777" w:rsidR="0008009C" w:rsidRDefault="0008009C">
            <w:pPr>
              <w:rPr>
                <w:rFonts w:ascii="宋体"/>
              </w:rPr>
            </w:pPr>
          </w:p>
        </w:tc>
        <w:tc>
          <w:tcPr>
            <w:tcW w:w="0" w:type="auto"/>
            <w:shd w:val="clear" w:color="auto" w:fill="auto"/>
          </w:tcPr>
          <w:p w14:paraId="5C7C5BB6" w14:textId="77777777" w:rsidR="0008009C" w:rsidRDefault="0008009C">
            <w:pPr>
              <w:rPr>
                <w:rFonts w:ascii="宋体"/>
              </w:rPr>
            </w:pPr>
          </w:p>
        </w:tc>
        <w:tc>
          <w:tcPr>
            <w:tcW w:w="0" w:type="auto"/>
            <w:shd w:val="clear" w:color="auto" w:fill="auto"/>
          </w:tcPr>
          <w:p w14:paraId="5C7C5BB7" w14:textId="77777777" w:rsidR="0008009C" w:rsidRDefault="0008009C">
            <w:pPr>
              <w:rPr>
                <w:rFonts w:ascii="宋体"/>
              </w:rPr>
            </w:pPr>
          </w:p>
        </w:tc>
        <w:tc>
          <w:tcPr>
            <w:tcW w:w="0" w:type="auto"/>
            <w:shd w:val="clear" w:color="auto" w:fill="auto"/>
          </w:tcPr>
          <w:p w14:paraId="5C7C5BB8" w14:textId="77777777" w:rsidR="0008009C" w:rsidRDefault="0008009C">
            <w:pPr>
              <w:rPr>
                <w:rFonts w:ascii="宋体"/>
              </w:rPr>
            </w:pPr>
          </w:p>
        </w:tc>
        <w:tc>
          <w:tcPr>
            <w:tcW w:w="0" w:type="auto"/>
            <w:shd w:val="clear" w:color="auto" w:fill="auto"/>
          </w:tcPr>
          <w:p w14:paraId="5C7C5BB9" w14:textId="77777777" w:rsidR="0008009C" w:rsidRDefault="0008009C">
            <w:pPr>
              <w:rPr>
                <w:rFonts w:ascii="宋体"/>
              </w:rPr>
            </w:pPr>
          </w:p>
        </w:tc>
        <w:tc>
          <w:tcPr>
            <w:tcW w:w="0" w:type="auto"/>
            <w:shd w:val="clear" w:color="auto" w:fill="auto"/>
          </w:tcPr>
          <w:p w14:paraId="5C7C5BBA" w14:textId="77777777" w:rsidR="0008009C" w:rsidRDefault="0008009C">
            <w:pPr>
              <w:rPr>
                <w:rFonts w:ascii="宋体"/>
              </w:rPr>
            </w:pPr>
          </w:p>
        </w:tc>
      </w:tr>
      <w:tr w:rsidR="0008009C" w14:paraId="5C7C5BC5" w14:textId="77777777">
        <w:tc>
          <w:tcPr>
            <w:tcW w:w="0" w:type="auto"/>
            <w:gridSpan w:val="3"/>
            <w:shd w:val="clear" w:color="auto" w:fill="auto"/>
            <w:tcMar>
              <w:top w:w="40" w:type="dxa"/>
              <w:left w:w="20" w:type="dxa"/>
              <w:bottom w:w="40" w:type="dxa"/>
              <w:right w:w="20" w:type="dxa"/>
            </w:tcMar>
            <w:vAlign w:val="bottom"/>
          </w:tcPr>
          <w:p w14:paraId="5C7C5BBC" w14:textId="77777777" w:rsidR="0008009C" w:rsidRDefault="00936FDF">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5BBD"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BBE"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tcBorders>
              <w:top w:val="single" w:sz="8" w:space="0" w:color="0068B5"/>
            </w:tcBorders>
            <w:shd w:val="clear" w:color="auto" w:fill="auto"/>
            <w:tcMar>
              <w:top w:w="0" w:type="dxa"/>
              <w:left w:w="20" w:type="dxa"/>
              <w:bottom w:w="0" w:type="dxa"/>
              <w:right w:w="20" w:type="dxa"/>
            </w:tcMar>
          </w:tcPr>
          <w:p w14:paraId="5C7C5BBF"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BC0" w14:textId="77777777" w:rsidR="0008009C" w:rsidRDefault="00936FDF">
            <w:pPr>
              <w:jc w:val="center"/>
              <w:textAlignment w:val="bottom"/>
            </w:pPr>
            <w:r>
              <w:rPr>
                <w:rFonts w:ascii="Arial" w:eastAsia="宋体" w:hAnsi="Arial" w:cs="Arial"/>
                <w:b/>
                <w:bCs/>
                <w:color w:val="262626"/>
                <w:sz w:val="18"/>
                <w:szCs w:val="18"/>
              </w:rPr>
              <w:t>Mar 28, 2020</w:t>
            </w:r>
          </w:p>
        </w:tc>
        <w:tc>
          <w:tcPr>
            <w:tcW w:w="0" w:type="auto"/>
            <w:shd w:val="clear" w:color="auto" w:fill="auto"/>
          </w:tcPr>
          <w:p w14:paraId="5C7C5BC1" w14:textId="77777777" w:rsidR="0008009C" w:rsidRDefault="0008009C">
            <w:pPr>
              <w:rPr>
                <w:rFonts w:ascii="宋体"/>
                <w:vanish/>
              </w:rPr>
            </w:pPr>
          </w:p>
        </w:tc>
        <w:tc>
          <w:tcPr>
            <w:tcW w:w="0" w:type="auto"/>
            <w:shd w:val="clear" w:color="auto" w:fill="auto"/>
          </w:tcPr>
          <w:p w14:paraId="5C7C5BC2" w14:textId="77777777" w:rsidR="0008009C" w:rsidRDefault="0008009C">
            <w:pPr>
              <w:rPr>
                <w:rFonts w:ascii="宋体"/>
                <w:vanish/>
              </w:rPr>
            </w:pPr>
          </w:p>
        </w:tc>
        <w:tc>
          <w:tcPr>
            <w:tcW w:w="0" w:type="auto"/>
            <w:gridSpan w:val="3"/>
            <w:shd w:val="clear" w:color="auto" w:fill="auto"/>
          </w:tcPr>
          <w:p w14:paraId="5C7C5BC3" w14:textId="77777777" w:rsidR="0008009C" w:rsidRDefault="0008009C">
            <w:pPr>
              <w:rPr>
                <w:rFonts w:ascii="宋体"/>
                <w:vanish/>
              </w:rPr>
            </w:pPr>
          </w:p>
        </w:tc>
        <w:tc>
          <w:tcPr>
            <w:tcW w:w="0" w:type="auto"/>
            <w:gridSpan w:val="3"/>
            <w:shd w:val="clear" w:color="auto" w:fill="auto"/>
          </w:tcPr>
          <w:p w14:paraId="5C7C5BC4" w14:textId="77777777" w:rsidR="0008009C" w:rsidRDefault="0008009C">
            <w:pPr>
              <w:rPr>
                <w:rFonts w:ascii="宋体"/>
                <w:vanish/>
              </w:rPr>
            </w:pPr>
          </w:p>
        </w:tc>
      </w:tr>
      <w:tr w:rsidR="0008009C" w14:paraId="5C7C5BCF"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BC6" w14:textId="77777777" w:rsidR="0008009C" w:rsidRDefault="00936FDF">
            <w:pPr>
              <w:textAlignment w:val="bottom"/>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tcPr>
          <w:p w14:paraId="5C7C5BC7"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BC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BC9"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BCA" w14:textId="77777777" w:rsidR="0008009C" w:rsidRDefault="0008009C">
            <w:pPr>
              <w:rPr>
                <w:rFonts w:ascii="宋体"/>
              </w:rPr>
            </w:pPr>
          </w:p>
        </w:tc>
        <w:tc>
          <w:tcPr>
            <w:tcW w:w="0" w:type="auto"/>
            <w:shd w:val="clear" w:color="auto" w:fill="auto"/>
          </w:tcPr>
          <w:p w14:paraId="5C7C5BCB" w14:textId="77777777" w:rsidR="0008009C" w:rsidRDefault="0008009C">
            <w:pPr>
              <w:rPr>
                <w:rFonts w:ascii="宋体"/>
                <w:vanish/>
              </w:rPr>
            </w:pPr>
          </w:p>
        </w:tc>
        <w:tc>
          <w:tcPr>
            <w:tcW w:w="0" w:type="auto"/>
            <w:shd w:val="clear" w:color="auto" w:fill="auto"/>
          </w:tcPr>
          <w:p w14:paraId="5C7C5BCC" w14:textId="77777777" w:rsidR="0008009C" w:rsidRDefault="0008009C">
            <w:pPr>
              <w:rPr>
                <w:rFonts w:ascii="宋体"/>
                <w:vanish/>
              </w:rPr>
            </w:pPr>
          </w:p>
        </w:tc>
        <w:tc>
          <w:tcPr>
            <w:tcW w:w="0" w:type="auto"/>
            <w:gridSpan w:val="3"/>
            <w:shd w:val="clear" w:color="auto" w:fill="auto"/>
          </w:tcPr>
          <w:p w14:paraId="5C7C5BCD" w14:textId="77777777" w:rsidR="0008009C" w:rsidRDefault="0008009C">
            <w:pPr>
              <w:rPr>
                <w:rFonts w:ascii="宋体"/>
                <w:vanish/>
              </w:rPr>
            </w:pPr>
          </w:p>
        </w:tc>
        <w:tc>
          <w:tcPr>
            <w:tcW w:w="0" w:type="auto"/>
            <w:gridSpan w:val="3"/>
            <w:shd w:val="clear" w:color="auto" w:fill="auto"/>
          </w:tcPr>
          <w:p w14:paraId="5C7C5BCE" w14:textId="77777777" w:rsidR="0008009C" w:rsidRDefault="0008009C">
            <w:pPr>
              <w:rPr>
                <w:rFonts w:ascii="宋体"/>
                <w:vanish/>
              </w:rPr>
            </w:pPr>
          </w:p>
        </w:tc>
      </w:tr>
      <w:tr w:rsidR="0008009C" w14:paraId="5C7C5BD9" w14:textId="77777777">
        <w:tc>
          <w:tcPr>
            <w:tcW w:w="0" w:type="auto"/>
            <w:gridSpan w:val="3"/>
            <w:shd w:val="clear" w:color="auto" w:fill="auto"/>
            <w:tcMar>
              <w:top w:w="40" w:type="dxa"/>
              <w:left w:w="215" w:type="dxa"/>
              <w:bottom w:w="40" w:type="dxa"/>
              <w:right w:w="20" w:type="dxa"/>
            </w:tcMar>
            <w:vAlign w:val="bottom"/>
          </w:tcPr>
          <w:p w14:paraId="5C7C5BD0" w14:textId="77777777" w:rsidR="0008009C" w:rsidRDefault="00936FDF">
            <w:pPr>
              <w:textAlignment w:val="bottom"/>
            </w:pPr>
            <w:r>
              <w:rPr>
                <w:rFonts w:ascii="Arial" w:eastAsia="宋体" w:hAnsi="Arial" w:cs="Arial"/>
                <w:b/>
                <w:bCs/>
                <w:color w:val="262626"/>
                <w:sz w:val="18"/>
                <w:szCs w:val="18"/>
              </w:rPr>
              <w:t>Data Center Group</w:t>
            </w:r>
          </w:p>
        </w:tc>
        <w:tc>
          <w:tcPr>
            <w:tcW w:w="0" w:type="auto"/>
            <w:gridSpan w:val="3"/>
            <w:shd w:val="clear" w:color="auto" w:fill="auto"/>
            <w:tcMar>
              <w:top w:w="0" w:type="dxa"/>
              <w:left w:w="20" w:type="dxa"/>
              <w:bottom w:w="0" w:type="dxa"/>
              <w:right w:w="20" w:type="dxa"/>
            </w:tcMar>
          </w:tcPr>
          <w:p w14:paraId="5C7C5BD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BD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BD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BD4" w14:textId="77777777" w:rsidR="0008009C" w:rsidRDefault="0008009C">
            <w:pPr>
              <w:rPr>
                <w:rFonts w:ascii="宋体"/>
              </w:rPr>
            </w:pPr>
          </w:p>
        </w:tc>
        <w:tc>
          <w:tcPr>
            <w:tcW w:w="0" w:type="auto"/>
            <w:shd w:val="clear" w:color="auto" w:fill="auto"/>
          </w:tcPr>
          <w:p w14:paraId="5C7C5BD5" w14:textId="77777777" w:rsidR="0008009C" w:rsidRDefault="0008009C">
            <w:pPr>
              <w:rPr>
                <w:rFonts w:ascii="宋体"/>
                <w:vanish/>
              </w:rPr>
            </w:pPr>
          </w:p>
        </w:tc>
        <w:tc>
          <w:tcPr>
            <w:tcW w:w="0" w:type="auto"/>
            <w:shd w:val="clear" w:color="auto" w:fill="auto"/>
          </w:tcPr>
          <w:p w14:paraId="5C7C5BD6" w14:textId="77777777" w:rsidR="0008009C" w:rsidRDefault="0008009C">
            <w:pPr>
              <w:rPr>
                <w:rFonts w:ascii="宋体"/>
                <w:vanish/>
              </w:rPr>
            </w:pPr>
          </w:p>
        </w:tc>
        <w:tc>
          <w:tcPr>
            <w:tcW w:w="0" w:type="auto"/>
            <w:gridSpan w:val="3"/>
            <w:shd w:val="clear" w:color="auto" w:fill="auto"/>
          </w:tcPr>
          <w:p w14:paraId="5C7C5BD7" w14:textId="77777777" w:rsidR="0008009C" w:rsidRDefault="0008009C">
            <w:pPr>
              <w:rPr>
                <w:rFonts w:ascii="宋体"/>
                <w:vanish/>
              </w:rPr>
            </w:pPr>
          </w:p>
        </w:tc>
        <w:tc>
          <w:tcPr>
            <w:tcW w:w="0" w:type="auto"/>
            <w:gridSpan w:val="3"/>
            <w:shd w:val="clear" w:color="auto" w:fill="auto"/>
          </w:tcPr>
          <w:p w14:paraId="5C7C5BD8" w14:textId="77777777" w:rsidR="0008009C" w:rsidRDefault="0008009C">
            <w:pPr>
              <w:rPr>
                <w:rFonts w:ascii="宋体"/>
                <w:vanish/>
              </w:rPr>
            </w:pPr>
          </w:p>
        </w:tc>
      </w:tr>
      <w:tr w:rsidR="0008009C" w14:paraId="5C7C5BE7" w14:textId="77777777">
        <w:tc>
          <w:tcPr>
            <w:tcW w:w="0" w:type="auto"/>
            <w:gridSpan w:val="3"/>
            <w:shd w:val="clear" w:color="auto" w:fill="auto"/>
            <w:tcMar>
              <w:top w:w="40" w:type="dxa"/>
              <w:left w:w="305" w:type="dxa"/>
              <w:bottom w:w="40" w:type="dxa"/>
              <w:right w:w="20" w:type="dxa"/>
            </w:tcMar>
            <w:vAlign w:val="bottom"/>
          </w:tcPr>
          <w:p w14:paraId="5C7C5BDA" w14:textId="77777777" w:rsidR="0008009C" w:rsidRDefault="00936FDF">
            <w:pPr>
              <w:textAlignment w:val="bottom"/>
            </w:pPr>
            <w:r>
              <w:rPr>
                <w:rFonts w:ascii="Arial" w:eastAsia="宋体" w:hAnsi="Arial" w:cs="Arial"/>
                <w:color w:val="262626"/>
                <w:sz w:val="18"/>
                <w:szCs w:val="18"/>
              </w:rPr>
              <w:t>Platform</w:t>
            </w:r>
          </w:p>
        </w:tc>
        <w:tc>
          <w:tcPr>
            <w:tcW w:w="0" w:type="auto"/>
            <w:gridSpan w:val="3"/>
            <w:shd w:val="clear" w:color="auto" w:fill="auto"/>
            <w:tcMar>
              <w:top w:w="0" w:type="dxa"/>
              <w:left w:w="20" w:type="dxa"/>
              <w:bottom w:w="0" w:type="dxa"/>
              <w:right w:w="20" w:type="dxa"/>
            </w:tcMar>
          </w:tcPr>
          <w:p w14:paraId="5C7C5BDB"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BDC"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5BDD" w14:textId="77777777" w:rsidR="0008009C" w:rsidRDefault="00936FDF">
            <w:pPr>
              <w:jc w:val="right"/>
              <w:textAlignment w:val="bottom"/>
            </w:pPr>
            <w:r>
              <w:rPr>
                <w:rFonts w:ascii="Arial" w:eastAsia="宋体" w:hAnsi="Arial" w:cs="Arial"/>
                <w:color w:val="0068B5"/>
                <w:sz w:val="18"/>
                <w:szCs w:val="18"/>
              </w:rPr>
              <w:t>4,811 </w:t>
            </w:r>
          </w:p>
        </w:tc>
        <w:tc>
          <w:tcPr>
            <w:tcW w:w="0" w:type="auto"/>
            <w:shd w:val="clear" w:color="auto" w:fill="auto"/>
            <w:tcMar>
              <w:top w:w="40" w:type="dxa"/>
              <w:left w:w="0" w:type="dxa"/>
              <w:bottom w:w="40" w:type="dxa"/>
              <w:right w:w="20" w:type="dxa"/>
            </w:tcMar>
            <w:vAlign w:val="bottom"/>
          </w:tcPr>
          <w:p w14:paraId="5C7C5BD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BDF"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BE0"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5BE1" w14:textId="77777777" w:rsidR="0008009C" w:rsidRDefault="00936FDF">
            <w:pPr>
              <w:jc w:val="right"/>
              <w:textAlignment w:val="bottom"/>
            </w:pPr>
            <w:r>
              <w:rPr>
                <w:rFonts w:ascii="Arial" w:eastAsia="宋体" w:hAnsi="Arial" w:cs="Arial"/>
                <w:color w:val="262626"/>
                <w:sz w:val="18"/>
                <w:szCs w:val="18"/>
              </w:rPr>
              <w:t>6,427 </w:t>
            </w:r>
          </w:p>
        </w:tc>
        <w:tc>
          <w:tcPr>
            <w:tcW w:w="0" w:type="auto"/>
            <w:shd w:val="clear" w:color="auto" w:fill="auto"/>
            <w:tcMar>
              <w:top w:w="40" w:type="dxa"/>
              <w:left w:w="0" w:type="dxa"/>
              <w:bottom w:w="40" w:type="dxa"/>
              <w:right w:w="20" w:type="dxa"/>
            </w:tcMar>
            <w:vAlign w:val="bottom"/>
          </w:tcPr>
          <w:p w14:paraId="5C7C5BE2" w14:textId="77777777" w:rsidR="0008009C" w:rsidRDefault="0008009C">
            <w:pPr>
              <w:jc w:val="right"/>
              <w:rPr>
                <w:rFonts w:ascii="宋体"/>
              </w:rPr>
            </w:pPr>
          </w:p>
        </w:tc>
        <w:tc>
          <w:tcPr>
            <w:tcW w:w="0" w:type="auto"/>
            <w:shd w:val="clear" w:color="auto" w:fill="auto"/>
          </w:tcPr>
          <w:p w14:paraId="5C7C5BE3" w14:textId="77777777" w:rsidR="0008009C" w:rsidRDefault="0008009C">
            <w:pPr>
              <w:rPr>
                <w:rFonts w:ascii="宋体"/>
                <w:vanish/>
              </w:rPr>
            </w:pPr>
          </w:p>
        </w:tc>
        <w:tc>
          <w:tcPr>
            <w:tcW w:w="0" w:type="auto"/>
            <w:shd w:val="clear" w:color="auto" w:fill="auto"/>
          </w:tcPr>
          <w:p w14:paraId="5C7C5BE4" w14:textId="77777777" w:rsidR="0008009C" w:rsidRDefault="0008009C">
            <w:pPr>
              <w:rPr>
                <w:rFonts w:ascii="宋体"/>
                <w:vanish/>
              </w:rPr>
            </w:pPr>
          </w:p>
        </w:tc>
        <w:tc>
          <w:tcPr>
            <w:tcW w:w="0" w:type="auto"/>
            <w:gridSpan w:val="3"/>
            <w:shd w:val="clear" w:color="auto" w:fill="auto"/>
          </w:tcPr>
          <w:p w14:paraId="5C7C5BE5" w14:textId="77777777" w:rsidR="0008009C" w:rsidRDefault="0008009C">
            <w:pPr>
              <w:rPr>
                <w:rFonts w:ascii="宋体"/>
                <w:vanish/>
              </w:rPr>
            </w:pPr>
          </w:p>
        </w:tc>
        <w:tc>
          <w:tcPr>
            <w:tcW w:w="0" w:type="auto"/>
            <w:gridSpan w:val="3"/>
            <w:shd w:val="clear" w:color="auto" w:fill="auto"/>
          </w:tcPr>
          <w:p w14:paraId="5C7C5BE6" w14:textId="77777777" w:rsidR="0008009C" w:rsidRDefault="0008009C">
            <w:pPr>
              <w:rPr>
                <w:rFonts w:ascii="宋体"/>
                <w:vanish/>
              </w:rPr>
            </w:pPr>
          </w:p>
        </w:tc>
      </w:tr>
      <w:tr w:rsidR="0008009C" w14:paraId="5C7C5BF3" w14:textId="77777777">
        <w:tc>
          <w:tcPr>
            <w:tcW w:w="0" w:type="auto"/>
            <w:gridSpan w:val="3"/>
            <w:shd w:val="clear" w:color="auto" w:fill="auto"/>
            <w:tcMar>
              <w:top w:w="40" w:type="dxa"/>
              <w:left w:w="305" w:type="dxa"/>
              <w:bottom w:w="40" w:type="dxa"/>
              <w:right w:w="20" w:type="dxa"/>
            </w:tcMar>
            <w:vAlign w:val="bottom"/>
          </w:tcPr>
          <w:p w14:paraId="5C7C5BE8" w14:textId="77777777" w:rsidR="0008009C" w:rsidRDefault="00936FDF">
            <w:pPr>
              <w:textAlignment w:val="bottom"/>
            </w:pPr>
            <w:r>
              <w:rPr>
                <w:rFonts w:ascii="Arial" w:eastAsia="宋体" w:hAnsi="Arial" w:cs="Arial"/>
                <w:color w:val="262626"/>
                <w:sz w:val="18"/>
                <w:szCs w:val="18"/>
              </w:rPr>
              <w:t>Adjacent</w:t>
            </w:r>
          </w:p>
        </w:tc>
        <w:tc>
          <w:tcPr>
            <w:tcW w:w="0" w:type="auto"/>
            <w:gridSpan w:val="3"/>
            <w:shd w:val="clear" w:color="auto" w:fill="auto"/>
            <w:tcMar>
              <w:top w:w="0" w:type="dxa"/>
              <w:left w:w="20" w:type="dxa"/>
              <w:bottom w:w="0" w:type="dxa"/>
              <w:right w:w="20" w:type="dxa"/>
            </w:tcMar>
          </w:tcPr>
          <w:p w14:paraId="5C7C5BE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BEA" w14:textId="77777777" w:rsidR="0008009C" w:rsidRDefault="00936FDF">
            <w:pPr>
              <w:jc w:val="right"/>
              <w:textAlignment w:val="bottom"/>
            </w:pPr>
            <w:r>
              <w:rPr>
                <w:rFonts w:ascii="Arial" w:eastAsia="宋体" w:hAnsi="Arial" w:cs="Arial"/>
                <w:color w:val="0068B5"/>
                <w:sz w:val="18"/>
                <w:szCs w:val="18"/>
              </w:rPr>
              <w:t>753 </w:t>
            </w:r>
          </w:p>
        </w:tc>
        <w:tc>
          <w:tcPr>
            <w:tcW w:w="0" w:type="auto"/>
            <w:shd w:val="clear" w:color="auto" w:fill="auto"/>
            <w:tcMar>
              <w:top w:w="40" w:type="dxa"/>
              <w:left w:w="0" w:type="dxa"/>
              <w:bottom w:w="40" w:type="dxa"/>
              <w:right w:w="20" w:type="dxa"/>
            </w:tcMar>
            <w:vAlign w:val="bottom"/>
          </w:tcPr>
          <w:p w14:paraId="5C7C5BE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BE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BED" w14:textId="77777777" w:rsidR="0008009C" w:rsidRDefault="00936FDF">
            <w:pPr>
              <w:jc w:val="right"/>
              <w:textAlignment w:val="bottom"/>
            </w:pPr>
            <w:r>
              <w:rPr>
                <w:rFonts w:ascii="Arial" w:eastAsia="宋体" w:hAnsi="Arial" w:cs="Arial"/>
                <w:color w:val="262626"/>
                <w:sz w:val="18"/>
                <w:szCs w:val="18"/>
              </w:rPr>
              <w:t>566 </w:t>
            </w:r>
          </w:p>
        </w:tc>
        <w:tc>
          <w:tcPr>
            <w:tcW w:w="0" w:type="auto"/>
            <w:shd w:val="clear" w:color="auto" w:fill="auto"/>
            <w:tcMar>
              <w:top w:w="40" w:type="dxa"/>
              <w:left w:w="0" w:type="dxa"/>
              <w:bottom w:w="40" w:type="dxa"/>
              <w:right w:w="20" w:type="dxa"/>
            </w:tcMar>
            <w:vAlign w:val="bottom"/>
          </w:tcPr>
          <w:p w14:paraId="5C7C5BEE" w14:textId="77777777" w:rsidR="0008009C" w:rsidRDefault="0008009C">
            <w:pPr>
              <w:jc w:val="right"/>
              <w:rPr>
                <w:rFonts w:ascii="宋体"/>
              </w:rPr>
            </w:pPr>
          </w:p>
        </w:tc>
        <w:tc>
          <w:tcPr>
            <w:tcW w:w="0" w:type="auto"/>
            <w:shd w:val="clear" w:color="auto" w:fill="auto"/>
          </w:tcPr>
          <w:p w14:paraId="5C7C5BEF" w14:textId="77777777" w:rsidR="0008009C" w:rsidRDefault="0008009C">
            <w:pPr>
              <w:rPr>
                <w:rFonts w:ascii="宋体"/>
                <w:vanish/>
              </w:rPr>
            </w:pPr>
          </w:p>
        </w:tc>
        <w:tc>
          <w:tcPr>
            <w:tcW w:w="0" w:type="auto"/>
            <w:shd w:val="clear" w:color="auto" w:fill="auto"/>
          </w:tcPr>
          <w:p w14:paraId="5C7C5BF0" w14:textId="77777777" w:rsidR="0008009C" w:rsidRDefault="0008009C">
            <w:pPr>
              <w:rPr>
                <w:rFonts w:ascii="宋体"/>
                <w:vanish/>
              </w:rPr>
            </w:pPr>
          </w:p>
        </w:tc>
        <w:tc>
          <w:tcPr>
            <w:tcW w:w="0" w:type="auto"/>
            <w:gridSpan w:val="3"/>
            <w:shd w:val="clear" w:color="auto" w:fill="auto"/>
          </w:tcPr>
          <w:p w14:paraId="5C7C5BF1" w14:textId="77777777" w:rsidR="0008009C" w:rsidRDefault="0008009C">
            <w:pPr>
              <w:rPr>
                <w:rFonts w:ascii="宋体"/>
                <w:vanish/>
              </w:rPr>
            </w:pPr>
          </w:p>
        </w:tc>
        <w:tc>
          <w:tcPr>
            <w:tcW w:w="0" w:type="auto"/>
            <w:gridSpan w:val="3"/>
            <w:shd w:val="clear" w:color="auto" w:fill="auto"/>
          </w:tcPr>
          <w:p w14:paraId="5C7C5BF2" w14:textId="77777777" w:rsidR="0008009C" w:rsidRDefault="0008009C">
            <w:pPr>
              <w:rPr>
                <w:rFonts w:ascii="宋体"/>
                <w:vanish/>
              </w:rPr>
            </w:pPr>
          </w:p>
        </w:tc>
      </w:tr>
      <w:tr w:rsidR="0008009C" w14:paraId="5C7C5BFF" w14:textId="77777777">
        <w:tc>
          <w:tcPr>
            <w:tcW w:w="0" w:type="auto"/>
            <w:gridSpan w:val="3"/>
            <w:shd w:val="clear" w:color="auto" w:fill="auto"/>
            <w:tcMar>
              <w:top w:w="0" w:type="dxa"/>
              <w:left w:w="20" w:type="dxa"/>
              <w:bottom w:w="0" w:type="dxa"/>
              <w:right w:w="20" w:type="dxa"/>
            </w:tcMar>
          </w:tcPr>
          <w:p w14:paraId="5C7C5BF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BF5"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BF6" w14:textId="77777777" w:rsidR="0008009C" w:rsidRDefault="00936FDF">
            <w:pPr>
              <w:jc w:val="right"/>
              <w:textAlignment w:val="bottom"/>
            </w:pPr>
            <w:r>
              <w:rPr>
                <w:rFonts w:ascii="Arial" w:eastAsia="宋体" w:hAnsi="Arial" w:cs="Arial"/>
                <w:b/>
                <w:bCs/>
                <w:color w:val="0068B5"/>
                <w:sz w:val="18"/>
                <w:szCs w:val="18"/>
              </w:rPr>
              <w:t>5,564</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BF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BF8"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BF9" w14:textId="77777777" w:rsidR="0008009C" w:rsidRDefault="00936FDF">
            <w:pPr>
              <w:jc w:val="right"/>
              <w:textAlignment w:val="bottom"/>
            </w:pPr>
            <w:r>
              <w:rPr>
                <w:rFonts w:ascii="Arial" w:eastAsia="宋体" w:hAnsi="Arial" w:cs="Arial"/>
                <w:b/>
                <w:bCs/>
                <w:color w:val="262626"/>
                <w:sz w:val="18"/>
                <w:szCs w:val="18"/>
              </w:rPr>
              <w:t>6,993</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BFA" w14:textId="77777777" w:rsidR="0008009C" w:rsidRDefault="0008009C">
            <w:pPr>
              <w:jc w:val="right"/>
              <w:rPr>
                <w:rFonts w:ascii="宋体"/>
              </w:rPr>
            </w:pPr>
          </w:p>
        </w:tc>
        <w:tc>
          <w:tcPr>
            <w:tcW w:w="0" w:type="auto"/>
            <w:shd w:val="clear" w:color="auto" w:fill="auto"/>
          </w:tcPr>
          <w:p w14:paraId="5C7C5BFB" w14:textId="77777777" w:rsidR="0008009C" w:rsidRDefault="0008009C">
            <w:pPr>
              <w:rPr>
                <w:rFonts w:ascii="宋体"/>
                <w:vanish/>
              </w:rPr>
            </w:pPr>
          </w:p>
        </w:tc>
        <w:tc>
          <w:tcPr>
            <w:tcW w:w="0" w:type="auto"/>
            <w:shd w:val="clear" w:color="auto" w:fill="auto"/>
          </w:tcPr>
          <w:p w14:paraId="5C7C5BFC" w14:textId="77777777" w:rsidR="0008009C" w:rsidRDefault="0008009C">
            <w:pPr>
              <w:rPr>
                <w:rFonts w:ascii="宋体"/>
                <w:vanish/>
              </w:rPr>
            </w:pPr>
          </w:p>
        </w:tc>
        <w:tc>
          <w:tcPr>
            <w:tcW w:w="0" w:type="auto"/>
            <w:gridSpan w:val="3"/>
            <w:shd w:val="clear" w:color="auto" w:fill="auto"/>
          </w:tcPr>
          <w:p w14:paraId="5C7C5BFD" w14:textId="77777777" w:rsidR="0008009C" w:rsidRDefault="0008009C">
            <w:pPr>
              <w:rPr>
                <w:rFonts w:ascii="宋体"/>
                <w:vanish/>
              </w:rPr>
            </w:pPr>
          </w:p>
        </w:tc>
        <w:tc>
          <w:tcPr>
            <w:tcW w:w="0" w:type="auto"/>
            <w:gridSpan w:val="3"/>
            <w:shd w:val="clear" w:color="auto" w:fill="auto"/>
          </w:tcPr>
          <w:p w14:paraId="5C7C5BFE" w14:textId="77777777" w:rsidR="0008009C" w:rsidRDefault="0008009C">
            <w:pPr>
              <w:rPr>
                <w:rFonts w:ascii="宋体"/>
                <w:vanish/>
              </w:rPr>
            </w:pPr>
          </w:p>
        </w:tc>
      </w:tr>
      <w:tr w:rsidR="0008009C" w14:paraId="5C7C5C09" w14:textId="77777777">
        <w:tc>
          <w:tcPr>
            <w:tcW w:w="0" w:type="auto"/>
            <w:gridSpan w:val="3"/>
            <w:shd w:val="clear" w:color="auto" w:fill="auto"/>
            <w:tcMar>
              <w:top w:w="40" w:type="dxa"/>
              <w:left w:w="215" w:type="dxa"/>
              <w:bottom w:w="40" w:type="dxa"/>
              <w:right w:w="20" w:type="dxa"/>
            </w:tcMar>
            <w:vAlign w:val="bottom"/>
          </w:tcPr>
          <w:p w14:paraId="5C7C5C00" w14:textId="77777777" w:rsidR="0008009C" w:rsidRDefault="00936FDF">
            <w:pPr>
              <w:textAlignment w:val="bottom"/>
            </w:pPr>
            <w:r>
              <w:rPr>
                <w:rFonts w:ascii="Arial" w:eastAsia="宋体" w:hAnsi="Arial" w:cs="Arial"/>
                <w:b/>
                <w:bCs/>
                <w:color w:val="262626"/>
                <w:sz w:val="18"/>
                <w:szCs w:val="18"/>
              </w:rPr>
              <w:t>Internet of Things</w:t>
            </w:r>
          </w:p>
        </w:tc>
        <w:tc>
          <w:tcPr>
            <w:tcW w:w="0" w:type="auto"/>
            <w:gridSpan w:val="3"/>
            <w:shd w:val="clear" w:color="auto" w:fill="auto"/>
            <w:tcMar>
              <w:top w:w="0" w:type="dxa"/>
              <w:left w:w="20" w:type="dxa"/>
              <w:bottom w:w="0" w:type="dxa"/>
              <w:right w:w="20" w:type="dxa"/>
            </w:tcMar>
          </w:tcPr>
          <w:p w14:paraId="5C7C5C0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C0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C0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C04" w14:textId="77777777" w:rsidR="0008009C" w:rsidRDefault="0008009C">
            <w:pPr>
              <w:rPr>
                <w:rFonts w:ascii="宋体"/>
              </w:rPr>
            </w:pPr>
          </w:p>
        </w:tc>
        <w:tc>
          <w:tcPr>
            <w:tcW w:w="0" w:type="auto"/>
            <w:shd w:val="clear" w:color="auto" w:fill="auto"/>
          </w:tcPr>
          <w:p w14:paraId="5C7C5C05" w14:textId="77777777" w:rsidR="0008009C" w:rsidRDefault="0008009C">
            <w:pPr>
              <w:rPr>
                <w:rFonts w:ascii="宋体"/>
                <w:vanish/>
              </w:rPr>
            </w:pPr>
          </w:p>
        </w:tc>
        <w:tc>
          <w:tcPr>
            <w:tcW w:w="0" w:type="auto"/>
            <w:shd w:val="clear" w:color="auto" w:fill="auto"/>
          </w:tcPr>
          <w:p w14:paraId="5C7C5C06" w14:textId="77777777" w:rsidR="0008009C" w:rsidRDefault="0008009C">
            <w:pPr>
              <w:rPr>
                <w:rFonts w:ascii="宋体"/>
                <w:vanish/>
              </w:rPr>
            </w:pPr>
          </w:p>
        </w:tc>
        <w:tc>
          <w:tcPr>
            <w:tcW w:w="0" w:type="auto"/>
            <w:gridSpan w:val="3"/>
            <w:shd w:val="clear" w:color="auto" w:fill="auto"/>
          </w:tcPr>
          <w:p w14:paraId="5C7C5C07" w14:textId="77777777" w:rsidR="0008009C" w:rsidRDefault="0008009C">
            <w:pPr>
              <w:rPr>
                <w:rFonts w:ascii="宋体"/>
                <w:vanish/>
              </w:rPr>
            </w:pPr>
          </w:p>
        </w:tc>
        <w:tc>
          <w:tcPr>
            <w:tcW w:w="0" w:type="auto"/>
            <w:gridSpan w:val="3"/>
            <w:shd w:val="clear" w:color="auto" w:fill="auto"/>
          </w:tcPr>
          <w:p w14:paraId="5C7C5C08" w14:textId="77777777" w:rsidR="0008009C" w:rsidRDefault="0008009C">
            <w:pPr>
              <w:rPr>
                <w:rFonts w:ascii="宋体"/>
                <w:vanish/>
              </w:rPr>
            </w:pPr>
          </w:p>
        </w:tc>
      </w:tr>
      <w:tr w:rsidR="0008009C" w14:paraId="5C7C5C15" w14:textId="77777777">
        <w:tc>
          <w:tcPr>
            <w:tcW w:w="0" w:type="auto"/>
            <w:gridSpan w:val="3"/>
            <w:shd w:val="clear" w:color="auto" w:fill="auto"/>
            <w:tcMar>
              <w:top w:w="40" w:type="dxa"/>
              <w:left w:w="305" w:type="dxa"/>
              <w:bottom w:w="40" w:type="dxa"/>
              <w:right w:w="20" w:type="dxa"/>
            </w:tcMar>
            <w:vAlign w:val="bottom"/>
          </w:tcPr>
          <w:p w14:paraId="5C7C5C0A" w14:textId="77777777" w:rsidR="0008009C" w:rsidRDefault="00936FDF">
            <w:pPr>
              <w:textAlignment w:val="bottom"/>
            </w:pPr>
            <w:r>
              <w:rPr>
                <w:rFonts w:ascii="Arial" w:eastAsia="宋体" w:hAnsi="Arial" w:cs="Arial"/>
                <w:color w:val="262626"/>
                <w:sz w:val="18"/>
                <w:szCs w:val="18"/>
              </w:rPr>
              <w:t>IOTG</w:t>
            </w:r>
          </w:p>
        </w:tc>
        <w:tc>
          <w:tcPr>
            <w:tcW w:w="0" w:type="auto"/>
            <w:gridSpan w:val="3"/>
            <w:shd w:val="clear" w:color="auto" w:fill="auto"/>
            <w:tcMar>
              <w:top w:w="0" w:type="dxa"/>
              <w:left w:w="20" w:type="dxa"/>
              <w:bottom w:w="0" w:type="dxa"/>
              <w:right w:w="20" w:type="dxa"/>
            </w:tcMar>
          </w:tcPr>
          <w:p w14:paraId="5C7C5C0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0C" w14:textId="77777777" w:rsidR="0008009C" w:rsidRDefault="00936FDF">
            <w:pPr>
              <w:jc w:val="right"/>
              <w:textAlignment w:val="bottom"/>
            </w:pPr>
            <w:r>
              <w:rPr>
                <w:rFonts w:ascii="Arial" w:eastAsia="宋体" w:hAnsi="Arial" w:cs="Arial"/>
                <w:color w:val="0068B5"/>
                <w:sz w:val="18"/>
                <w:szCs w:val="18"/>
              </w:rPr>
              <w:t>914 </w:t>
            </w:r>
          </w:p>
        </w:tc>
        <w:tc>
          <w:tcPr>
            <w:tcW w:w="0" w:type="auto"/>
            <w:shd w:val="clear" w:color="auto" w:fill="auto"/>
            <w:tcMar>
              <w:top w:w="40" w:type="dxa"/>
              <w:left w:w="0" w:type="dxa"/>
              <w:bottom w:w="40" w:type="dxa"/>
              <w:right w:w="20" w:type="dxa"/>
            </w:tcMar>
            <w:vAlign w:val="bottom"/>
          </w:tcPr>
          <w:p w14:paraId="5C7C5C0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C0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0F" w14:textId="77777777" w:rsidR="0008009C" w:rsidRDefault="00936FDF">
            <w:pPr>
              <w:jc w:val="right"/>
              <w:textAlignment w:val="bottom"/>
            </w:pPr>
            <w:r>
              <w:rPr>
                <w:rFonts w:ascii="Arial" w:eastAsia="宋体" w:hAnsi="Arial" w:cs="Arial"/>
                <w:color w:val="262626"/>
                <w:sz w:val="18"/>
                <w:szCs w:val="18"/>
              </w:rPr>
              <w:t>883 </w:t>
            </w:r>
          </w:p>
        </w:tc>
        <w:tc>
          <w:tcPr>
            <w:tcW w:w="0" w:type="auto"/>
            <w:shd w:val="clear" w:color="auto" w:fill="auto"/>
            <w:tcMar>
              <w:top w:w="40" w:type="dxa"/>
              <w:left w:w="0" w:type="dxa"/>
              <w:bottom w:w="40" w:type="dxa"/>
              <w:right w:w="20" w:type="dxa"/>
            </w:tcMar>
            <w:vAlign w:val="bottom"/>
          </w:tcPr>
          <w:p w14:paraId="5C7C5C10" w14:textId="77777777" w:rsidR="0008009C" w:rsidRDefault="0008009C">
            <w:pPr>
              <w:jc w:val="right"/>
              <w:rPr>
                <w:rFonts w:ascii="宋体"/>
              </w:rPr>
            </w:pPr>
          </w:p>
        </w:tc>
        <w:tc>
          <w:tcPr>
            <w:tcW w:w="0" w:type="auto"/>
            <w:shd w:val="clear" w:color="auto" w:fill="auto"/>
          </w:tcPr>
          <w:p w14:paraId="5C7C5C11" w14:textId="77777777" w:rsidR="0008009C" w:rsidRDefault="0008009C">
            <w:pPr>
              <w:rPr>
                <w:rFonts w:ascii="宋体"/>
                <w:vanish/>
              </w:rPr>
            </w:pPr>
          </w:p>
        </w:tc>
        <w:tc>
          <w:tcPr>
            <w:tcW w:w="0" w:type="auto"/>
            <w:shd w:val="clear" w:color="auto" w:fill="auto"/>
          </w:tcPr>
          <w:p w14:paraId="5C7C5C12" w14:textId="77777777" w:rsidR="0008009C" w:rsidRDefault="0008009C">
            <w:pPr>
              <w:rPr>
                <w:rFonts w:ascii="宋体"/>
                <w:vanish/>
              </w:rPr>
            </w:pPr>
          </w:p>
        </w:tc>
        <w:tc>
          <w:tcPr>
            <w:tcW w:w="0" w:type="auto"/>
            <w:gridSpan w:val="3"/>
            <w:shd w:val="clear" w:color="auto" w:fill="auto"/>
          </w:tcPr>
          <w:p w14:paraId="5C7C5C13" w14:textId="77777777" w:rsidR="0008009C" w:rsidRDefault="0008009C">
            <w:pPr>
              <w:rPr>
                <w:rFonts w:ascii="宋体"/>
                <w:vanish/>
              </w:rPr>
            </w:pPr>
          </w:p>
        </w:tc>
        <w:tc>
          <w:tcPr>
            <w:tcW w:w="0" w:type="auto"/>
            <w:gridSpan w:val="3"/>
            <w:shd w:val="clear" w:color="auto" w:fill="auto"/>
          </w:tcPr>
          <w:p w14:paraId="5C7C5C14" w14:textId="77777777" w:rsidR="0008009C" w:rsidRDefault="0008009C">
            <w:pPr>
              <w:rPr>
                <w:rFonts w:ascii="宋体"/>
                <w:vanish/>
              </w:rPr>
            </w:pPr>
          </w:p>
        </w:tc>
      </w:tr>
      <w:tr w:rsidR="0008009C" w14:paraId="5C7C5C21" w14:textId="77777777">
        <w:tc>
          <w:tcPr>
            <w:tcW w:w="0" w:type="auto"/>
            <w:gridSpan w:val="3"/>
            <w:shd w:val="clear" w:color="auto" w:fill="auto"/>
            <w:tcMar>
              <w:top w:w="40" w:type="dxa"/>
              <w:left w:w="305" w:type="dxa"/>
              <w:bottom w:w="40" w:type="dxa"/>
              <w:right w:w="20" w:type="dxa"/>
            </w:tcMar>
            <w:vAlign w:val="bottom"/>
          </w:tcPr>
          <w:p w14:paraId="5C7C5C16" w14:textId="77777777" w:rsidR="0008009C" w:rsidRDefault="00936FDF">
            <w:pPr>
              <w:textAlignment w:val="bottom"/>
            </w:pPr>
            <w:r>
              <w:rPr>
                <w:rFonts w:ascii="Arial" w:eastAsia="宋体" w:hAnsi="Arial" w:cs="Arial"/>
                <w:color w:val="262626"/>
                <w:sz w:val="18"/>
                <w:szCs w:val="18"/>
              </w:rPr>
              <w:t>Mobileye</w:t>
            </w:r>
          </w:p>
        </w:tc>
        <w:tc>
          <w:tcPr>
            <w:tcW w:w="0" w:type="auto"/>
            <w:gridSpan w:val="3"/>
            <w:shd w:val="clear" w:color="auto" w:fill="auto"/>
            <w:tcMar>
              <w:top w:w="0" w:type="dxa"/>
              <w:left w:w="20" w:type="dxa"/>
              <w:bottom w:w="0" w:type="dxa"/>
              <w:right w:w="20" w:type="dxa"/>
            </w:tcMar>
          </w:tcPr>
          <w:p w14:paraId="5C7C5C1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18" w14:textId="77777777" w:rsidR="0008009C" w:rsidRDefault="00936FDF">
            <w:pPr>
              <w:jc w:val="right"/>
              <w:textAlignment w:val="bottom"/>
            </w:pPr>
            <w:r>
              <w:rPr>
                <w:rFonts w:ascii="Arial" w:eastAsia="宋体" w:hAnsi="Arial" w:cs="Arial"/>
                <w:color w:val="0068B5"/>
                <w:sz w:val="18"/>
                <w:szCs w:val="18"/>
              </w:rPr>
              <w:t>377 </w:t>
            </w:r>
          </w:p>
        </w:tc>
        <w:tc>
          <w:tcPr>
            <w:tcW w:w="0" w:type="auto"/>
            <w:shd w:val="clear" w:color="auto" w:fill="auto"/>
            <w:tcMar>
              <w:top w:w="40" w:type="dxa"/>
              <w:left w:w="0" w:type="dxa"/>
              <w:bottom w:w="40" w:type="dxa"/>
              <w:right w:w="20" w:type="dxa"/>
            </w:tcMar>
            <w:vAlign w:val="bottom"/>
          </w:tcPr>
          <w:p w14:paraId="5C7C5C1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C1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1B" w14:textId="77777777" w:rsidR="0008009C" w:rsidRDefault="00936FDF">
            <w:pPr>
              <w:jc w:val="right"/>
              <w:textAlignment w:val="bottom"/>
            </w:pPr>
            <w:r>
              <w:rPr>
                <w:rFonts w:ascii="Arial" w:eastAsia="宋体" w:hAnsi="Arial" w:cs="Arial"/>
                <w:color w:val="262626"/>
                <w:sz w:val="18"/>
                <w:szCs w:val="18"/>
              </w:rPr>
              <w:t>254 </w:t>
            </w:r>
          </w:p>
        </w:tc>
        <w:tc>
          <w:tcPr>
            <w:tcW w:w="0" w:type="auto"/>
            <w:shd w:val="clear" w:color="auto" w:fill="auto"/>
            <w:tcMar>
              <w:top w:w="40" w:type="dxa"/>
              <w:left w:w="0" w:type="dxa"/>
              <w:bottom w:w="40" w:type="dxa"/>
              <w:right w:w="20" w:type="dxa"/>
            </w:tcMar>
            <w:vAlign w:val="bottom"/>
          </w:tcPr>
          <w:p w14:paraId="5C7C5C1C" w14:textId="77777777" w:rsidR="0008009C" w:rsidRDefault="0008009C">
            <w:pPr>
              <w:jc w:val="right"/>
              <w:rPr>
                <w:rFonts w:ascii="宋体"/>
              </w:rPr>
            </w:pPr>
          </w:p>
        </w:tc>
        <w:tc>
          <w:tcPr>
            <w:tcW w:w="0" w:type="auto"/>
            <w:shd w:val="clear" w:color="auto" w:fill="auto"/>
          </w:tcPr>
          <w:p w14:paraId="5C7C5C1D" w14:textId="77777777" w:rsidR="0008009C" w:rsidRDefault="0008009C">
            <w:pPr>
              <w:rPr>
                <w:rFonts w:ascii="宋体"/>
                <w:vanish/>
              </w:rPr>
            </w:pPr>
          </w:p>
        </w:tc>
        <w:tc>
          <w:tcPr>
            <w:tcW w:w="0" w:type="auto"/>
            <w:shd w:val="clear" w:color="auto" w:fill="auto"/>
          </w:tcPr>
          <w:p w14:paraId="5C7C5C1E" w14:textId="77777777" w:rsidR="0008009C" w:rsidRDefault="0008009C">
            <w:pPr>
              <w:rPr>
                <w:rFonts w:ascii="宋体"/>
                <w:vanish/>
              </w:rPr>
            </w:pPr>
          </w:p>
        </w:tc>
        <w:tc>
          <w:tcPr>
            <w:tcW w:w="0" w:type="auto"/>
            <w:gridSpan w:val="3"/>
            <w:shd w:val="clear" w:color="auto" w:fill="auto"/>
          </w:tcPr>
          <w:p w14:paraId="5C7C5C1F" w14:textId="77777777" w:rsidR="0008009C" w:rsidRDefault="0008009C">
            <w:pPr>
              <w:rPr>
                <w:rFonts w:ascii="宋体"/>
                <w:vanish/>
              </w:rPr>
            </w:pPr>
          </w:p>
        </w:tc>
        <w:tc>
          <w:tcPr>
            <w:tcW w:w="0" w:type="auto"/>
            <w:gridSpan w:val="3"/>
            <w:shd w:val="clear" w:color="auto" w:fill="auto"/>
          </w:tcPr>
          <w:p w14:paraId="5C7C5C20" w14:textId="77777777" w:rsidR="0008009C" w:rsidRDefault="0008009C">
            <w:pPr>
              <w:rPr>
                <w:rFonts w:ascii="宋体"/>
                <w:vanish/>
              </w:rPr>
            </w:pPr>
          </w:p>
        </w:tc>
      </w:tr>
      <w:tr w:rsidR="0008009C" w14:paraId="5C7C5C2D" w14:textId="77777777">
        <w:tc>
          <w:tcPr>
            <w:tcW w:w="0" w:type="auto"/>
            <w:gridSpan w:val="3"/>
            <w:shd w:val="clear" w:color="auto" w:fill="auto"/>
            <w:tcMar>
              <w:top w:w="0" w:type="dxa"/>
              <w:left w:w="20" w:type="dxa"/>
              <w:bottom w:w="0" w:type="dxa"/>
              <w:right w:w="20" w:type="dxa"/>
            </w:tcMar>
          </w:tcPr>
          <w:p w14:paraId="5C7C5C2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C23"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C24" w14:textId="77777777" w:rsidR="0008009C" w:rsidRDefault="00936FDF">
            <w:pPr>
              <w:jc w:val="right"/>
              <w:textAlignment w:val="bottom"/>
            </w:pPr>
            <w:r>
              <w:rPr>
                <w:rFonts w:ascii="Arial" w:eastAsia="宋体" w:hAnsi="Arial" w:cs="Arial"/>
                <w:b/>
                <w:bCs/>
                <w:color w:val="0068B5"/>
                <w:sz w:val="18"/>
                <w:szCs w:val="18"/>
              </w:rPr>
              <w:t>1,291</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C2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C26"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C27" w14:textId="77777777" w:rsidR="0008009C" w:rsidRDefault="00936FDF">
            <w:pPr>
              <w:jc w:val="right"/>
              <w:textAlignment w:val="bottom"/>
            </w:pPr>
            <w:r>
              <w:rPr>
                <w:rFonts w:ascii="Arial" w:eastAsia="宋体" w:hAnsi="Arial" w:cs="Arial"/>
                <w:b/>
                <w:bCs/>
                <w:color w:val="262626"/>
                <w:sz w:val="18"/>
                <w:szCs w:val="18"/>
              </w:rPr>
              <w:t>1,137</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C28" w14:textId="77777777" w:rsidR="0008009C" w:rsidRDefault="0008009C">
            <w:pPr>
              <w:jc w:val="right"/>
              <w:rPr>
                <w:rFonts w:ascii="宋体"/>
              </w:rPr>
            </w:pPr>
          </w:p>
        </w:tc>
        <w:tc>
          <w:tcPr>
            <w:tcW w:w="0" w:type="auto"/>
            <w:shd w:val="clear" w:color="auto" w:fill="auto"/>
          </w:tcPr>
          <w:p w14:paraId="5C7C5C29" w14:textId="77777777" w:rsidR="0008009C" w:rsidRDefault="0008009C">
            <w:pPr>
              <w:rPr>
                <w:rFonts w:ascii="宋体"/>
                <w:vanish/>
              </w:rPr>
            </w:pPr>
          </w:p>
        </w:tc>
        <w:tc>
          <w:tcPr>
            <w:tcW w:w="0" w:type="auto"/>
            <w:shd w:val="clear" w:color="auto" w:fill="auto"/>
          </w:tcPr>
          <w:p w14:paraId="5C7C5C2A" w14:textId="77777777" w:rsidR="0008009C" w:rsidRDefault="0008009C">
            <w:pPr>
              <w:rPr>
                <w:rFonts w:ascii="宋体"/>
                <w:vanish/>
              </w:rPr>
            </w:pPr>
          </w:p>
        </w:tc>
        <w:tc>
          <w:tcPr>
            <w:tcW w:w="0" w:type="auto"/>
            <w:gridSpan w:val="3"/>
            <w:shd w:val="clear" w:color="auto" w:fill="auto"/>
          </w:tcPr>
          <w:p w14:paraId="5C7C5C2B" w14:textId="77777777" w:rsidR="0008009C" w:rsidRDefault="0008009C">
            <w:pPr>
              <w:rPr>
                <w:rFonts w:ascii="宋体"/>
                <w:vanish/>
              </w:rPr>
            </w:pPr>
          </w:p>
        </w:tc>
        <w:tc>
          <w:tcPr>
            <w:tcW w:w="0" w:type="auto"/>
            <w:gridSpan w:val="3"/>
            <w:shd w:val="clear" w:color="auto" w:fill="auto"/>
          </w:tcPr>
          <w:p w14:paraId="5C7C5C2C" w14:textId="77777777" w:rsidR="0008009C" w:rsidRDefault="0008009C">
            <w:pPr>
              <w:rPr>
                <w:rFonts w:ascii="宋体"/>
                <w:vanish/>
              </w:rPr>
            </w:pPr>
          </w:p>
        </w:tc>
      </w:tr>
      <w:tr w:rsidR="0008009C" w14:paraId="5C7C5C37" w14:textId="77777777">
        <w:trPr>
          <w:hidden/>
        </w:trPr>
        <w:tc>
          <w:tcPr>
            <w:tcW w:w="0" w:type="auto"/>
            <w:gridSpan w:val="3"/>
            <w:shd w:val="clear" w:color="auto" w:fill="auto"/>
          </w:tcPr>
          <w:p w14:paraId="5C7C5C2E" w14:textId="77777777" w:rsidR="0008009C" w:rsidRDefault="0008009C">
            <w:pPr>
              <w:rPr>
                <w:rFonts w:ascii="宋体"/>
                <w:vanish/>
              </w:rPr>
            </w:pPr>
          </w:p>
        </w:tc>
        <w:tc>
          <w:tcPr>
            <w:tcW w:w="0" w:type="auto"/>
            <w:gridSpan w:val="3"/>
            <w:shd w:val="clear" w:color="auto" w:fill="auto"/>
          </w:tcPr>
          <w:p w14:paraId="5C7C5C2F" w14:textId="77777777" w:rsidR="0008009C" w:rsidRDefault="0008009C">
            <w:pPr>
              <w:rPr>
                <w:rFonts w:ascii="宋体"/>
                <w:vanish/>
              </w:rPr>
            </w:pPr>
          </w:p>
        </w:tc>
        <w:tc>
          <w:tcPr>
            <w:tcW w:w="0" w:type="auto"/>
            <w:gridSpan w:val="3"/>
            <w:shd w:val="clear" w:color="auto" w:fill="auto"/>
          </w:tcPr>
          <w:p w14:paraId="5C7C5C30" w14:textId="77777777" w:rsidR="0008009C" w:rsidRDefault="0008009C">
            <w:pPr>
              <w:rPr>
                <w:rFonts w:ascii="宋体"/>
                <w:vanish/>
              </w:rPr>
            </w:pPr>
          </w:p>
        </w:tc>
        <w:tc>
          <w:tcPr>
            <w:tcW w:w="0" w:type="auto"/>
            <w:gridSpan w:val="3"/>
            <w:shd w:val="clear" w:color="auto" w:fill="auto"/>
          </w:tcPr>
          <w:p w14:paraId="5C7C5C31" w14:textId="77777777" w:rsidR="0008009C" w:rsidRDefault="0008009C">
            <w:pPr>
              <w:rPr>
                <w:rFonts w:ascii="宋体"/>
                <w:vanish/>
              </w:rPr>
            </w:pPr>
          </w:p>
        </w:tc>
        <w:tc>
          <w:tcPr>
            <w:tcW w:w="0" w:type="auto"/>
            <w:gridSpan w:val="3"/>
            <w:shd w:val="clear" w:color="auto" w:fill="auto"/>
          </w:tcPr>
          <w:p w14:paraId="5C7C5C32" w14:textId="77777777" w:rsidR="0008009C" w:rsidRDefault="0008009C">
            <w:pPr>
              <w:rPr>
                <w:rFonts w:ascii="宋体"/>
                <w:vanish/>
              </w:rPr>
            </w:pPr>
          </w:p>
        </w:tc>
        <w:tc>
          <w:tcPr>
            <w:tcW w:w="0" w:type="auto"/>
            <w:shd w:val="clear" w:color="auto" w:fill="auto"/>
          </w:tcPr>
          <w:p w14:paraId="5C7C5C33" w14:textId="77777777" w:rsidR="0008009C" w:rsidRDefault="0008009C">
            <w:pPr>
              <w:rPr>
                <w:rFonts w:ascii="宋体"/>
                <w:vanish/>
              </w:rPr>
            </w:pPr>
          </w:p>
        </w:tc>
        <w:tc>
          <w:tcPr>
            <w:tcW w:w="0" w:type="auto"/>
            <w:shd w:val="clear" w:color="auto" w:fill="auto"/>
          </w:tcPr>
          <w:p w14:paraId="5C7C5C34" w14:textId="77777777" w:rsidR="0008009C" w:rsidRDefault="0008009C">
            <w:pPr>
              <w:rPr>
                <w:rFonts w:ascii="宋体"/>
                <w:vanish/>
              </w:rPr>
            </w:pPr>
          </w:p>
        </w:tc>
        <w:tc>
          <w:tcPr>
            <w:tcW w:w="0" w:type="auto"/>
            <w:gridSpan w:val="3"/>
            <w:shd w:val="clear" w:color="auto" w:fill="auto"/>
          </w:tcPr>
          <w:p w14:paraId="5C7C5C35" w14:textId="77777777" w:rsidR="0008009C" w:rsidRDefault="0008009C">
            <w:pPr>
              <w:rPr>
                <w:rFonts w:ascii="宋体"/>
                <w:vanish/>
              </w:rPr>
            </w:pPr>
          </w:p>
        </w:tc>
        <w:tc>
          <w:tcPr>
            <w:tcW w:w="0" w:type="auto"/>
            <w:gridSpan w:val="3"/>
            <w:shd w:val="clear" w:color="auto" w:fill="auto"/>
          </w:tcPr>
          <w:p w14:paraId="5C7C5C36" w14:textId="77777777" w:rsidR="0008009C" w:rsidRDefault="0008009C">
            <w:pPr>
              <w:rPr>
                <w:rFonts w:ascii="宋体"/>
                <w:vanish/>
              </w:rPr>
            </w:pPr>
          </w:p>
        </w:tc>
      </w:tr>
      <w:tr w:rsidR="0008009C" w14:paraId="5C7C5C41" w14:textId="77777777">
        <w:trPr>
          <w:hidden/>
        </w:trPr>
        <w:tc>
          <w:tcPr>
            <w:tcW w:w="0" w:type="auto"/>
            <w:gridSpan w:val="3"/>
            <w:shd w:val="clear" w:color="auto" w:fill="auto"/>
          </w:tcPr>
          <w:p w14:paraId="5C7C5C38" w14:textId="77777777" w:rsidR="0008009C" w:rsidRDefault="0008009C">
            <w:pPr>
              <w:rPr>
                <w:rFonts w:ascii="宋体"/>
                <w:vanish/>
              </w:rPr>
            </w:pPr>
          </w:p>
        </w:tc>
        <w:tc>
          <w:tcPr>
            <w:tcW w:w="0" w:type="auto"/>
            <w:gridSpan w:val="3"/>
            <w:shd w:val="clear" w:color="auto" w:fill="auto"/>
          </w:tcPr>
          <w:p w14:paraId="5C7C5C39" w14:textId="77777777" w:rsidR="0008009C" w:rsidRDefault="0008009C">
            <w:pPr>
              <w:rPr>
                <w:rFonts w:ascii="宋体"/>
                <w:vanish/>
              </w:rPr>
            </w:pPr>
          </w:p>
        </w:tc>
        <w:tc>
          <w:tcPr>
            <w:tcW w:w="0" w:type="auto"/>
            <w:gridSpan w:val="3"/>
            <w:shd w:val="clear" w:color="auto" w:fill="auto"/>
          </w:tcPr>
          <w:p w14:paraId="5C7C5C3A" w14:textId="77777777" w:rsidR="0008009C" w:rsidRDefault="0008009C">
            <w:pPr>
              <w:rPr>
                <w:rFonts w:ascii="宋体"/>
                <w:vanish/>
              </w:rPr>
            </w:pPr>
          </w:p>
        </w:tc>
        <w:tc>
          <w:tcPr>
            <w:tcW w:w="0" w:type="auto"/>
            <w:gridSpan w:val="3"/>
            <w:shd w:val="clear" w:color="auto" w:fill="auto"/>
          </w:tcPr>
          <w:p w14:paraId="5C7C5C3B" w14:textId="77777777" w:rsidR="0008009C" w:rsidRDefault="0008009C">
            <w:pPr>
              <w:rPr>
                <w:rFonts w:ascii="宋体"/>
                <w:vanish/>
              </w:rPr>
            </w:pPr>
          </w:p>
        </w:tc>
        <w:tc>
          <w:tcPr>
            <w:tcW w:w="0" w:type="auto"/>
            <w:gridSpan w:val="3"/>
            <w:shd w:val="clear" w:color="auto" w:fill="auto"/>
          </w:tcPr>
          <w:p w14:paraId="5C7C5C3C" w14:textId="77777777" w:rsidR="0008009C" w:rsidRDefault="0008009C">
            <w:pPr>
              <w:rPr>
                <w:rFonts w:ascii="宋体"/>
                <w:vanish/>
              </w:rPr>
            </w:pPr>
          </w:p>
        </w:tc>
        <w:tc>
          <w:tcPr>
            <w:tcW w:w="0" w:type="auto"/>
            <w:shd w:val="clear" w:color="auto" w:fill="auto"/>
          </w:tcPr>
          <w:p w14:paraId="5C7C5C3D" w14:textId="77777777" w:rsidR="0008009C" w:rsidRDefault="0008009C">
            <w:pPr>
              <w:rPr>
                <w:rFonts w:ascii="宋体"/>
                <w:vanish/>
              </w:rPr>
            </w:pPr>
          </w:p>
        </w:tc>
        <w:tc>
          <w:tcPr>
            <w:tcW w:w="0" w:type="auto"/>
            <w:shd w:val="clear" w:color="auto" w:fill="auto"/>
          </w:tcPr>
          <w:p w14:paraId="5C7C5C3E" w14:textId="77777777" w:rsidR="0008009C" w:rsidRDefault="0008009C">
            <w:pPr>
              <w:rPr>
                <w:rFonts w:ascii="宋体"/>
                <w:vanish/>
              </w:rPr>
            </w:pPr>
          </w:p>
        </w:tc>
        <w:tc>
          <w:tcPr>
            <w:tcW w:w="0" w:type="auto"/>
            <w:gridSpan w:val="3"/>
            <w:shd w:val="clear" w:color="auto" w:fill="auto"/>
          </w:tcPr>
          <w:p w14:paraId="5C7C5C3F" w14:textId="77777777" w:rsidR="0008009C" w:rsidRDefault="0008009C">
            <w:pPr>
              <w:rPr>
                <w:rFonts w:ascii="宋体"/>
                <w:vanish/>
              </w:rPr>
            </w:pPr>
          </w:p>
        </w:tc>
        <w:tc>
          <w:tcPr>
            <w:tcW w:w="0" w:type="auto"/>
            <w:gridSpan w:val="3"/>
            <w:shd w:val="clear" w:color="auto" w:fill="auto"/>
          </w:tcPr>
          <w:p w14:paraId="5C7C5C40" w14:textId="77777777" w:rsidR="0008009C" w:rsidRDefault="0008009C">
            <w:pPr>
              <w:rPr>
                <w:rFonts w:ascii="宋体"/>
                <w:vanish/>
              </w:rPr>
            </w:pPr>
          </w:p>
        </w:tc>
      </w:tr>
      <w:tr w:rsidR="0008009C" w14:paraId="5C7C5C4D" w14:textId="77777777">
        <w:tc>
          <w:tcPr>
            <w:tcW w:w="0" w:type="auto"/>
            <w:gridSpan w:val="3"/>
            <w:shd w:val="clear" w:color="auto" w:fill="auto"/>
            <w:tcMar>
              <w:top w:w="40" w:type="dxa"/>
              <w:left w:w="215" w:type="dxa"/>
              <w:bottom w:w="40" w:type="dxa"/>
              <w:right w:w="20" w:type="dxa"/>
            </w:tcMar>
            <w:vAlign w:val="bottom"/>
          </w:tcPr>
          <w:p w14:paraId="5C7C5C42" w14:textId="77777777" w:rsidR="0008009C" w:rsidRDefault="00936FDF">
            <w:pPr>
              <w:textAlignment w:val="bottom"/>
            </w:pPr>
            <w:r>
              <w:rPr>
                <w:rFonts w:ascii="Arial" w:eastAsia="宋体" w:hAnsi="Arial" w:cs="Arial"/>
                <w:b/>
                <w:bCs/>
                <w:color w:val="262626"/>
                <w:sz w:val="18"/>
                <w:szCs w:val="18"/>
              </w:rPr>
              <w:t>Non-Volatile Memory Solutions Group</w:t>
            </w:r>
          </w:p>
        </w:tc>
        <w:tc>
          <w:tcPr>
            <w:tcW w:w="0" w:type="auto"/>
            <w:gridSpan w:val="3"/>
            <w:shd w:val="clear" w:color="auto" w:fill="auto"/>
            <w:tcMar>
              <w:top w:w="0" w:type="dxa"/>
              <w:left w:w="20" w:type="dxa"/>
              <w:bottom w:w="0" w:type="dxa"/>
              <w:right w:w="20" w:type="dxa"/>
            </w:tcMar>
          </w:tcPr>
          <w:p w14:paraId="5C7C5C4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44" w14:textId="77777777" w:rsidR="0008009C" w:rsidRDefault="00936FDF">
            <w:pPr>
              <w:jc w:val="right"/>
              <w:textAlignment w:val="bottom"/>
            </w:pPr>
            <w:r>
              <w:rPr>
                <w:rFonts w:ascii="Arial" w:eastAsia="宋体" w:hAnsi="Arial" w:cs="Arial"/>
                <w:b/>
                <w:bCs/>
                <w:color w:val="0068B5"/>
                <w:sz w:val="18"/>
                <w:szCs w:val="18"/>
              </w:rPr>
              <w:t>1,107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C4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C4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47" w14:textId="77777777" w:rsidR="0008009C" w:rsidRDefault="00936FDF">
            <w:pPr>
              <w:jc w:val="right"/>
              <w:textAlignment w:val="bottom"/>
            </w:pPr>
            <w:r>
              <w:rPr>
                <w:rFonts w:ascii="Arial" w:eastAsia="宋体" w:hAnsi="Arial" w:cs="Arial"/>
                <w:b/>
                <w:bCs/>
                <w:color w:val="262626"/>
                <w:sz w:val="18"/>
                <w:szCs w:val="18"/>
              </w:rPr>
              <w:t>1,338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C48" w14:textId="77777777" w:rsidR="0008009C" w:rsidRDefault="0008009C">
            <w:pPr>
              <w:jc w:val="right"/>
              <w:rPr>
                <w:rFonts w:ascii="宋体"/>
              </w:rPr>
            </w:pPr>
          </w:p>
        </w:tc>
        <w:tc>
          <w:tcPr>
            <w:tcW w:w="0" w:type="auto"/>
            <w:shd w:val="clear" w:color="auto" w:fill="auto"/>
          </w:tcPr>
          <w:p w14:paraId="5C7C5C49" w14:textId="77777777" w:rsidR="0008009C" w:rsidRDefault="0008009C">
            <w:pPr>
              <w:rPr>
                <w:rFonts w:ascii="宋体"/>
                <w:vanish/>
              </w:rPr>
            </w:pPr>
          </w:p>
        </w:tc>
        <w:tc>
          <w:tcPr>
            <w:tcW w:w="0" w:type="auto"/>
            <w:shd w:val="clear" w:color="auto" w:fill="auto"/>
          </w:tcPr>
          <w:p w14:paraId="5C7C5C4A" w14:textId="77777777" w:rsidR="0008009C" w:rsidRDefault="0008009C">
            <w:pPr>
              <w:rPr>
                <w:rFonts w:ascii="宋体"/>
                <w:vanish/>
              </w:rPr>
            </w:pPr>
          </w:p>
        </w:tc>
        <w:tc>
          <w:tcPr>
            <w:tcW w:w="0" w:type="auto"/>
            <w:gridSpan w:val="3"/>
            <w:shd w:val="clear" w:color="auto" w:fill="auto"/>
          </w:tcPr>
          <w:p w14:paraId="5C7C5C4B" w14:textId="77777777" w:rsidR="0008009C" w:rsidRDefault="0008009C">
            <w:pPr>
              <w:rPr>
                <w:rFonts w:ascii="宋体"/>
                <w:vanish/>
              </w:rPr>
            </w:pPr>
          </w:p>
        </w:tc>
        <w:tc>
          <w:tcPr>
            <w:tcW w:w="0" w:type="auto"/>
            <w:gridSpan w:val="3"/>
            <w:shd w:val="clear" w:color="auto" w:fill="auto"/>
          </w:tcPr>
          <w:p w14:paraId="5C7C5C4C" w14:textId="77777777" w:rsidR="0008009C" w:rsidRDefault="0008009C">
            <w:pPr>
              <w:rPr>
                <w:rFonts w:ascii="宋体"/>
                <w:vanish/>
              </w:rPr>
            </w:pPr>
          </w:p>
        </w:tc>
      </w:tr>
      <w:tr w:rsidR="0008009C" w14:paraId="5C7C5C59" w14:textId="77777777">
        <w:tc>
          <w:tcPr>
            <w:tcW w:w="0" w:type="auto"/>
            <w:gridSpan w:val="3"/>
            <w:shd w:val="clear" w:color="auto" w:fill="auto"/>
            <w:tcMar>
              <w:top w:w="40" w:type="dxa"/>
              <w:left w:w="215" w:type="dxa"/>
              <w:bottom w:w="40" w:type="dxa"/>
              <w:right w:w="20" w:type="dxa"/>
            </w:tcMar>
            <w:vAlign w:val="bottom"/>
          </w:tcPr>
          <w:p w14:paraId="5C7C5C4E" w14:textId="77777777" w:rsidR="0008009C" w:rsidRDefault="00936FDF">
            <w:pPr>
              <w:textAlignment w:val="bottom"/>
            </w:pPr>
            <w:r>
              <w:rPr>
                <w:rFonts w:ascii="Arial" w:eastAsia="宋体" w:hAnsi="Arial" w:cs="Arial"/>
                <w:b/>
                <w:bCs/>
                <w:color w:val="262626"/>
                <w:sz w:val="18"/>
                <w:szCs w:val="18"/>
              </w:rPr>
              <w:t>Programmable Solutions Group</w:t>
            </w:r>
          </w:p>
        </w:tc>
        <w:tc>
          <w:tcPr>
            <w:tcW w:w="0" w:type="auto"/>
            <w:gridSpan w:val="3"/>
            <w:shd w:val="clear" w:color="auto" w:fill="auto"/>
            <w:tcMar>
              <w:top w:w="0" w:type="dxa"/>
              <w:left w:w="20" w:type="dxa"/>
              <w:bottom w:w="0" w:type="dxa"/>
              <w:right w:w="20" w:type="dxa"/>
            </w:tcMar>
          </w:tcPr>
          <w:p w14:paraId="5C7C5C4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50" w14:textId="77777777" w:rsidR="0008009C" w:rsidRDefault="00936FDF">
            <w:pPr>
              <w:jc w:val="right"/>
              <w:textAlignment w:val="bottom"/>
            </w:pPr>
            <w:r>
              <w:rPr>
                <w:rFonts w:ascii="Arial" w:eastAsia="宋体" w:hAnsi="Arial" w:cs="Arial"/>
                <w:b/>
                <w:bCs/>
                <w:color w:val="0068B5"/>
                <w:sz w:val="18"/>
                <w:szCs w:val="18"/>
              </w:rPr>
              <w:t>486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C5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C5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53" w14:textId="77777777" w:rsidR="0008009C" w:rsidRDefault="00936FDF">
            <w:pPr>
              <w:jc w:val="right"/>
              <w:textAlignment w:val="bottom"/>
            </w:pPr>
            <w:r>
              <w:rPr>
                <w:rFonts w:ascii="Arial" w:eastAsia="宋体" w:hAnsi="Arial" w:cs="Arial"/>
                <w:b/>
                <w:bCs/>
                <w:color w:val="262626"/>
                <w:sz w:val="18"/>
                <w:szCs w:val="18"/>
              </w:rPr>
              <w:t>519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C54" w14:textId="77777777" w:rsidR="0008009C" w:rsidRDefault="0008009C">
            <w:pPr>
              <w:jc w:val="right"/>
              <w:rPr>
                <w:rFonts w:ascii="宋体"/>
              </w:rPr>
            </w:pPr>
          </w:p>
        </w:tc>
        <w:tc>
          <w:tcPr>
            <w:tcW w:w="0" w:type="auto"/>
            <w:shd w:val="clear" w:color="auto" w:fill="auto"/>
          </w:tcPr>
          <w:p w14:paraId="5C7C5C55" w14:textId="77777777" w:rsidR="0008009C" w:rsidRDefault="0008009C">
            <w:pPr>
              <w:rPr>
                <w:rFonts w:ascii="宋体"/>
                <w:vanish/>
              </w:rPr>
            </w:pPr>
          </w:p>
        </w:tc>
        <w:tc>
          <w:tcPr>
            <w:tcW w:w="0" w:type="auto"/>
            <w:shd w:val="clear" w:color="auto" w:fill="auto"/>
          </w:tcPr>
          <w:p w14:paraId="5C7C5C56" w14:textId="77777777" w:rsidR="0008009C" w:rsidRDefault="0008009C">
            <w:pPr>
              <w:rPr>
                <w:rFonts w:ascii="宋体"/>
                <w:vanish/>
              </w:rPr>
            </w:pPr>
          </w:p>
        </w:tc>
        <w:tc>
          <w:tcPr>
            <w:tcW w:w="0" w:type="auto"/>
            <w:gridSpan w:val="3"/>
            <w:shd w:val="clear" w:color="auto" w:fill="auto"/>
          </w:tcPr>
          <w:p w14:paraId="5C7C5C57" w14:textId="77777777" w:rsidR="0008009C" w:rsidRDefault="0008009C">
            <w:pPr>
              <w:rPr>
                <w:rFonts w:ascii="宋体"/>
                <w:vanish/>
              </w:rPr>
            </w:pPr>
          </w:p>
        </w:tc>
        <w:tc>
          <w:tcPr>
            <w:tcW w:w="0" w:type="auto"/>
            <w:gridSpan w:val="3"/>
            <w:shd w:val="clear" w:color="auto" w:fill="auto"/>
          </w:tcPr>
          <w:p w14:paraId="5C7C5C58" w14:textId="77777777" w:rsidR="0008009C" w:rsidRDefault="0008009C">
            <w:pPr>
              <w:rPr>
                <w:rFonts w:ascii="宋体"/>
                <w:vanish/>
              </w:rPr>
            </w:pPr>
          </w:p>
        </w:tc>
      </w:tr>
      <w:tr w:rsidR="0008009C" w14:paraId="5C7C5C63" w14:textId="77777777">
        <w:tc>
          <w:tcPr>
            <w:tcW w:w="0" w:type="auto"/>
            <w:gridSpan w:val="3"/>
            <w:shd w:val="clear" w:color="auto" w:fill="auto"/>
            <w:tcMar>
              <w:top w:w="40" w:type="dxa"/>
              <w:left w:w="215" w:type="dxa"/>
              <w:bottom w:w="40" w:type="dxa"/>
              <w:right w:w="20" w:type="dxa"/>
            </w:tcMar>
            <w:vAlign w:val="bottom"/>
          </w:tcPr>
          <w:p w14:paraId="5C7C5C5A" w14:textId="77777777" w:rsidR="0008009C" w:rsidRDefault="00936FDF">
            <w:pPr>
              <w:textAlignment w:val="bottom"/>
            </w:pPr>
            <w:r>
              <w:rPr>
                <w:rFonts w:ascii="Arial" w:eastAsia="宋体" w:hAnsi="Arial" w:cs="Arial"/>
                <w:b/>
                <w:bCs/>
                <w:color w:val="262626"/>
                <w:sz w:val="18"/>
                <w:szCs w:val="18"/>
              </w:rPr>
              <w:t>Client Computing Group</w:t>
            </w:r>
          </w:p>
        </w:tc>
        <w:tc>
          <w:tcPr>
            <w:tcW w:w="0" w:type="auto"/>
            <w:gridSpan w:val="3"/>
            <w:shd w:val="clear" w:color="auto" w:fill="auto"/>
            <w:tcMar>
              <w:top w:w="0" w:type="dxa"/>
              <w:left w:w="20" w:type="dxa"/>
              <w:bottom w:w="0" w:type="dxa"/>
              <w:right w:w="20" w:type="dxa"/>
            </w:tcMar>
          </w:tcPr>
          <w:p w14:paraId="5C7C5C5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C5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C5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C5E" w14:textId="77777777" w:rsidR="0008009C" w:rsidRDefault="0008009C">
            <w:pPr>
              <w:rPr>
                <w:rFonts w:ascii="宋体"/>
              </w:rPr>
            </w:pPr>
          </w:p>
        </w:tc>
        <w:tc>
          <w:tcPr>
            <w:tcW w:w="0" w:type="auto"/>
            <w:shd w:val="clear" w:color="auto" w:fill="auto"/>
          </w:tcPr>
          <w:p w14:paraId="5C7C5C5F" w14:textId="77777777" w:rsidR="0008009C" w:rsidRDefault="0008009C">
            <w:pPr>
              <w:rPr>
                <w:rFonts w:ascii="宋体"/>
                <w:vanish/>
              </w:rPr>
            </w:pPr>
          </w:p>
        </w:tc>
        <w:tc>
          <w:tcPr>
            <w:tcW w:w="0" w:type="auto"/>
            <w:shd w:val="clear" w:color="auto" w:fill="auto"/>
          </w:tcPr>
          <w:p w14:paraId="5C7C5C60" w14:textId="77777777" w:rsidR="0008009C" w:rsidRDefault="0008009C">
            <w:pPr>
              <w:rPr>
                <w:rFonts w:ascii="宋体"/>
                <w:vanish/>
              </w:rPr>
            </w:pPr>
          </w:p>
        </w:tc>
        <w:tc>
          <w:tcPr>
            <w:tcW w:w="0" w:type="auto"/>
            <w:gridSpan w:val="3"/>
            <w:shd w:val="clear" w:color="auto" w:fill="auto"/>
          </w:tcPr>
          <w:p w14:paraId="5C7C5C61" w14:textId="77777777" w:rsidR="0008009C" w:rsidRDefault="0008009C">
            <w:pPr>
              <w:rPr>
                <w:rFonts w:ascii="宋体"/>
                <w:vanish/>
              </w:rPr>
            </w:pPr>
          </w:p>
        </w:tc>
        <w:tc>
          <w:tcPr>
            <w:tcW w:w="0" w:type="auto"/>
            <w:gridSpan w:val="3"/>
            <w:shd w:val="clear" w:color="auto" w:fill="auto"/>
          </w:tcPr>
          <w:p w14:paraId="5C7C5C62" w14:textId="77777777" w:rsidR="0008009C" w:rsidRDefault="0008009C">
            <w:pPr>
              <w:rPr>
                <w:rFonts w:ascii="宋体"/>
                <w:vanish/>
              </w:rPr>
            </w:pPr>
          </w:p>
        </w:tc>
      </w:tr>
      <w:tr w:rsidR="0008009C" w14:paraId="5C7C5C6F" w14:textId="77777777">
        <w:tc>
          <w:tcPr>
            <w:tcW w:w="0" w:type="auto"/>
            <w:gridSpan w:val="3"/>
            <w:shd w:val="clear" w:color="auto" w:fill="auto"/>
            <w:tcMar>
              <w:top w:w="40" w:type="dxa"/>
              <w:left w:w="305" w:type="dxa"/>
              <w:bottom w:w="40" w:type="dxa"/>
              <w:right w:w="20" w:type="dxa"/>
            </w:tcMar>
            <w:vAlign w:val="bottom"/>
          </w:tcPr>
          <w:p w14:paraId="5C7C5C64" w14:textId="77777777" w:rsidR="0008009C" w:rsidRDefault="00936FDF">
            <w:pPr>
              <w:textAlignment w:val="bottom"/>
            </w:pPr>
            <w:r>
              <w:rPr>
                <w:rFonts w:ascii="Arial" w:eastAsia="宋体" w:hAnsi="Arial" w:cs="Arial"/>
                <w:color w:val="262626"/>
                <w:sz w:val="18"/>
                <w:szCs w:val="18"/>
              </w:rPr>
              <w:t>Platform</w:t>
            </w:r>
          </w:p>
        </w:tc>
        <w:tc>
          <w:tcPr>
            <w:tcW w:w="0" w:type="auto"/>
            <w:gridSpan w:val="3"/>
            <w:shd w:val="clear" w:color="auto" w:fill="auto"/>
            <w:tcMar>
              <w:top w:w="0" w:type="dxa"/>
              <w:left w:w="20" w:type="dxa"/>
              <w:bottom w:w="0" w:type="dxa"/>
              <w:right w:w="20" w:type="dxa"/>
            </w:tcMar>
          </w:tcPr>
          <w:p w14:paraId="5C7C5C6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66" w14:textId="77777777" w:rsidR="0008009C" w:rsidRDefault="00936FDF">
            <w:pPr>
              <w:jc w:val="right"/>
              <w:textAlignment w:val="bottom"/>
            </w:pPr>
            <w:r>
              <w:rPr>
                <w:rFonts w:ascii="Arial" w:eastAsia="宋体" w:hAnsi="Arial" w:cs="Arial"/>
                <w:color w:val="0068B5"/>
                <w:sz w:val="18"/>
                <w:szCs w:val="18"/>
              </w:rPr>
              <w:t>9,617 </w:t>
            </w:r>
          </w:p>
        </w:tc>
        <w:tc>
          <w:tcPr>
            <w:tcW w:w="0" w:type="auto"/>
            <w:shd w:val="clear" w:color="auto" w:fill="auto"/>
            <w:tcMar>
              <w:top w:w="40" w:type="dxa"/>
              <w:left w:w="0" w:type="dxa"/>
              <w:bottom w:w="40" w:type="dxa"/>
              <w:right w:w="20" w:type="dxa"/>
            </w:tcMar>
            <w:vAlign w:val="bottom"/>
          </w:tcPr>
          <w:p w14:paraId="5C7C5C6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C6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69" w14:textId="77777777" w:rsidR="0008009C" w:rsidRDefault="00936FDF">
            <w:pPr>
              <w:jc w:val="right"/>
              <w:textAlignment w:val="bottom"/>
            </w:pPr>
            <w:r>
              <w:rPr>
                <w:rFonts w:ascii="Arial" w:eastAsia="宋体" w:hAnsi="Arial" w:cs="Arial"/>
                <w:color w:val="262626"/>
                <w:sz w:val="18"/>
                <w:szCs w:val="18"/>
              </w:rPr>
              <w:t>8,712 </w:t>
            </w:r>
          </w:p>
        </w:tc>
        <w:tc>
          <w:tcPr>
            <w:tcW w:w="0" w:type="auto"/>
            <w:shd w:val="clear" w:color="auto" w:fill="auto"/>
            <w:tcMar>
              <w:top w:w="40" w:type="dxa"/>
              <w:left w:w="0" w:type="dxa"/>
              <w:bottom w:w="40" w:type="dxa"/>
              <w:right w:w="20" w:type="dxa"/>
            </w:tcMar>
            <w:vAlign w:val="bottom"/>
          </w:tcPr>
          <w:p w14:paraId="5C7C5C6A" w14:textId="77777777" w:rsidR="0008009C" w:rsidRDefault="0008009C">
            <w:pPr>
              <w:jc w:val="right"/>
              <w:rPr>
                <w:rFonts w:ascii="宋体"/>
              </w:rPr>
            </w:pPr>
          </w:p>
        </w:tc>
        <w:tc>
          <w:tcPr>
            <w:tcW w:w="0" w:type="auto"/>
            <w:shd w:val="clear" w:color="auto" w:fill="auto"/>
          </w:tcPr>
          <w:p w14:paraId="5C7C5C6B" w14:textId="77777777" w:rsidR="0008009C" w:rsidRDefault="0008009C">
            <w:pPr>
              <w:rPr>
                <w:rFonts w:ascii="宋体"/>
                <w:vanish/>
              </w:rPr>
            </w:pPr>
          </w:p>
        </w:tc>
        <w:tc>
          <w:tcPr>
            <w:tcW w:w="0" w:type="auto"/>
            <w:shd w:val="clear" w:color="auto" w:fill="auto"/>
          </w:tcPr>
          <w:p w14:paraId="5C7C5C6C" w14:textId="77777777" w:rsidR="0008009C" w:rsidRDefault="0008009C">
            <w:pPr>
              <w:rPr>
                <w:rFonts w:ascii="宋体"/>
                <w:vanish/>
              </w:rPr>
            </w:pPr>
          </w:p>
        </w:tc>
        <w:tc>
          <w:tcPr>
            <w:tcW w:w="0" w:type="auto"/>
            <w:gridSpan w:val="3"/>
            <w:shd w:val="clear" w:color="auto" w:fill="auto"/>
          </w:tcPr>
          <w:p w14:paraId="5C7C5C6D" w14:textId="77777777" w:rsidR="0008009C" w:rsidRDefault="0008009C">
            <w:pPr>
              <w:rPr>
                <w:rFonts w:ascii="宋体"/>
                <w:vanish/>
              </w:rPr>
            </w:pPr>
          </w:p>
        </w:tc>
        <w:tc>
          <w:tcPr>
            <w:tcW w:w="0" w:type="auto"/>
            <w:gridSpan w:val="3"/>
            <w:shd w:val="clear" w:color="auto" w:fill="auto"/>
          </w:tcPr>
          <w:p w14:paraId="5C7C5C6E" w14:textId="77777777" w:rsidR="0008009C" w:rsidRDefault="0008009C">
            <w:pPr>
              <w:rPr>
                <w:rFonts w:ascii="宋体"/>
                <w:vanish/>
              </w:rPr>
            </w:pPr>
          </w:p>
        </w:tc>
      </w:tr>
      <w:tr w:rsidR="0008009C" w14:paraId="5C7C5C7B" w14:textId="77777777">
        <w:tc>
          <w:tcPr>
            <w:tcW w:w="0" w:type="auto"/>
            <w:gridSpan w:val="3"/>
            <w:shd w:val="clear" w:color="auto" w:fill="auto"/>
            <w:tcMar>
              <w:top w:w="40" w:type="dxa"/>
              <w:left w:w="305" w:type="dxa"/>
              <w:bottom w:w="40" w:type="dxa"/>
              <w:right w:w="20" w:type="dxa"/>
            </w:tcMar>
            <w:vAlign w:val="bottom"/>
          </w:tcPr>
          <w:p w14:paraId="5C7C5C70" w14:textId="77777777" w:rsidR="0008009C" w:rsidRDefault="00936FDF">
            <w:pPr>
              <w:textAlignment w:val="bottom"/>
            </w:pPr>
            <w:r>
              <w:rPr>
                <w:rFonts w:ascii="Arial" w:eastAsia="宋体" w:hAnsi="Arial" w:cs="Arial"/>
                <w:color w:val="262626"/>
                <w:sz w:val="18"/>
                <w:szCs w:val="18"/>
              </w:rPr>
              <w:t>Adjacent</w:t>
            </w:r>
          </w:p>
        </w:tc>
        <w:tc>
          <w:tcPr>
            <w:tcW w:w="0" w:type="auto"/>
            <w:gridSpan w:val="3"/>
            <w:shd w:val="clear" w:color="auto" w:fill="auto"/>
            <w:tcMar>
              <w:top w:w="0" w:type="dxa"/>
              <w:left w:w="20" w:type="dxa"/>
              <w:bottom w:w="0" w:type="dxa"/>
              <w:right w:w="20" w:type="dxa"/>
            </w:tcMar>
          </w:tcPr>
          <w:p w14:paraId="5C7C5C7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72" w14:textId="77777777" w:rsidR="0008009C" w:rsidRDefault="00936FDF">
            <w:pPr>
              <w:jc w:val="right"/>
              <w:textAlignment w:val="bottom"/>
            </w:pPr>
            <w:r>
              <w:rPr>
                <w:rFonts w:ascii="Arial" w:eastAsia="宋体" w:hAnsi="Arial" w:cs="Arial"/>
                <w:color w:val="0068B5"/>
                <w:sz w:val="18"/>
                <w:szCs w:val="18"/>
              </w:rPr>
              <w:t>988 </w:t>
            </w:r>
          </w:p>
        </w:tc>
        <w:tc>
          <w:tcPr>
            <w:tcW w:w="0" w:type="auto"/>
            <w:shd w:val="clear" w:color="auto" w:fill="auto"/>
            <w:tcMar>
              <w:top w:w="40" w:type="dxa"/>
              <w:left w:w="0" w:type="dxa"/>
              <w:bottom w:w="40" w:type="dxa"/>
              <w:right w:w="20" w:type="dxa"/>
            </w:tcMar>
            <w:vAlign w:val="bottom"/>
          </w:tcPr>
          <w:p w14:paraId="5C7C5C7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C7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75" w14:textId="77777777" w:rsidR="0008009C" w:rsidRDefault="00936FDF">
            <w:pPr>
              <w:jc w:val="right"/>
              <w:textAlignment w:val="bottom"/>
            </w:pPr>
            <w:r>
              <w:rPr>
                <w:rFonts w:ascii="Arial" w:eastAsia="宋体" w:hAnsi="Arial" w:cs="Arial"/>
                <w:color w:val="262626"/>
                <w:sz w:val="18"/>
                <w:szCs w:val="18"/>
              </w:rPr>
              <w:t>1,063 </w:t>
            </w:r>
          </w:p>
        </w:tc>
        <w:tc>
          <w:tcPr>
            <w:tcW w:w="0" w:type="auto"/>
            <w:shd w:val="clear" w:color="auto" w:fill="auto"/>
            <w:tcMar>
              <w:top w:w="40" w:type="dxa"/>
              <w:left w:w="0" w:type="dxa"/>
              <w:bottom w:w="40" w:type="dxa"/>
              <w:right w:w="20" w:type="dxa"/>
            </w:tcMar>
            <w:vAlign w:val="bottom"/>
          </w:tcPr>
          <w:p w14:paraId="5C7C5C76" w14:textId="77777777" w:rsidR="0008009C" w:rsidRDefault="0008009C">
            <w:pPr>
              <w:jc w:val="right"/>
              <w:rPr>
                <w:rFonts w:ascii="宋体"/>
              </w:rPr>
            </w:pPr>
          </w:p>
        </w:tc>
        <w:tc>
          <w:tcPr>
            <w:tcW w:w="0" w:type="auto"/>
            <w:shd w:val="clear" w:color="auto" w:fill="auto"/>
          </w:tcPr>
          <w:p w14:paraId="5C7C5C77" w14:textId="77777777" w:rsidR="0008009C" w:rsidRDefault="0008009C">
            <w:pPr>
              <w:rPr>
                <w:rFonts w:ascii="宋体"/>
                <w:vanish/>
              </w:rPr>
            </w:pPr>
          </w:p>
        </w:tc>
        <w:tc>
          <w:tcPr>
            <w:tcW w:w="0" w:type="auto"/>
            <w:shd w:val="clear" w:color="auto" w:fill="auto"/>
          </w:tcPr>
          <w:p w14:paraId="5C7C5C78" w14:textId="77777777" w:rsidR="0008009C" w:rsidRDefault="0008009C">
            <w:pPr>
              <w:rPr>
                <w:rFonts w:ascii="宋体"/>
                <w:vanish/>
              </w:rPr>
            </w:pPr>
          </w:p>
        </w:tc>
        <w:tc>
          <w:tcPr>
            <w:tcW w:w="0" w:type="auto"/>
            <w:gridSpan w:val="3"/>
            <w:shd w:val="clear" w:color="auto" w:fill="auto"/>
          </w:tcPr>
          <w:p w14:paraId="5C7C5C79" w14:textId="77777777" w:rsidR="0008009C" w:rsidRDefault="0008009C">
            <w:pPr>
              <w:rPr>
                <w:rFonts w:ascii="宋体"/>
                <w:vanish/>
              </w:rPr>
            </w:pPr>
          </w:p>
        </w:tc>
        <w:tc>
          <w:tcPr>
            <w:tcW w:w="0" w:type="auto"/>
            <w:gridSpan w:val="3"/>
            <w:shd w:val="clear" w:color="auto" w:fill="auto"/>
          </w:tcPr>
          <w:p w14:paraId="5C7C5C7A" w14:textId="77777777" w:rsidR="0008009C" w:rsidRDefault="0008009C">
            <w:pPr>
              <w:rPr>
                <w:rFonts w:ascii="宋体"/>
                <w:vanish/>
              </w:rPr>
            </w:pPr>
          </w:p>
        </w:tc>
      </w:tr>
      <w:tr w:rsidR="0008009C" w14:paraId="5C7C5C87" w14:textId="77777777">
        <w:tc>
          <w:tcPr>
            <w:tcW w:w="0" w:type="auto"/>
            <w:gridSpan w:val="3"/>
            <w:shd w:val="clear" w:color="auto" w:fill="auto"/>
            <w:tcMar>
              <w:top w:w="0" w:type="dxa"/>
              <w:left w:w="20" w:type="dxa"/>
              <w:bottom w:w="0" w:type="dxa"/>
              <w:right w:w="20" w:type="dxa"/>
            </w:tcMar>
          </w:tcPr>
          <w:p w14:paraId="5C7C5C7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C7D"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C7E" w14:textId="77777777" w:rsidR="0008009C" w:rsidRDefault="00936FDF">
            <w:pPr>
              <w:jc w:val="right"/>
              <w:textAlignment w:val="bottom"/>
            </w:pPr>
            <w:r>
              <w:rPr>
                <w:rFonts w:ascii="Arial" w:eastAsia="宋体" w:hAnsi="Arial" w:cs="Arial"/>
                <w:b/>
                <w:bCs/>
                <w:color w:val="0068B5"/>
                <w:sz w:val="18"/>
                <w:szCs w:val="18"/>
              </w:rPr>
              <w:t>10,605</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C7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C80"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C81" w14:textId="77777777" w:rsidR="0008009C" w:rsidRDefault="00936FDF">
            <w:pPr>
              <w:jc w:val="right"/>
              <w:textAlignment w:val="bottom"/>
            </w:pPr>
            <w:r>
              <w:rPr>
                <w:rFonts w:ascii="Arial" w:eastAsia="宋体" w:hAnsi="Arial" w:cs="Arial"/>
                <w:b/>
                <w:bCs/>
                <w:color w:val="262626"/>
                <w:sz w:val="18"/>
                <w:szCs w:val="18"/>
              </w:rPr>
              <w:t>9,775</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C82" w14:textId="77777777" w:rsidR="0008009C" w:rsidRDefault="0008009C">
            <w:pPr>
              <w:jc w:val="right"/>
              <w:rPr>
                <w:rFonts w:ascii="宋体"/>
              </w:rPr>
            </w:pPr>
          </w:p>
        </w:tc>
        <w:tc>
          <w:tcPr>
            <w:tcW w:w="0" w:type="auto"/>
            <w:shd w:val="clear" w:color="auto" w:fill="auto"/>
          </w:tcPr>
          <w:p w14:paraId="5C7C5C83" w14:textId="77777777" w:rsidR="0008009C" w:rsidRDefault="0008009C">
            <w:pPr>
              <w:rPr>
                <w:rFonts w:ascii="宋体"/>
                <w:vanish/>
              </w:rPr>
            </w:pPr>
          </w:p>
        </w:tc>
        <w:tc>
          <w:tcPr>
            <w:tcW w:w="0" w:type="auto"/>
            <w:shd w:val="clear" w:color="auto" w:fill="auto"/>
          </w:tcPr>
          <w:p w14:paraId="5C7C5C84" w14:textId="77777777" w:rsidR="0008009C" w:rsidRDefault="0008009C">
            <w:pPr>
              <w:rPr>
                <w:rFonts w:ascii="宋体"/>
                <w:vanish/>
              </w:rPr>
            </w:pPr>
          </w:p>
        </w:tc>
        <w:tc>
          <w:tcPr>
            <w:tcW w:w="0" w:type="auto"/>
            <w:gridSpan w:val="3"/>
            <w:shd w:val="clear" w:color="auto" w:fill="auto"/>
          </w:tcPr>
          <w:p w14:paraId="5C7C5C85" w14:textId="77777777" w:rsidR="0008009C" w:rsidRDefault="0008009C">
            <w:pPr>
              <w:rPr>
                <w:rFonts w:ascii="宋体"/>
                <w:vanish/>
              </w:rPr>
            </w:pPr>
          </w:p>
        </w:tc>
        <w:tc>
          <w:tcPr>
            <w:tcW w:w="0" w:type="auto"/>
            <w:gridSpan w:val="3"/>
            <w:shd w:val="clear" w:color="auto" w:fill="auto"/>
          </w:tcPr>
          <w:p w14:paraId="5C7C5C86" w14:textId="77777777" w:rsidR="0008009C" w:rsidRDefault="0008009C">
            <w:pPr>
              <w:rPr>
                <w:rFonts w:ascii="宋体"/>
                <w:vanish/>
              </w:rPr>
            </w:pPr>
          </w:p>
        </w:tc>
      </w:tr>
      <w:tr w:rsidR="0008009C" w14:paraId="5C7C5C91" w14:textId="77777777">
        <w:trPr>
          <w:hidden/>
        </w:trPr>
        <w:tc>
          <w:tcPr>
            <w:tcW w:w="0" w:type="auto"/>
            <w:gridSpan w:val="3"/>
            <w:shd w:val="clear" w:color="auto" w:fill="auto"/>
          </w:tcPr>
          <w:p w14:paraId="5C7C5C88" w14:textId="77777777" w:rsidR="0008009C" w:rsidRDefault="0008009C">
            <w:pPr>
              <w:rPr>
                <w:rFonts w:ascii="宋体"/>
                <w:vanish/>
              </w:rPr>
            </w:pPr>
          </w:p>
        </w:tc>
        <w:tc>
          <w:tcPr>
            <w:tcW w:w="0" w:type="auto"/>
            <w:gridSpan w:val="3"/>
            <w:shd w:val="clear" w:color="auto" w:fill="auto"/>
          </w:tcPr>
          <w:p w14:paraId="5C7C5C89" w14:textId="77777777" w:rsidR="0008009C" w:rsidRDefault="0008009C">
            <w:pPr>
              <w:rPr>
                <w:rFonts w:ascii="宋体"/>
                <w:vanish/>
              </w:rPr>
            </w:pPr>
          </w:p>
        </w:tc>
        <w:tc>
          <w:tcPr>
            <w:tcW w:w="0" w:type="auto"/>
            <w:gridSpan w:val="3"/>
            <w:shd w:val="clear" w:color="auto" w:fill="auto"/>
          </w:tcPr>
          <w:p w14:paraId="5C7C5C8A" w14:textId="77777777" w:rsidR="0008009C" w:rsidRDefault="0008009C">
            <w:pPr>
              <w:rPr>
                <w:rFonts w:ascii="宋体"/>
                <w:vanish/>
              </w:rPr>
            </w:pPr>
          </w:p>
        </w:tc>
        <w:tc>
          <w:tcPr>
            <w:tcW w:w="0" w:type="auto"/>
            <w:gridSpan w:val="3"/>
            <w:shd w:val="clear" w:color="auto" w:fill="auto"/>
          </w:tcPr>
          <w:p w14:paraId="5C7C5C8B" w14:textId="77777777" w:rsidR="0008009C" w:rsidRDefault="0008009C">
            <w:pPr>
              <w:rPr>
                <w:rFonts w:ascii="宋体"/>
                <w:vanish/>
              </w:rPr>
            </w:pPr>
          </w:p>
        </w:tc>
        <w:tc>
          <w:tcPr>
            <w:tcW w:w="0" w:type="auto"/>
            <w:gridSpan w:val="3"/>
            <w:shd w:val="clear" w:color="auto" w:fill="auto"/>
          </w:tcPr>
          <w:p w14:paraId="5C7C5C8C" w14:textId="77777777" w:rsidR="0008009C" w:rsidRDefault="0008009C">
            <w:pPr>
              <w:rPr>
                <w:rFonts w:ascii="宋体"/>
                <w:vanish/>
              </w:rPr>
            </w:pPr>
          </w:p>
        </w:tc>
        <w:tc>
          <w:tcPr>
            <w:tcW w:w="0" w:type="auto"/>
            <w:shd w:val="clear" w:color="auto" w:fill="auto"/>
          </w:tcPr>
          <w:p w14:paraId="5C7C5C8D" w14:textId="77777777" w:rsidR="0008009C" w:rsidRDefault="0008009C">
            <w:pPr>
              <w:rPr>
                <w:rFonts w:ascii="宋体"/>
                <w:vanish/>
              </w:rPr>
            </w:pPr>
          </w:p>
        </w:tc>
        <w:tc>
          <w:tcPr>
            <w:tcW w:w="0" w:type="auto"/>
            <w:shd w:val="clear" w:color="auto" w:fill="auto"/>
          </w:tcPr>
          <w:p w14:paraId="5C7C5C8E" w14:textId="77777777" w:rsidR="0008009C" w:rsidRDefault="0008009C">
            <w:pPr>
              <w:rPr>
                <w:rFonts w:ascii="宋体"/>
                <w:vanish/>
              </w:rPr>
            </w:pPr>
          </w:p>
        </w:tc>
        <w:tc>
          <w:tcPr>
            <w:tcW w:w="0" w:type="auto"/>
            <w:gridSpan w:val="3"/>
            <w:shd w:val="clear" w:color="auto" w:fill="auto"/>
          </w:tcPr>
          <w:p w14:paraId="5C7C5C8F" w14:textId="77777777" w:rsidR="0008009C" w:rsidRDefault="0008009C">
            <w:pPr>
              <w:rPr>
                <w:rFonts w:ascii="宋体"/>
                <w:vanish/>
              </w:rPr>
            </w:pPr>
          </w:p>
        </w:tc>
        <w:tc>
          <w:tcPr>
            <w:tcW w:w="0" w:type="auto"/>
            <w:gridSpan w:val="3"/>
            <w:shd w:val="clear" w:color="auto" w:fill="auto"/>
          </w:tcPr>
          <w:p w14:paraId="5C7C5C90" w14:textId="77777777" w:rsidR="0008009C" w:rsidRDefault="0008009C">
            <w:pPr>
              <w:rPr>
                <w:rFonts w:ascii="宋体"/>
                <w:vanish/>
              </w:rPr>
            </w:pPr>
          </w:p>
        </w:tc>
      </w:tr>
      <w:tr w:rsidR="0008009C" w14:paraId="5C7C5C9D" w14:textId="77777777">
        <w:tc>
          <w:tcPr>
            <w:tcW w:w="0" w:type="auto"/>
            <w:gridSpan w:val="3"/>
            <w:shd w:val="clear" w:color="auto" w:fill="auto"/>
            <w:tcMar>
              <w:top w:w="40" w:type="dxa"/>
              <w:left w:w="215" w:type="dxa"/>
              <w:bottom w:w="40" w:type="dxa"/>
              <w:right w:w="20" w:type="dxa"/>
            </w:tcMar>
            <w:vAlign w:val="bottom"/>
          </w:tcPr>
          <w:p w14:paraId="5C7C5C92" w14:textId="77777777" w:rsidR="0008009C" w:rsidRDefault="00936FDF">
            <w:pPr>
              <w:textAlignment w:val="bottom"/>
            </w:pPr>
            <w:r>
              <w:rPr>
                <w:rFonts w:ascii="Arial" w:eastAsia="宋体" w:hAnsi="Arial" w:cs="Arial"/>
                <w:b/>
                <w:bCs/>
                <w:color w:val="262626"/>
                <w:sz w:val="18"/>
                <w:szCs w:val="18"/>
              </w:rPr>
              <w:t>All other</w:t>
            </w:r>
          </w:p>
        </w:tc>
        <w:tc>
          <w:tcPr>
            <w:tcW w:w="0" w:type="auto"/>
            <w:gridSpan w:val="3"/>
            <w:shd w:val="clear" w:color="auto" w:fill="auto"/>
            <w:tcMar>
              <w:top w:w="0" w:type="dxa"/>
              <w:left w:w="20" w:type="dxa"/>
              <w:bottom w:w="0" w:type="dxa"/>
              <w:right w:w="20" w:type="dxa"/>
            </w:tcMar>
          </w:tcPr>
          <w:p w14:paraId="5C7C5C9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94" w14:textId="77777777" w:rsidR="0008009C" w:rsidRDefault="00936FDF">
            <w:pPr>
              <w:jc w:val="right"/>
              <w:textAlignment w:val="bottom"/>
            </w:pPr>
            <w:r>
              <w:rPr>
                <w:rFonts w:ascii="Arial" w:eastAsia="宋体" w:hAnsi="Arial" w:cs="Arial"/>
                <w:b/>
                <w:bCs/>
                <w:color w:val="0068B5"/>
                <w:sz w:val="18"/>
                <w:szCs w:val="18"/>
              </w:rPr>
              <w:t>620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C9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C9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97" w14:textId="77777777" w:rsidR="0008009C" w:rsidRDefault="00936FDF">
            <w:pPr>
              <w:jc w:val="right"/>
              <w:textAlignment w:val="bottom"/>
            </w:pPr>
            <w:r>
              <w:rPr>
                <w:rFonts w:ascii="Arial" w:eastAsia="宋体" w:hAnsi="Arial" w:cs="Arial"/>
                <w:b/>
                <w:bCs/>
                <w:color w:val="262626"/>
                <w:sz w:val="18"/>
                <w:szCs w:val="18"/>
              </w:rPr>
              <w:t>66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C98" w14:textId="77777777" w:rsidR="0008009C" w:rsidRDefault="0008009C">
            <w:pPr>
              <w:jc w:val="right"/>
              <w:rPr>
                <w:rFonts w:ascii="宋体"/>
              </w:rPr>
            </w:pPr>
          </w:p>
        </w:tc>
        <w:tc>
          <w:tcPr>
            <w:tcW w:w="0" w:type="auto"/>
            <w:shd w:val="clear" w:color="auto" w:fill="auto"/>
          </w:tcPr>
          <w:p w14:paraId="5C7C5C99" w14:textId="77777777" w:rsidR="0008009C" w:rsidRDefault="0008009C">
            <w:pPr>
              <w:rPr>
                <w:rFonts w:ascii="宋体"/>
                <w:vanish/>
              </w:rPr>
            </w:pPr>
          </w:p>
        </w:tc>
        <w:tc>
          <w:tcPr>
            <w:tcW w:w="0" w:type="auto"/>
            <w:shd w:val="clear" w:color="auto" w:fill="auto"/>
          </w:tcPr>
          <w:p w14:paraId="5C7C5C9A" w14:textId="77777777" w:rsidR="0008009C" w:rsidRDefault="0008009C">
            <w:pPr>
              <w:rPr>
                <w:rFonts w:ascii="宋体"/>
                <w:vanish/>
              </w:rPr>
            </w:pPr>
          </w:p>
        </w:tc>
        <w:tc>
          <w:tcPr>
            <w:tcW w:w="0" w:type="auto"/>
            <w:gridSpan w:val="3"/>
            <w:shd w:val="clear" w:color="auto" w:fill="auto"/>
          </w:tcPr>
          <w:p w14:paraId="5C7C5C9B" w14:textId="77777777" w:rsidR="0008009C" w:rsidRDefault="0008009C">
            <w:pPr>
              <w:rPr>
                <w:rFonts w:ascii="宋体"/>
                <w:vanish/>
              </w:rPr>
            </w:pPr>
          </w:p>
        </w:tc>
        <w:tc>
          <w:tcPr>
            <w:tcW w:w="0" w:type="auto"/>
            <w:gridSpan w:val="3"/>
            <w:shd w:val="clear" w:color="auto" w:fill="auto"/>
          </w:tcPr>
          <w:p w14:paraId="5C7C5C9C" w14:textId="77777777" w:rsidR="0008009C" w:rsidRDefault="0008009C">
            <w:pPr>
              <w:rPr>
                <w:rFonts w:ascii="宋体"/>
                <w:vanish/>
              </w:rPr>
            </w:pPr>
          </w:p>
        </w:tc>
      </w:tr>
      <w:tr w:rsidR="0008009C" w14:paraId="5C7C5CAB" w14:textId="77777777">
        <w:tc>
          <w:tcPr>
            <w:tcW w:w="0" w:type="auto"/>
            <w:gridSpan w:val="3"/>
            <w:shd w:val="clear" w:color="auto" w:fill="auto"/>
            <w:tcMar>
              <w:top w:w="40" w:type="dxa"/>
              <w:left w:w="20" w:type="dxa"/>
              <w:bottom w:w="40" w:type="dxa"/>
              <w:right w:w="20" w:type="dxa"/>
            </w:tcMar>
            <w:vAlign w:val="bottom"/>
          </w:tcPr>
          <w:p w14:paraId="5C7C5C9E" w14:textId="77777777" w:rsidR="0008009C" w:rsidRDefault="00936FDF">
            <w:pPr>
              <w:textAlignment w:val="bottom"/>
            </w:pPr>
            <w:r>
              <w:rPr>
                <w:rFonts w:ascii="Arial" w:eastAsia="宋体" w:hAnsi="Arial" w:cs="Arial"/>
                <w:b/>
                <w:bCs/>
                <w:color w:val="262626"/>
                <w:sz w:val="18"/>
                <w:szCs w:val="18"/>
              </w:rPr>
              <w:t>Total net revenue</w:t>
            </w:r>
          </w:p>
        </w:tc>
        <w:tc>
          <w:tcPr>
            <w:tcW w:w="0" w:type="auto"/>
            <w:gridSpan w:val="3"/>
            <w:shd w:val="clear" w:color="auto" w:fill="auto"/>
            <w:tcMar>
              <w:top w:w="0" w:type="dxa"/>
              <w:left w:w="20" w:type="dxa"/>
              <w:bottom w:w="0" w:type="dxa"/>
              <w:right w:w="20" w:type="dxa"/>
            </w:tcMar>
          </w:tcPr>
          <w:p w14:paraId="5C7C5C9F"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5CA0"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5CA1" w14:textId="77777777" w:rsidR="0008009C" w:rsidRDefault="00936FDF">
            <w:pPr>
              <w:jc w:val="right"/>
              <w:textAlignment w:val="bottom"/>
            </w:pPr>
            <w:r>
              <w:rPr>
                <w:rFonts w:ascii="Arial" w:eastAsia="宋体" w:hAnsi="Arial" w:cs="Arial"/>
                <w:b/>
                <w:bCs/>
                <w:color w:val="0068B5"/>
                <w:sz w:val="18"/>
                <w:szCs w:val="18"/>
              </w:rPr>
              <w:t>19,673</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CA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CA3"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5CA4"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5CA5" w14:textId="77777777" w:rsidR="0008009C" w:rsidRDefault="00936FDF">
            <w:pPr>
              <w:jc w:val="right"/>
              <w:textAlignment w:val="bottom"/>
            </w:pPr>
            <w:r>
              <w:rPr>
                <w:rFonts w:ascii="Arial" w:eastAsia="宋体" w:hAnsi="Arial" w:cs="Arial"/>
                <w:b/>
                <w:bCs/>
                <w:color w:val="262626"/>
                <w:sz w:val="18"/>
                <w:szCs w:val="18"/>
              </w:rPr>
              <w:t>19,828</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CA6" w14:textId="77777777" w:rsidR="0008009C" w:rsidRDefault="0008009C">
            <w:pPr>
              <w:jc w:val="right"/>
              <w:rPr>
                <w:rFonts w:ascii="宋体"/>
              </w:rPr>
            </w:pPr>
          </w:p>
        </w:tc>
        <w:tc>
          <w:tcPr>
            <w:tcW w:w="0" w:type="auto"/>
            <w:shd w:val="clear" w:color="auto" w:fill="auto"/>
          </w:tcPr>
          <w:p w14:paraId="5C7C5CA7" w14:textId="77777777" w:rsidR="0008009C" w:rsidRDefault="0008009C">
            <w:pPr>
              <w:rPr>
                <w:rFonts w:ascii="宋体"/>
                <w:vanish/>
              </w:rPr>
            </w:pPr>
          </w:p>
        </w:tc>
        <w:tc>
          <w:tcPr>
            <w:tcW w:w="0" w:type="auto"/>
            <w:shd w:val="clear" w:color="auto" w:fill="auto"/>
          </w:tcPr>
          <w:p w14:paraId="5C7C5CA8" w14:textId="77777777" w:rsidR="0008009C" w:rsidRDefault="0008009C">
            <w:pPr>
              <w:rPr>
                <w:rFonts w:ascii="宋体"/>
                <w:vanish/>
              </w:rPr>
            </w:pPr>
          </w:p>
        </w:tc>
        <w:tc>
          <w:tcPr>
            <w:tcW w:w="0" w:type="auto"/>
            <w:gridSpan w:val="3"/>
            <w:shd w:val="clear" w:color="auto" w:fill="auto"/>
          </w:tcPr>
          <w:p w14:paraId="5C7C5CA9" w14:textId="77777777" w:rsidR="0008009C" w:rsidRDefault="0008009C">
            <w:pPr>
              <w:rPr>
                <w:rFonts w:ascii="宋体"/>
                <w:vanish/>
              </w:rPr>
            </w:pPr>
          </w:p>
        </w:tc>
        <w:tc>
          <w:tcPr>
            <w:tcW w:w="0" w:type="auto"/>
            <w:gridSpan w:val="3"/>
            <w:shd w:val="clear" w:color="auto" w:fill="auto"/>
          </w:tcPr>
          <w:p w14:paraId="5C7C5CAA" w14:textId="77777777" w:rsidR="0008009C" w:rsidRDefault="0008009C">
            <w:pPr>
              <w:rPr>
                <w:rFonts w:ascii="宋体"/>
                <w:vanish/>
              </w:rPr>
            </w:pPr>
          </w:p>
        </w:tc>
      </w:tr>
      <w:tr w:rsidR="0008009C" w14:paraId="5C7C5CB5" w14:textId="77777777">
        <w:trPr>
          <w:trHeight w:val="100"/>
        </w:trPr>
        <w:tc>
          <w:tcPr>
            <w:tcW w:w="0" w:type="auto"/>
            <w:gridSpan w:val="3"/>
            <w:shd w:val="clear" w:color="auto" w:fill="auto"/>
            <w:tcMar>
              <w:top w:w="0" w:type="dxa"/>
              <w:left w:w="20" w:type="dxa"/>
              <w:bottom w:w="0" w:type="dxa"/>
              <w:right w:w="20" w:type="dxa"/>
            </w:tcMar>
          </w:tcPr>
          <w:p w14:paraId="5C7C5CA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CAD"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5CA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CAF"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5CB0" w14:textId="77777777" w:rsidR="0008009C" w:rsidRDefault="0008009C">
            <w:pPr>
              <w:rPr>
                <w:rFonts w:ascii="宋体"/>
              </w:rPr>
            </w:pPr>
          </w:p>
        </w:tc>
        <w:tc>
          <w:tcPr>
            <w:tcW w:w="0" w:type="auto"/>
            <w:shd w:val="clear" w:color="auto" w:fill="auto"/>
          </w:tcPr>
          <w:p w14:paraId="5C7C5CB1" w14:textId="77777777" w:rsidR="0008009C" w:rsidRDefault="0008009C">
            <w:pPr>
              <w:rPr>
                <w:rFonts w:ascii="宋体"/>
                <w:vanish/>
              </w:rPr>
            </w:pPr>
          </w:p>
        </w:tc>
        <w:tc>
          <w:tcPr>
            <w:tcW w:w="0" w:type="auto"/>
            <w:shd w:val="clear" w:color="auto" w:fill="auto"/>
          </w:tcPr>
          <w:p w14:paraId="5C7C5CB2" w14:textId="77777777" w:rsidR="0008009C" w:rsidRDefault="0008009C">
            <w:pPr>
              <w:rPr>
                <w:rFonts w:ascii="宋体"/>
                <w:vanish/>
              </w:rPr>
            </w:pPr>
          </w:p>
        </w:tc>
        <w:tc>
          <w:tcPr>
            <w:tcW w:w="0" w:type="auto"/>
            <w:gridSpan w:val="3"/>
            <w:shd w:val="clear" w:color="auto" w:fill="auto"/>
          </w:tcPr>
          <w:p w14:paraId="5C7C5CB3" w14:textId="77777777" w:rsidR="0008009C" w:rsidRDefault="0008009C">
            <w:pPr>
              <w:rPr>
                <w:rFonts w:ascii="宋体"/>
                <w:vanish/>
              </w:rPr>
            </w:pPr>
          </w:p>
        </w:tc>
        <w:tc>
          <w:tcPr>
            <w:tcW w:w="0" w:type="auto"/>
            <w:gridSpan w:val="3"/>
            <w:shd w:val="clear" w:color="auto" w:fill="auto"/>
          </w:tcPr>
          <w:p w14:paraId="5C7C5CB4" w14:textId="77777777" w:rsidR="0008009C" w:rsidRDefault="0008009C">
            <w:pPr>
              <w:rPr>
                <w:rFonts w:ascii="宋体"/>
                <w:vanish/>
              </w:rPr>
            </w:pPr>
          </w:p>
        </w:tc>
      </w:tr>
      <w:tr w:rsidR="0008009C" w14:paraId="5C7C5CBF" w14:textId="77777777">
        <w:tc>
          <w:tcPr>
            <w:tcW w:w="0" w:type="auto"/>
            <w:gridSpan w:val="3"/>
            <w:shd w:val="clear" w:color="auto" w:fill="auto"/>
            <w:tcMar>
              <w:top w:w="40" w:type="dxa"/>
              <w:left w:w="20" w:type="dxa"/>
              <w:bottom w:w="40" w:type="dxa"/>
              <w:right w:w="20" w:type="dxa"/>
            </w:tcMar>
            <w:vAlign w:val="bottom"/>
          </w:tcPr>
          <w:p w14:paraId="5C7C5CB6" w14:textId="77777777" w:rsidR="0008009C" w:rsidRDefault="00936FDF">
            <w:pPr>
              <w:textAlignment w:val="bottom"/>
            </w:pPr>
            <w:r>
              <w:rPr>
                <w:rFonts w:ascii="Arial" w:eastAsia="宋体" w:hAnsi="Arial" w:cs="Arial"/>
                <w:b/>
                <w:bCs/>
                <w:color w:val="262626"/>
                <w:sz w:val="18"/>
                <w:szCs w:val="18"/>
              </w:rPr>
              <w:t>Operating income (loss):</w:t>
            </w:r>
          </w:p>
        </w:tc>
        <w:tc>
          <w:tcPr>
            <w:tcW w:w="0" w:type="auto"/>
            <w:gridSpan w:val="3"/>
            <w:shd w:val="clear" w:color="auto" w:fill="auto"/>
            <w:tcMar>
              <w:top w:w="0" w:type="dxa"/>
              <w:left w:w="20" w:type="dxa"/>
              <w:bottom w:w="0" w:type="dxa"/>
              <w:right w:w="20" w:type="dxa"/>
            </w:tcMar>
          </w:tcPr>
          <w:p w14:paraId="5C7C5CB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CB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CB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CBA" w14:textId="77777777" w:rsidR="0008009C" w:rsidRDefault="0008009C">
            <w:pPr>
              <w:rPr>
                <w:rFonts w:ascii="宋体"/>
              </w:rPr>
            </w:pPr>
          </w:p>
        </w:tc>
        <w:tc>
          <w:tcPr>
            <w:tcW w:w="0" w:type="auto"/>
            <w:shd w:val="clear" w:color="auto" w:fill="auto"/>
          </w:tcPr>
          <w:p w14:paraId="5C7C5CBB" w14:textId="77777777" w:rsidR="0008009C" w:rsidRDefault="0008009C">
            <w:pPr>
              <w:rPr>
                <w:rFonts w:ascii="宋体"/>
                <w:vanish/>
              </w:rPr>
            </w:pPr>
          </w:p>
        </w:tc>
        <w:tc>
          <w:tcPr>
            <w:tcW w:w="0" w:type="auto"/>
            <w:shd w:val="clear" w:color="auto" w:fill="auto"/>
          </w:tcPr>
          <w:p w14:paraId="5C7C5CBC" w14:textId="77777777" w:rsidR="0008009C" w:rsidRDefault="0008009C">
            <w:pPr>
              <w:rPr>
                <w:rFonts w:ascii="宋体"/>
                <w:vanish/>
              </w:rPr>
            </w:pPr>
          </w:p>
        </w:tc>
        <w:tc>
          <w:tcPr>
            <w:tcW w:w="0" w:type="auto"/>
            <w:gridSpan w:val="3"/>
            <w:shd w:val="clear" w:color="auto" w:fill="auto"/>
          </w:tcPr>
          <w:p w14:paraId="5C7C5CBD" w14:textId="77777777" w:rsidR="0008009C" w:rsidRDefault="0008009C">
            <w:pPr>
              <w:rPr>
                <w:rFonts w:ascii="宋体"/>
                <w:vanish/>
              </w:rPr>
            </w:pPr>
          </w:p>
        </w:tc>
        <w:tc>
          <w:tcPr>
            <w:tcW w:w="0" w:type="auto"/>
            <w:gridSpan w:val="3"/>
            <w:shd w:val="clear" w:color="auto" w:fill="auto"/>
          </w:tcPr>
          <w:p w14:paraId="5C7C5CBE" w14:textId="77777777" w:rsidR="0008009C" w:rsidRDefault="0008009C">
            <w:pPr>
              <w:rPr>
                <w:rFonts w:ascii="宋体"/>
                <w:vanish/>
              </w:rPr>
            </w:pPr>
          </w:p>
        </w:tc>
      </w:tr>
      <w:tr w:rsidR="0008009C" w14:paraId="5C7C5CCD" w14:textId="77777777">
        <w:tc>
          <w:tcPr>
            <w:tcW w:w="0" w:type="auto"/>
            <w:gridSpan w:val="3"/>
            <w:shd w:val="clear" w:color="auto" w:fill="auto"/>
            <w:tcMar>
              <w:top w:w="40" w:type="dxa"/>
              <w:left w:w="140" w:type="dxa"/>
              <w:bottom w:w="40" w:type="dxa"/>
              <w:right w:w="20" w:type="dxa"/>
            </w:tcMar>
            <w:vAlign w:val="bottom"/>
          </w:tcPr>
          <w:p w14:paraId="5C7C5CC0" w14:textId="77777777" w:rsidR="0008009C" w:rsidRDefault="00936FDF">
            <w:pPr>
              <w:textAlignment w:val="bottom"/>
            </w:pPr>
            <w:r>
              <w:rPr>
                <w:rFonts w:ascii="Arial" w:eastAsia="宋体" w:hAnsi="Arial" w:cs="Arial"/>
                <w:b/>
                <w:bCs/>
                <w:color w:val="262626"/>
                <w:sz w:val="18"/>
                <w:szCs w:val="18"/>
              </w:rPr>
              <w:t>Data Center Group</w:t>
            </w:r>
          </w:p>
        </w:tc>
        <w:tc>
          <w:tcPr>
            <w:tcW w:w="0" w:type="auto"/>
            <w:gridSpan w:val="3"/>
            <w:shd w:val="clear" w:color="auto" w:fill="auto"/>
            <w:tcMar>
              <w:top w:w="0" w:type="dxa"/>
              <w:left w:w="20" w:type="dxa"/>
              <w:bottom w:w="0" w:type="dxa"/>
              <w:right w:w="20" w:type="dxa"/>
            </w:tcMar>
          </w:tcPr>
          <w:p w14:paraId="5C7C5CC1"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CC2" w14:textId="77777777" w:rsidR="0008009C" w:rsidRDefault="00936FDF">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5C7C5CC3" w14:textId="77777777" w:rsidR="0008009C" w:rsidRDefault="00936FDF">
            <w:pPr>
              <w:jc w:val="right"/>
              <w:textAlignment w:val="bottom"/>
            </w:pPr>
            <w:r>
              <w:rPr>
                <w:rFonts w:ascii="Arial" w:eastAsia="宋体" w:hAnsi="Arial" w:cs="Arial"/>
                <w:b/>
                <w:bCs/>
                <w:color w:val="0068B5"/>
                <w:sz w:val="18"/>
                <w:szCs w:val="18"/>
              </w:rPr>
              <w:t>1,273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CC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CC5"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CC6" w14:textId="77777777" w:rsidR="0008009C" w:rsidRDefault="00936FDF">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C7C5CC7" w14:textId="77777777" w:rsidR="0008009C" w:rsidRDefault="00936FDF">
            <w:pPr>
              <w:jc w:val="right"/>
              <w:textAlignment w:val="bottom"/>
            </w:pPr>
            <w:r>
              <w:rPr>
                <w:rFonts w:ascii="Arial" w:eastAsia="宋体" w:hAnsi="Arial" w:cs="Arial"/>
                <w:b/>
                <w:bCs/>
                <w:color w:val="262626"/>
                <w:sz w:val="18"/>
                <w:szCs w:val="18"/>
              </w:rPr>
              <w:t>3,492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CC8" w14:textId="77777777" w:rsidR="0008009C" w:rsidRDefault="0008009C">
            <w:pPr>
              <w:jc w:val="right"/>
              <w:rPr>
                <w:rFonts w:ascii="宋体"/>
              </w:rPr>
            </w:pPr>
          </w:p>
        </w:tc>
        <w:tc>
          <w:tcPr>
            <w:tcW w:w="0" w:type="auto"/>
            <w:shd w:val="clear" w:color="auto" w:fill="auto"/>
          </w:tcPr>
          <w:p w14:paraId="5C7C5CC9" w14:textId="77777777" w:rsidR="0008009C" w:rsidRDefault="0008009C">
            <w:pPr>
              <w:rPr>
                <w:rFonts w:ascii="宋体"/>
                <w:vanish/>
              </w:rPr>
            </w:pPr>
          </w:p>
        </w:tc>
        <w:tc>
          <w:tcPr>
            <w:tcW w:w="0" w:type="auto"/>
            <w:shd w:val="clear" w:color="auto" w:fill="auto"/>
          </w:tcPr>
          <w:p w14:paraId="5C7C5CCA" w14:textId="77777777" w:rsidR="0008009C" w:rsidRDefault="0008009C">
            <w:pPr>
              <w:rPr>
                <w:rFonts w:ascii="宋体"/>
                <w:vanish/>
              </w:rPr>
            </w:pPr>
          </w:p>
        </w:tc>
        <w:tc>
          <w:tcPr>
            <w:tcW w:w="0" w:type="auto"/>
            <w:gridSpan w:val="3"/>
            <w:shd w:val="clear" w:color="auto" w:fill="auto"/>
          </w:tcPr>
          <w:p w14:paraId="5C7C5CCB" w14:textId="77777777" w:rsidR="0008009C" w:rsidRDefault="0008009C">
            <w:pPr>
              <w:rPr>
                <w:rFonts w:ascii="宋体"/>
                <w:vanish/>
              </w:rPr>
            </w:pPr>
          </w:p>
        </w:tc>
        <w:tc>
          <w:tcPr>
            <w:tcW w:w="0" w:type="auto"/>
            <w:gridSpan w:val="3"/>
            <w:shd w:val="clear" w:color="auto" w:fill="auto"/>
          </w:tcPr>
          <w:p w14:paraId="5C7C5CCC" w14:textId="77777777" w:rsidR="0008009C" w:rsidRDefault="0008009C">
            <w:pPr>
              <w:rPr>
                <w:rFonts w:ascii="宋体"/>
                <w:vanish/>
              </w:rPr>
            </w:pPr>
          </w:p>
        </w:tc>
      </w:tr>
      <w:tr w:rsidR="0008009C" w14:paraId="5C7C5CD7" w14:textId="77777777">
        <w:trPr>
          <w:hidden/>
        </w:trPr>
        <w:tc>
          <w:tcPr>
            <w:tcW w:w="0" w:type="auto"/>
            <w:gridSpan w:val="3"/>
            <w:shd w:val="clear" w:color="auto" w:fill="auto"/>
          </w:tcPr>
          <w:p w14:paraId="5C7C5CCE" w14:textId="77777777" w:rsidR="0008009C" w:rsidRDefault="0008009C">
            <w:pPr>
              <w:rPr>
                <w:rFonts w:ascii="宋体"/>
                <w:vanish/>
              </w:rPr>
            </w:pPr>
          </w:p>
        </w:tc>
        <w:tc>
          <w:tcPr>
            <w:tcW w:w="0" w:type="auto"/>
            <w:gridSpan w:val="3"/>
            <w:shd w:val="clear" w:color="auto" w:fill="auto"/>
          </w:tcPr>
          <w:p w14:paraId="5C7C5CCF" w14:textId="77777777" w:rsidR="0008009C" w:rsidRDefault="0008009C">
            <w:pPr>
              <w:rPr>
                <w:rFonts w:ascii="宋体"/>
                <w:vanish/>
              </w:rPr>
            </w:pPr>
          </w:p>
        </w:tc>
        <w:tc>
          <w:tcPr>
            <w:tcW w:w="0" w:type="auto"/>
            <w:gridSpan w:val="3"/>
            <w:shd w:val="clear" w:color="auto" w:fill="auto"/>
          </w:tcPr>
          <w:p w14:paraId="5C7C5CD0" w14:textId="77777777" w:rsidR="0008009C" w:rsidRDefault="0008009C">
            <w:pPr>
              <w:rPr>
                <w:rFonts w:ascii="宋体"/>
                <w:vanish/>
              </w:rPr>
            </w:pPr>
          </w:p>
        </w:tc>
        <w:tc>
          <w:tcPr>
            <w:tcW w:w="0" w:type="auto"/>
            <w:gridSpan w:val="3"/>
            <w:shd w:val="clear" w:color="auto" w:fill="auto"/>
          </w:tcPr>
          <w:p w14:paraId="5C7C5CD1" w14:textId="77777777" w:rsidR="0008009C" w:rsidRDefault="0008009C">
            <w:pPr>
              <w:rPr>
                <w:rFonts w:ascii="宋体"/>
                <w:vanish/>
              </w:rPr>
            </w:pPr>
          </w:p>
        </w:tc>
        <w:tc>
          <w:tcPr>
            <w:tcW w:w="0" w:type="auto"/>
            <w:gridSpan w:val="3"/>
            <w:shd w:val="clear" w:color="auto" w:fill="auto"/>
          </w:tcPr>
          <w:p w14:paraId="5C7C5CD2" w14:textId="77777777" w:rsidR="0008009C" w:rsidRDefault="0008009C">
            <w:pPr>
              <w:rPr>
                <w:rFonts w:ascii="宋体"/>
                <w:vanish/>
              </w:rPr>
            </w:pPr>
          </w:p>
        </w:tc>
        <w:tc>
          <w:tcPr>
            <w:tcW w:w="0" w:type="auto"/>
            <w:shd w:val="clear" w:color="auto" w:fill="auto"/>
          </w:tcPr>
          <w:p w14:paraId="5C7C5CD3" w14:textId="77777777" w:rsidR="0008009C" w:rsidRDefault="0008009C">
            <w:pPr>
              <w:rPr>
                <w:rFonts w:ascii="宋体"/>
                <w:vanish/>
              </w:rPr>
            </w:pPr>
          </w:p>
        </w:tc>
        <w:tc>
          <w:tcPr>
            <w:tcW w:w="0" w:type="auto"/>
            <w:shd w:val="clear" w:color="auto" w:fill="auto"/>
          </w:tcPr>
          <w:p w14:paraId="5C7C5CD4" w14:textId="77777777" w:rsidR="0008009C" w:rsidRDefault="0008009C">
            <w:pPr>
              <w:rPr>
                <w:rFonts w:ascii="宋体"/>
                <w:vanish/>
              </w:rPr>
            </w:pPr>
          </w:p>
        </w:tc>
        <w:tc>
          <w:tcPr>
            <w:tcW w:w="0" w:type="auto"/>
            <w:gridSpan w:val="3"/>
            <w:shd w:val="clear" w:color="auto" w:fill="auto"/>
          </w:tcPr>
          <w:p w14:paraId="5C7C5CD5" w14:textId="77777777" w:rsidR="0008009C" w:rsidRDefault="0008009C">
            <w:pPr>
              <w:rPr>
                <w:rFonts w:ascii="宋体"/>
                <w:vanish/>
              </w:rPr>
            </w:pPr>
          </w:p>
        </w:tc>
        <w:tc>
          <w:tcPr>
            <w:tcW w:w="0" w:type="auto"/>
            <w:gridSpan w:val="3"/>
            <w:shd w:val="clear" w:color="auto" w:fill="auto"/>
          </w:tcPr>
          <w:p w14:paraId="5C7C5CD6" w14:textId="77777777" w:rsidR="0008009C" w:rsidRDefault="0008009C">
            <w:pPr>
              <w:rPr>
                <w:rFonts w:ascii="宋体"/>
                <w:vanish/>
              </w:rPr>
            </w:pPr>
          </w:p>
        </w:tc>
      </w:tr>
      <w:tr w:rsidR="0008009C" w14:paraId="5C7C5CE1" w14:textId="77777777">
        <w:tc>
          <w:tcPr>
            <w:tcW w:w="0" w:type="auto"/>
            <w:gridSpan w:val="3"/>
            <w:shd w:val="clear" w:color="auto" w:fill="auto"/>
            <w:tcMar>
              <w:top w:w="40" w:type="dxa"/>
              <w:left w:w="140" w:type="dxa"/>
              <w:bottom w:w="40" w:type="dxa"/>
              <w:right w:w="20" w:type="dxa"/>
            </w:tcMar>
            <w:vAlign w:val="bottom"/>
          </w:tcPr>
          <w:p w14:paraId="5C7C5CD8" w14:textId="77777777" w:rsidR="0008009C" w:rsidRDefault="00936FDF">
            <w:pPr>
              <w:textAlignment w:val="bottom"/>
            </w:pPr>
            <w:r>
              <w:rPr>
                <w:rFonts w:ascii="Arial" w:eastAsia="宋体" w:hAnsi="Arial" w:cs="Arial"/>
                <w:b/>
                <w:bCs/>
                <w:color w:val="262626"/>
                <w:sz w:val="18"/>
                <w:szCs w:val="18"/>
              </w:rPr>
              <w:t xml:space="preserve">Internet of Things </w:t>
            </w:r>
          </w:p>
        </w:tc>
        <w:tc>
          <w:tcPr>
            <w:tcW w:w="0" w:type="auto"/>
            <w:gridSpan w:val="3"/>
            <w:shd w:val="clear" w:color="auto" w:fill="auto"/>
            <w:tcMar>
              <w:top w:w="0" w:type="dxa"/>
              <w:left w:w="20" w:type="dxa"/>
              <w:bottom w:w="0" w:type="dxa"/>
              <w:right w:w="20" w:type="dxa"/>
            </w:tcMar>
          </w:tcPr>
          <w:p w14:paraId="5C7C5CD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CD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CD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CDC" w14:textId="77777777" w:rsidR="0008009C" w:rsidRDefault="0008009C">
            <w:pPr>
              <w:rPr>
                <w:rFonts w:ascii="宋体"/>
              </w:rPr>
            </w:pPr>
          </w:p>
        </w:tc>
        <w:tc>
          <w:tcPr>
            <w:tcW w:w="0" w:type="auto"/>
            <w:shd w:val="clear" w:color="auto" w:fill="auto"/>
          </w:tcPr>
          <w:p w14:paraId="5C7C5CDD" w14:textId="77777777" w:rsidR="0008009C" w:rsidRDefault="0008009C">
            <w:pPr>
              <w:rPr>
                <w:rFonts w:ascii="宋体"/>
                <w:vanish/>
              </w:rPr>
            </w:pPr>
          </w:p>
        </w:tc>
        <w:tc>
          <w:tcPr>
            <w:tcW w:w="0" w:type="auto"/>
            <w:shd w:val="clear" w:color="auto" w:fill="auto"/>
          </w:tcPr>
          <w:p w14:paraId="5C7C5CDE" w14:textId="77777777" w:rsidR="0008009C" w:rsidRDefault="0008009C">
            <w:pPr>
              <w:rPr>
                <w:rFonts w:ascii="宋体"/>
                <w:vanish/>
              </w:rPr>
            </w:pPr>
          </w:p>
        </w:tc>
        <w:tc>
          <w:tcPr>
            <w:tcW w:w="0" w:type="auto"/>
            <w:gridSpan w:val="3"/>
            <w:shd w:val="clear" w:color="auto" w:fill="auto"/>
          </w:tcPr>
          <w:p w14:paraId="5C7C5CDF" w14:textId="77777777" w:rsidR="0008009C" w:rsidRDefault="0008009C">
            <w:pPr>
              <w:rPr>
                <w:rFonts w:ascii="宋体"/>
                <w:vanish/>
              </w:rPr>
            </w:pPr>
          </w:p>
        </w:tc>
        <w:tc>
          <w:tcPr>
            <w:tcW w:w="0" w:type="auto"/>
            <w:gridSpan w:val="3"/>
            <w:shd w:val="clear" w:color="auto" w:fill="auto"/>
          </w:tcPr>
          <w:p w14:paraId="5C7C5CE0" w14:textId="77777777" w:rsidR="0008009C" w:rsidRDefault="0008009C">
            <w:pPr>
              <w:rPr>
                <w:rFonts w:ascii="宋体"/>
                <w:vanish/>
              </w:rPr>
            </w:pPr>
          </w:p>
        </w:tc>
      </w:tr>
      <w:tr w:rsidR="0008009C" w14:paraId="5C7C5CED" w14:textId="77777777">
        <w:tc>
          <w:tcPr>
            <w:tcW w:w="0" w:type="auto"/>
            <w:gridSpan w:val="3"/>
            <w:shd w:val="clear" w:color="auto" w:fill="auto"/>
            <w:tcMar>
              <w:top w:w="40" w:type="dxa"/>
              <w:left w:w="260" w:type="dxa"/>
              <w:bottom w:w="40" w:type="dxa"/>
              <w:right w:w="20" w:type="dxa"/>
            </w:tcMar>
            <w:vAlign w:val="bottom"/>
          </w:tcPr>
          <w:p w14:paraId="5C7C5CE2" w14:textId="77777777" w:rsidR="0008009C" w:rsidRDefault="00936FDF">
            <w:pPr>
              <w:textAlignment w:val="bottom"/>
            </w:pPr>
            <w:r>
              <w:rPr>
                <w:rFonts w:ascii="Arial" w:eastAsia="宋体" w:hAnsi="Arial" w:cs="Arial"/>
                <w:color w:val="262626"/>
                <w:sz w:val="18"/>
                <w:szCs w:val="18"/>
              </w:rPr>
              <w:t>IOTG</w:t>
            </w:r>
          </w:p>
        </w:tc>
        <w:tc>
          <w:tcPr>
            <w:tcW w:w="0" w:type="auto"/>
            <w:gridSpan w:val="3"/>
            <w:shd w:val="clear" w:color="auto" w:fill="auto"/>
            <w:tcMar>
              <w:top w:w="0" w:type="dxa"/>
              <w:left w:w="20" w:type="dxa"/>
              <w:bottom w:w="0" w:type="dxa"/>
              <w:right w:w="20" w:type="dxa"/>
            </w:tcMar>
          </w:tcPr>
          <w:p w14:paraId="5C7C5CE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E4" w14:textId="77777777" w:rsidR="0008009C" w:rsidRDefault="00936FDF">
            <w:pPr>
              <w:jc w:val="right"/>
              <w:textAlignment w:val="bottom"/>
            </w:pPr>
            <w:r>
              <w:rPr>
                <w:rFonts w:ascii="Arial" w:eastAsia="宋体" w:hAnsi="Arial" w:cs="Arial"/>
                <w:color w:val="0068B5"/>
                <w:sz w:val="18"/>
                <w:szCs w:val="18"/>
              </w:rPr>
              <w:t>212 </w:t>
            </w:r>
          </w:p>
        </w:tc>
        <w:tc>
          <w:tcPr>
            <w:tcW w:w="0" w:type="auto"/>
            <w:shd w:val="clear" w:color="auto" w:fill="auto"/>
            <w:tcMar>
              <w:top w:w="40" w:type="dxa"/>
              <w:left w:w="0" w:type="dxa"/>
              <w:bottom w:w="40" w:type="dxa"/>
              <w:right w:w="20" w:type="dxa"/>
            </w:tcMar>
            <w:vAlign w:val="bottom"/>
          </w:tcPr>
          <w:p w14:paraId="5C7C5CE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CE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E7" w14:textId="77777777" w:rsidR="0008009C" w:rsidRDefault="00936FDF">
            <w:pPr>
              <w:jc w:val="right"/>
              <w:textAlignment w:val="bottom"/>
            </w:pPr>
            <w:r>
              <w:rPr>
                <w:rFonts w:ascii="Arial" w:eastAsia="宋体" w:hAnsi="Arial" w:cs="Arial"/>
                <w:color w:val="262626"/>
                <w:sz w:val="18"/>
                <w:szCs w:val="18"/>
              </w:rPr>
              <w:t>243 </w:t>
            </w:r>
          </w:p>
        </w:tc>
        <w:tc>
          <w:tcPr>
            <w:tcW w:w="0" w:type="auto"/>
            <w:shd w:val="clear" w:color="auto" w:fill="auto"/>
            <w:tcMar>
              <w:top w:w="40" w:type="dxa"/>
              <w:left w:w="0" w:type="dxa"/>
              <w:bottom w:w="40" w:type="dxa"/>
              <w:right w:w="20" w:type="dxa"/>
            </w:tcMar>
            <w:vAlign w:val="bottom"/>
          </w:tcPr>
          <w:p w14:paraId="5C7C5CE8" w14:textId="77777777" w:rsidR="0008009C" w:rsidRDefault="0008009C">
            <w:pPr>
              <w:jc w:val="right"/>
              <w:rPr>
                <w:rFonts w:ascii="宋体"/>
              </w:rPr>
            </w:pPr>
          </w:p>
        </w:tc>
        <w:tc>
          <w:tcPr>
            <w:tcW w:w="0" w:type="auto"/>
            <w:shd w:val="clear" w:color="auto" w:fill="auto"/>
          </w:tcPr>
          <w:p w14:paraId="5C7C5CE9" w14:textId="77777777" w:rsidR="0008009C" w:rsidRDefault="0008009C">
            <w:pPr>
              <w:rPr>
                <w:rFonts w:ascii="宋体"/>
                <w:vanish/>
              </w:rPr>
            </w:pPr>
          </w:p>
        </w:tc>
        <w:tc>
          <w:tcPr>
            <w:tcW w:w="0" w:type="auto"/>
            <w:shd w:val="clear" w:color="auto" w:fill="auto"/>
          </w:tcPr>
          <w:p w14:paraId="5C7C5CEA" w14:textId="77777777" w:rsidR="0008009C" w:rsidRDefault="0008009C">
            <w:pPr>
              <w:rPr>
                <w:rFonts w:ascii="宋体"/>
                <w:vanish/>
              </w:rPr>
            </w:pPr>
          </w:p>
        </w:tc>
        <w:tc>
          <w:tcPr>
            <w:tcW w:w="0" w:type="auto"/>
            <w:gridSpan w:val="3"/>
            <w:shd w:val="clear" w:color="auto" w:fill="auto"/>
          </w:tcPr>
          <w:p w14:paraId="5C7C5CEB" w14:textId="77777777" w:rsidR="0008009C" w:rsidRDefault="0008009C">
            <w:pPr>
              <w:rPr>
                <w:rFonts w:ascii="宋体"/>
                <w:vanish/>
              </w:rPr>
            </w:pPr>
          </w:p>
        </w:tc>
        <w:tc>
          <w:tcPr>
            <w:tcW w:w="0" w:type="auto"/>
            <w:gridSpan w:val="3"/>
            <w:shd w:val="clear" w:color="auto" w:fill="auto"/>
          </w:tcPr>
          <w:p w14:paraId="5C7C5CEC" w14:textId="77777777" w:rsidR="0008009C" w:rsidRDefault="0008009C">
            <w:pPr>
              <w:rPr>
                <w:rFonts w:ascii="宋体"/>
                <w:vanish/>
              </w:rPr>
            </w:pPr>
          </w:p>
        </w:tc>
      </w:tr>
      <w:tr w:rsidR="0008009C" w14:paraId="5C7C5CF9" w14:textId="77777777">
        <w:tc>
          <w:tcPr>
            <w:tcW w:w="0" w:type="auto"/>
            <w:gridSpan w:val="3"/>
            <w:shd w:val="clear" w:color="auto" w:fill="auto"/>
            <w:tcMar>
              <w:top w:w="40" w:type="dxa"/>
              <w:left w:w="260" w:type="dxa"/>
              <w:bottom w:w="40" w:type="dxa"/>
              <w:right w:w="20" w:type="dxa"/>
            </w:tcMar>
            <w:vAlign w:val="bottom"/>
          </w:tcPr>
          <w:p w14:paraId="5C7C5CEE" w14:textId="77777777" w:rsidR="0008009C" w:rsidRDefault="00936FDF">
            <w:pPr>
              <w:textAlignment w:val="bottom"/>
            </w:pPr>
            <w:r>
              <w:rPr>
                <w:rFonts w:ascii="Arial" w:eastAsia="宋体" w:hAnsi="Arial" w:cs="Arial"/>
                <w:color w:val="262626"/>
                <w:sz w:val="18"/>
                <w:szCs w:val="18"/>
              </w:rPr>
              <w:t>Mobileye</w:t>
            </w:r>
          </w:p>
        </w:tc>
        <w:tc>
          <w:tcPr>
            <w:tcW w:w="0" w:type="auto"/>
            <w:gridSpan w:val="3"/>
            <w:shd w:val="clear" w:color="auto" w:fill="auto"/>
            <w:tcMar>
              <w:top w:w="0" w:type="dxa"/>
              <w:left w:w="20" w:type="dxa"/>
              <w:bottom w:w="0" w:type="dxa"/>
              <w:right w:w="20" w:type="dxa"/>
            </w:tcMar>
          </w:tcPr>
          <w:p w14:paraId="5C7C5CE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F0" w14:textId="77777777" w:rsidR="0008009C" w:rsidRDefault="00936FDF">
            <w:pPr>
              <w:jc w:val="right"/>
              <w:textAlignment w:val="bottom"/>
            </w:pPr>
            <w:r>
              <w:rPr>
                <w:rFonts w:ascii="Arial" w:eastAsia="宋体" w:hAnsi="Arial" w:cs="Arial"/>
                <w:color w:val="0068B5"/>
                <w:sz w:val="18"/>
                <w:szCs w:val="18"/>
              </w:rPr>
              <w:t>147 </w:t>
            </w:r>
          </w:p>
        </w:tc>
        <w:tc>
          <w:tcPr>
            <w:tcW w:w="0" w:type="auto"/>
            <w:shd w:val="clear" w:color="auto" w:fill="auto"/>
            <w:tcMar>
              <w:top w:w="40" w:type="dxa"/>
              <w:left w:w="0" w:type="dxa"/>
              <w:bottom w:w="40" w:type="dxa"/>
              <w:right w:w="20" w:type="dxa"/>
            </w:tcMar>
            <w:vAlign w:val="bottom"/>
          </w:tcPr>
          <w:p w14:paraId="5C7C5CF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CF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CF3" w14:textId="77777777" w:rsidR="0008009C" w:rsidRDefault="00936FDF">
            <w:pPr>
              <w:jc w:val="right"/>
              <w:textAlignment w:val="bottom"/>
            </w:pPr>
            <w:r>
              <w:rPr>
                <w:rFonts w:ascii="Arial" w:eastAsia="宋体" w:hAnsi="Arial" w:cs="Arial"/>
                <w:color w:val="262626"/>
                <w:sz w:val="18"/>
                <w:szCs w:val="18"/>
              </w:rPr>
              <w:t>88 </w:t>
            </w:r>
          </w:p>
        </w:tc>
        <w:tc>
          <w:tcPr>
            <w:tcW w:w="0" w:type="auto"/>
            <w:shd w:val="clear" w:color="auto" w:fill="auto"/>
            <w:tcMar>
              <w:top w:w="40" w:type="dxa"/>
              <w:left w:w="0" w:type="dxa"/>
              <w:bottom w:w="40" w:type="dxa"/>
              <w:right w:w="20" w:type="dxa"/>
            </w:tcMar>
            <w:vAlign w:val="bottom"/>
          </w:tcPr>
          <w:p w14:paraId="5C7C5CF4" w14:textId="77777777" w:rsidR="0008009C" w:rsidRDefault="0008009C">
            <w:pPr>
              <w:jc w:val="right"/>
              <w:rPr>
                <w:rFonts w:ascii="宋体"/>
              </w:rPr>
            </w:pPr>
          </w:p>
        </w:tc>
        <w:tc>
          <w:tcPr>
            <w:tcW w:w="0" w:type="auto"/>
            <w:shd w:val="clear" w:color="auto" w:fill="auto"/>
          </w:tcPr>
          <w:p w14:paraId="5C7C5CF5" w14:textId="77777777" w:rsidR="0008009C" w:rsidRDefault="0008009C">
            <w:pPr>
              <w:rPr>
                <w:rFonts w:ascii="宋体"/>
                <w:vanish/>
              </w:rPr>
            </w:pPr>
          </w:p>
        </w:tc>
        <w:tc>
          <w:tcPr>
            <w:tcW w:w="0" w:type="auto"/>
            <w:shd w:val="clear" w:color="auto" w:fill="auto"/>
          </w:tcPr>
          <w:p w14:paraId="5C7C5CF6" w14:textId="77777777" w:rsidR="0008009C" w:rsidRDefault="0008009C">
            <w:pPr>
              <w:rPr>
                <w:rFonts w:ascii="宋体"/>
                <w:vanish/>
              </w:rPr>
            </w:pPr>
          </w:p>
        </w:tc>
        <w:tc>
          <w:tcPr>
            <w:tcW w:w="0" w:type="auto"/>
            <w:gridSpan w:val="3"/>
            <w:shd w:val="clear" w:color="auto" w:fill="auto"/>
          </w:tcPr>
          <w:p w14:paraId="5C7C5CF7" w14:textId="77777777" w:rsidR="0008009C" w:rsidRDefault="0008009C">
            <w:pPr>
              <w:rPr>
                <w:rFonts w:ascii="宋体"/>
                <w:vanish/>
              </w:rPr>
            </w:pPr>
          </w:p>
        </w:tc>
        <w:tc>
          <w:tcPr>
            <w:tcW w:w="0" w:type="auto"/>
            <w:gridSpan w:val="3"/>
            <w:shd w:val="clear" w:color="auto" w:fill="auto"/>
          </w:tcPr>
          <w:p w14:paraId="5C7C5CF8" w14:textId="77777777" w:rsidR="0008009C" w:rsidRDefault="0008009C">
            <w:pPr>
              <w:rPr>
                <w:rFonts w:ascii="宋体"/>
                <w:vanish/>
              </w:rPr>
            </w:pPr>
          </w:p>
        </w:tc>
      </w:tr>
      <w:tr w:rsidR="0008009C" w14:paraId="5C7C5D05" w14:textId="77777777">
        <w:tc>
          <w:tcPr>
            <w:tcW w:w="0" w:type="auto"/>
            <w:gridSpan w:val="3"/>
            <w:shd w:val="clear" w:color="auto" w:fill="auto"/>
            <w:tcMar>
              <w:top w:w="0" w:type="dxa"/>
              <w:left w:w="20" w:type="dxa"/>
              <w:bottom w:w="0" w:type="dxa"/>
              <w:right w:w="20" w:type="dxa"/>
            </w:tcMar>
          </w:tcPr>
          <w:p w14:paraId="5C7C5CF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CFB"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CFC" w14:textId="77777777" w:rsidR="0008009C" w:rsidRDefault="00936FDF">
            <w:pPr>
              <w:jc w:val="right"/>
              <w:textAlignment w:val="bottom"/>
            </w:pPr>
            <w:r>
              <w:rPr>
                <w:rFonts w:ascii="Arial" w:eastAsia="宋体" w:hAnsi="Arial" w:cs="Arial"/>
                <w:b/>
                <w:bCs/>
                <w:color w:val="0068B5"/>
                <w:sz w:val="18"/>
                <w:szCs w:val="18"/>
              </w:rPr>
              <w:t>359</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CF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CFE"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CFF" w14:textId="77777777" w:rsidR="0008009C" w:rsidRDefault="00936FDF">
            <w:pPr>
              <w:jc w:val="right"/>
              <w:textAlignment w:val="bottom"/>
            </w:pPr>
            <w:r>
              <w:rPr>
                <w:rFonts w:ascii="Arial" w:eastAsia="宋体" w:hAnsi="Arial" w:cs="Arial"/>
                <w:b/>
                <w:bCs/>
                <w:color w:val="262626"/>
                <w:sz w:val="18"/>
                <w:szCs w:val="18"/>
              </w:rPr>
              <w:t>331</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D00" w14:textId="77777777" w:rsidR="0008009C" w:rsidRDefault="0008009C">
            <w:pPr>
              <w:jc w:val="right"/>
              <w:rPr>
                <w:rFonts w:ascii="宋体"/>
              </w:rPr>
            </w:pPr>
          </w:p>
        </w:tc>
        <w:tc>
          <w:tcPr>
            <w:tcW w:w="0" w:type="auto"/>
            <w:shd w:val="clear" w:color="auto" w:fill="auto"/>
          </w:tcPr>
          <w:p w14:paraId="5C7C5D01" w14:textId="77777777" w:rsidR="0008009C" w:rsidRDefault="0008009C">
            <w:pPr>
              <w:rPr>
                <w:rFonts w:ascii="宋体"/>
                <w:vanish/>
              </w:rPr>
            </w:pPr>
          </w:p>
        </w:tc>
        <w:tc>
          <w:tcPr>
            <w:tcW w:w="0" w:type="auto"/>
            <w:shd w:val="clear" w:color="auto" w:fill="auto"/>
          </w:tcPr>
          <w:p w14:paraId="5C7C5D02" w14:textId="77777777" w:rsidR="0008009C" w:rsidRDefault="0008009C">
            <w:pPr>
              <w:rPr>
                <w:rFonts w:ascii="宋体"/>
                <w:vanish/>
              </w:rPr>
            </w:pPr>
          </w:p>
        </w:tc>
        <w:tc>
          <w:tcPr>
            <w:tcW w:w="0" w:type="auto"/>
            <w:gridSpan w:val="3"/>
            <w:shd w:val="clear" w:color="auto" w:fill="auto"/>
          </w:tcPr>
          <w:p w14:paraId="5C7C5D03" w14:textId="77777777" w:rsidR="0008009C" w:rsidRDefault="0008009C">
            <w:pPr>
              <w:rPr>
                <w:rFonts w:ascii="宋体"/>
                <w:vanish/>
              </w:rPr>
            </w:pPr>
          </w:p>
        </w:tc>
        <w:tc>
          <w:tcPr>
            <w:tcW w:w="0" w:type="auto"/>
            <w:gridSpan w:val="3"/>
            <w:shd w:val="clear" w:color="auto" w:fill="auto"/>
          </w:tcPr>
          <w:p w14:paraId="5C7C5D04" w14:textId="77777777" w:rsidR="0008009C" w:rsidRDefault="0008009C">
            <w:pPr>
              <w:rPr>
                <w:rFonts w:ascii="宋体"/>
                <w:vanish/>
              </w:rPr>
            </w:pPr>
          </w:p>
        </w:tc>
      </w:tr>
      <w:tr w:rsidR="0008009C" w14:paraId="5C7C5D0F" w14:textId="77777777">
        <w:trPr>
          <w:hidden/>
        </w:trPr>
        <w:tc>
          <w:tcPr>
            <w:tcW w:w="0" w:type="auto"/>
            <w:gridSpan w:val="3"/>
            <w:shd w:val="clear" w:color="auto" w:fill="auto"/>
          </w:tcPr>
          <w:p w14:paraId="5C7C5D06" w14:textId="77777777" w:rsidR="0008009C" w:rsidRDefault="0008009C">
            <w:pPr>
              <w:rPr>
                <w:rFonts w:ascii="宋体"/>
                <w:vanish/>
              </w:rPr>
            </w:pPr>
          </w:p>
        </w:tc>
        <w:tc>
          <w:tcPr>
            <w:tcW w:w="0" w:type="auto"/>
            <w:gridSpan w:val="3"/>
            <w:shd w:val="clear" w:color="auto" w:fill="auto"/>
          </w:tcPr>
          <w:p w14:paraId="5C7C5D07" w14:textId="77777777" w:rsidR="0008009C" w:rsidRDefault="0008009C">
            <w:pPr>
              <w:rPr>
                <w:rFonts w:ascii="宋体"/>
                <w:vanish/>
              </w:rPr>
            </w:pPr>
          </w:p>
        </w:tc>
        <w:tc>
          <w:tcPr>
            <w:tcW w:w="0" w:type="auto"/>
            <w:gridSpan w:val="3"/>
            <w:shd w:val="clear" w:color="auto" w:fill="auto"/>
          </w:tcPr>
          <w:p w14:paraId="5C7C5D08" w14:textId="77777777" w:rsidR="0008009C" w:rsidRDefault="0008009C">
            <w:pPr>
              <w:rPr>
                <w:rFonts w:ascii="宋体"/>
                <w:vanish/>
              </w:rPr>
            </w:pPr>
          </w:p>
        </w:tc>
        <w:tc>
          <w:tcPr>
            <w:tcW w:w="0" w:type="auto"/>
            <w:gridSpan w:val="3"/>
            <w:shd w:val="clear" w:color="auto" w:fill="auto"/>
          </w:tcPr>
          <w:p w14:paraId="5C7C5D09" w14:textId="77777777" w:rsidR="0008009C" w:rsidRDefault="0008009C">
            <w:pPr>
              <w:rPr>
                <w:rFonts w:ascii="宋体"/>
                <w:vanish/>
              </w:rPr>
            </w:pPr>
          </w:p>
        </w:tc>
        <w:tc>
          <w:tcPr>
            <w:tcW w:w="0" w:type="auto"/>
            <w:gridSpan w:val="3"/>
            <w:shd w:val="clear" w:color="auto" w:fill="auto"/>
          </w:tcPr>
          <w:p w14:paraId="5C7C5D0A" w14:textId="77777777" w:rsidR="0008009C" w:rsidRDefault="0008009C">
            <w:pPr>
              <w:rPr>
                <w:rFonts w:ascii="宋体"/>
                <w:vanish/>
              </w:rPr>
            </w:pPr>
          </w:p>
        </w:tc>
        <w:tc>
          <w:tcPr>
            <w:tcW w:w="0" w:type="auto"/>
            <w:shd w:val="clear" w:color="auto" w:fill="auto"/>
          </w:tcPr>
          <w:p w14:paraId="5C7C5D0B" w14:textId="77777777" w:rsidR="0008009C" w:rsidRDefault="0008009C">
            <w:pPr>
              <w:rPr>
                <w:rFonts w:ascii="宋体"/>
                <w:vanish/>
              </w:rPr>
            </w:pPr>
          </w:p>
        </w:tc>
        <w:tc>
          <w:tcPr>
            <w:tcW w:w="0" w:type="auto"/>
            <w:shd w:val="clear" w:color="auto" w:fill="auto"/>
          </w:tcPr>
          <w:p w14:paraId="5C7C5D0C" w14:textId="77777777" w:rsidR="0008009C" w:rsidRDefault="0008009C">
            <w:pPr>
              <w:rPr>
                <w:rFonts w:ascii="宋体"/>
                <w:vanish/>
              </w:rPr>
            </w:pPr>
          </w:p>
        </w:tc>
        <w:tc>
          <w:tcPr>
            <w:tcW w:w="0" w:type="auto"/>
            <w:gridSpan w:val="3"/>
            <w:shd w:val="clear" w:color="auto" w:fill="auto"/>
          </w:tcPr>
          <w:p w14:paraId="5C7C5D0D" w14:textId="77777777" w:rsidR="0008009C" w:rsidRDefault="0008009C">
            <w:pPr>
              <w:rPr>
                <w:rFonts w:ascii="宋体"/>
                <w:vanish/>
              </w:rPr>
            </w:pPr>
          </w:p>
        </w:tc>
        <w:tc>
          <w:tcPr>
            <w:tcW w:w="0" w:type="auto"/>
            <w:gridSpan w:val="3"/>
            <w:shd w:val="clear" w:color="auto" w:fill="auto"/>
          </w:tcPr>
          <w:p w14:paraId="5C7C5D0E" w14:textId="77777777" w:rsidR="0008009C" w:rsidRDefault="0008009C">
            <w:pPr>
              <w:rPr>
                <w:rFonts w:ascii="宋体"/>
                <w:vanish/>
              </w:rPr>
            </w:pPr>
          </w:p>
        </w:tc>
      </w:tr>
      <w:tr w:rsidR="0008009C" w14:paraId="5C7C5D1B" w14:textId="77777777">
        <w:tc>
          <w:tcPr>
            <w:tcW w:w="0" w:type="auto"/>
            <w:gridSpan w:val="3"/>
            <w:shd w:val="clear" w:color="auto" w:fill="auto"/>
            <w:tcMar>
              <w:top w:w="40" w:type="dxa"/>
              <w:left w:w="140" w:type="dxa"/>
              <w:bottom w:w="40" w:type="dxa"/>
              <w:right w:w="20" w:type="dxa"/>
            </w:tcMar>
            <w:vAlign w:val="bottom"/>
          </w:tcPr>
          <w:p w14:paraId="5C7C5D10" w14:textId="77777777" w:rsidR="0008009C" w:rsidRDefault="00936FDF">
            <w:pPr>
              <w:textAlignment w:val="bottom"/>
            </w:pPr>
            <w:r>
              <w:rPr>
                <w:rFonts w:ascii="Arial" w:eastAsia="宋体" w:hAnsi="Arial" w:cs="Arial"/>
                <w:b/>
                <w:bCs/>
                <w:color w:val="262626"/>
                <w:sz w:val="18"/>
                <w:szCs w:val="18"/>
              </w:rPr>
              <w:t>Non-Volatile Memory Solutions Group</w:t>
            </w:r>
          </w:p>
        </w:tc>
        <w:tc>
          <w:tcPr>
            <w:tcW w:w="0" w:type="auto"/>
            <w:gridSpan w:val="3"/>
            <w:shd w:val="clear" w:color="auto" w:fill="auto"/>
            <w:tcMar>
              <w:top w:w="0" w:type="dxa"/>
              <w:left w:w="20" w:type="dxa"/>
              <w:bottom w:w="0" w:type="dxa"/>
              <w:right w:w="20" w:type="dxa"/>
            </w:tcMar>
          </w:tcPr>
          <w:p w14:paraId="5C7C5D1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12" w14:textId="77777777" w:rsidR="0008009C" w:rsidRDefault="00936FDF">
            <w:pPr>
              <w:jc w:val="right"/>
              <w:textAlignment w:val="bottom"/>
            </w:pPr>
            <w:r>
              <w:rPr>
                <w:rFonts w:ascii="Arial" w:eastAsia="宋体" w:hAnsi="Arial" w:cs="Arial"/>
                <w:b/>
                <w:bCs/>
                <w:color w:val="0068B5"/>
                <w:sz w:val="18"/>
                <w:szCs w:val="18"/>
              </w:rPr>
              <w:t>171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D1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D1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15" w14:textId="77777777" w:rsidR="0008009C" w:rsidRDefault="00936FDF">
            <w:pPr>
              <w:jc w:val="right"/>
              <w:textAlignment w:val="bottom"/>
            </w:pPr>
            <w:r>
              <w:rPr>
                <w:rFonts w:ascii="Arial" w:eastAsia="宋体" w:hAnsi="Arial" w:cs="Arial"/>
                <w:b/>
                <w:bCs/>
                <w:color w:val="262626"/>
                <w:sz w:val="18"/>
                <w:szCs w:val="18"/>
              </w:rPr>
              <w:t>(66)</w:t>
            </w:r>
          </w:p>
        </w:tc>
        <w:tc>
          <w:tcPr>
            <w:tcW w:w="0" w:type="auto"/>
            <w:shd w:val="clear" w:color="auto" w:fill="auto"/>
            <w:tcMar>
              <w:top w:w="40" w:type="dxa"/>
              <w:left w:w="0" w:type="dxa"/>
              <w:bottom w:w="40" w:type="dxa"/>
              <w:right w:w="20" w:type="dxa"/>
            </w:tcMar>
            <w:vAlign w:val="bottom"/>
          </w:tcPr>
          <w:p w14:paraId="5C7C5D16" w14:textId="77777777" w:rsidR="0008009C" w:rsidRDefault="0008009C">
            <w:pPr>
              <w:jc w:val="right"/>
              <w:rPr>
                <w:rFonts w:ascii="宋体"/>
              </w:rPr>
            </w:pPr>
          </w:p>
        </w:tc>
        <w:tc>
          <w:tcPr>
            <w:tcW w:w="0" w:type="auto"/>
            <w:shd w:val="clear" w:color="auto" w:fill="auto"/>
          </w:tcPr>
          <w:p w14:paraId="5C7C5D17" w14:textId="77777777" w:rsidR="0008009C" w:rsidRDefault="0008009C">
            <w:pPr>
              <w:rPr>
                <w:rFonts w:ascii="宋体"/>
                <w:vanish/>
              </w:rPr>
            </w:pPr>
          </w:p>
        </w:tc>
        <w:tc>
          <w:tcPr>
            <w:tcW w:w="0" w:type="auto"/>
            <w:shd w:val="clear" w:color="auto" w:fill="auto"/>
          </w:tcPr>
          <w:p w14:paraId="5C7C5D18" w14:textId="77777777" w:rsidR="0008009C" w:rsidRDefault="0008009C">
            <w:pPr>
              <w:rPr>
                <w:rFonts w:ascii="宋体"/>
                <w:vanish/>
              </w:rPr>
            </w:pPr>
          </w:p>
        </w:tc>
        <w:tc>
          <w:tcPr>
            <w:tcW w:w="0" w:type="auto"/>
            <w:gridSpan w:val="3"/>
            <w:shd w:val="clear" w:color="auto" w:fill="auto"/>
          </w:tcPr>
          <w:p w14:paraId="5C7C5D19" w14:textId="77777777" w:rsidR="0008009C" w:rsidRDefault="0008009C">
            <w:pPr>
              <w:rPr>
                <w:rFonts w:ascii="宋体"/>
                <w:vanish/>
              </w:rPr>
            </w:pPr>
          </w:p>
        </w:tc>
        <w:tc>
          <w:tcPr>
            <w:tcW w:w="0" w:type="auto"/>
            <w:gridSpan w:val="3"/>
            <w:shd w:val="clear" w:color="auto" w:fill="auto"/>
          </w:tcPr>
          <w:p w14:paraId="5C7C5D1A" w14:textId="77777777" w:rsidR="0008009C" w:rsidRDefault="0008009C">
            <w:pPr>
              <w:rPr>
                <w:rFonts w:ascii="宋体"/>
                <w:vanish/>
              </w:rPr>
            </w:pPr>
          </w:p>
        </w:tc>
      </w:tr>
      <w:tr w:rsidR="0008009C" w14:paraId="5C7C5D27" w14:textId="77777777">
        <w:tc>
          <w:tcPr>
            <w:tcW w:w="0" w:type="auto"/>
            <w:gridSpan w:val="3"/>
            <w:shd w:val="clear" w:color="auto" w:fill="auto"/>
            <w:tcMar>
              <w:top w:w="40" w:type="dxa"/>
              <w:left w:w="140" w:type="dxa"/>
              <w:bottom w:w="40" w:type="dxa"/>
              <w:right w:w="20" w:type="dxa"/>
            </w:tcMar>
            <w:vAlign w:val="bottom"/>
          </w:tcPr>
          <w:p w14:paraId="5C7C5D1C" w14:textId="77777777" w:rsidR="0008009C" w:rsidRDefault="00936FDF">
            <w:pPr>
              <w:textAlignment w:val="bottom"/>
            </w:pPr>
            <w:r>
              <w:rPr>
                <w:rFonts w:ascii="Arial" w:eastAsia="宋体" w:hAnsi="Arial" w:cs="Arial"/>
                <w:b/>
                <w:bCs/>
                <w:color w:val="262626"/>
                <w:sz w:val="18"/>
                <w:szCs w:val="18"/>
              </w:rPr>
              <w:t>Programmable Solutions Group</w:t>
            </w:r>
          </w:p>
        </w:tc>
        <w:tc>
          <w:tcPr>
            <w:tcW w:w="0" w:type="auto"/>
            <w:gridSpan w:val="3"/>
            <w:shd w:val="clear" w:color="auto" w:fill="auto"/>
            <w:tcMar>
              <w:top w:w="0" w:type="dxa"/>
              <w:left w:w="20" w:type="dxa"/>
              <w:bottom w:w="0" w:type="dxa"/>
              <w:right w:w="20" w:type="dxa"/>
            </w:tcMar>
          </w:tcPr>
          <w:p w14:paraId="5C7C5D1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1E" w14:textId="77777777" w:rsidR="0008009C" w:rsidRDefault="00936FDF">
            <w:pPr>
              <w:jc w:val="right"/>
              <w:textAlignment w:val="bottom"/>
            </w:pPr>
            <w:r>
              <w:rPr>
                <w:rFonts w:ascii="Arial" w:eastAsia="宋体" w:hAnsi="Arial" w:cs="Arial"/>
                <w:b/>
                <w:bCs/>
                <w:color w:val="0068B5"/>
                <w:sz w:val="18"/>
                <w:szCs w:val="18"/>
              </w:rPr>
              <w:t>88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D1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D2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21" w14:textId="77777777" w:rsidR="0008009C" w:rsidRDefault="00936FDF">
            <w:pPr>
              <w:jc w:val="right"/>
              <w:textAlignment w:val="bottom"/>
            </w:pPr>
            <w:r>
              <w:rPr>
                <w:rFonts w:ascii="Arial" w:eastAsia="宋体" w:hAnsi="Arial" w:cs="Arial"/>
                <w:b/>
                <w:bCs/>
                <w:color w:val="262626"/>
                <w:sz w:val="18"/>
                <w:szCs w:val="18"/>
              </w:rPr>
              <w:t>97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D22" w14:textId="77777777" w:rsidR="0008009C" w:rsidRDefault="0008009C">
            <w:pPr>
              <w:jc w:val="right"/>
              <w:rPr>
                <w:rFonts w:ascii="宋体"/>
              </w:rPr>
            </w:pPr>
          </w:p>
        </w:tc>
        <w:tc>
          <w:tcPr>
            <w:tcW w:w="0" w:type="auto"/>
            <w:shd w:val="clear" w:color="auto" w:fill="auto"/>
          </w:tcPr>
          <w:p w14:paraId="5C7C5D23" w14:textId="77777777" w:rsidR="0008009C" w:rsidRDefault="0008009C">
            <w:pPr>
              <w:rPr>
                <w:rFonts w:ascii="宋体"/>
                <w:vanish/>
              </w:rPr>
            </w:pPr>
          </w:p>
        </w:tc>
        <w:tc>
          <w:tcPr>
            <w:tcW w:w="0" w:type="auto"/>
            <w:shd w:val="clear" w:color="auto" w:fill="auto"/>
          </w:tcPr>
          <w:p w14:paraId="5C7C5D24" w14:textId="77777777" w:rsidR="0008009C" w:rsidRDefault="0008009C">
            <w:pPr>
              <w:rPr>
                <w:rFonts w:ascii="宋体"/>
                <w:vanish/>
              </w:rPr>
            </w:pPr>
          </w:p>
        </w:tc>
        <w:tc>
          <w:tcPr>
            <w:tcW w:w="0" w:type="auto"/>
            <w:gridSpan w:val="3"/>
            <w:shd w:val="clear" w:color="auto" w:fill="auto"/>
          </w:tcPr>
          <w:p w14:paraId="5C7C5D25" w14:textId="77777777" w:rsidR="0008009C" w:rsidRDefault="0008009C">
            <w:pPr>
              <w:rPr>
                <w:rFonts w:ascii="宋体"/>
                <w:vanish/>
              </w:rPr>
            </w:pPr>
          </w:p>
        </w:tc>
        <w:tc>
          <w:tcPr>
            <w:tcW w:w="0" w:type="auto"/>
            <w:gridSpan w:val="3"/>
            <w:shd w:val="clear" w:color="auto" w:fill="auto"/>
          </w:tcPr>
          <w:p w14:paraId="5C7C5D26" w14:textId="77777777" w:rsidR="0008009C" w:rsidRDefault="0008009C">
            <w:pPr>
              <w:rPr>
                <w:rFonts w:ascii="宋体"/>
                <w:vanish/>
              </w:rPr>
            </w:pPr>
          </w:p>
        </w:tc>
      </w:tr>
      <w:tr w:rsidR="0008009C" w14:paraId="5C7C5D33" w14:textId="77777777">
        <w:tc>
          <w:tcPr>
            <w:tcW w:w="0" w:type="auto"/>
            <w:gridSpan w:val="3"/>
            <w:shd w:val="clear" w:color="auto" w:fill="auto"/>
            <w:tcMar>
              <w:top w:w="40" w:type="dxa"/>
              <w:left w:w="140" w:type="dxa"/>
              <w:bottom w:w="40" w:type="dxa"/>
              <w:right w:w="20" w:type="dxa"/>
            </w:tcMar>
            <w:vAlign w:val="bottom"/>
          </w:tcPr>
          <w:p w14:paraId="5C7C5D28" w14:textId="77777777" w:rsidR="0008009C" w:rsidRDefault="00936FDF">
            <w:pPr>
              <w:textAlignment w:val="bottom"/>
            </w:pPr>
            <w:r>
              <w:rPr>
                <w:rFonts w:ascii="Arial" w:eastAsia="宋体" w:hAnsi="Arial" w:cs="Arial"/>
                <w:b/>
                <w:bCs/>
                <w:color w:val="262626"/>
                <w:sz w:val="18"/>
                <w:szCs w:val="18"/>
              </w:rPr>
              <w:t>Client Computing Group</w:t>
            </w:r>
          </w:p>
        </w:tc>
        <w:tc>
          <w:tcPr>
            <w:tcW w:w="0" w:type="auto"/>
            <w:gridSpan w:val="3"/>
            <w:shd w:val="clear" w:color="auto" w:fill="auto"/>
            <w:tcMar>
              <w:top w:w="0" w:type="dxa"/>
              <w:left w:w="20" w:type="dxa"/>
              <w:bottom w:w="0" w:type="dxa"/>
              <w:right w:w="20" w:type="dxa"/>
            </w:tcMar>
          </w:tcPr>
          <w:p w14:paraId="5C7C5D2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2A" w14:textId="77777777" w:rsidR="0008009C" w:rsidRDefault="00936FDF">
            <w:pPr>
              <w:jc w:val="right"/>
              <w:textAlignment w:val="bottom"/>
            </w:pPr>
            <w:r>
              <w:rPr>
                <w:rFonts w:ascii="Arial" w:eastAsia="宋体" w:hAnsi="Arial" w:cs="Arial"/>
                <w:b/>
                <w:bCs/>
                <w:color w:val="0068B5"/>
                <w:sz w:val="18"/>
                <w:szCs w:val="18"/>
              </w:rPr>
              <w:t>4,120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D2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D2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2D" w14:textId="77777777" w:rsidR="0008009C" w:rsidRDefault="00936FDF">
            <w:pPr>
              <w:jc w:val="right"/>
              <w:textAlignment w:val="bottom"/>
            </w:pPr>
            <w:r>
              <w:rPr>
                <w:rFonts w:ascii="Arial" w:eastAsia="宋体" w:hAnsi="Arial" w:cs="Arial"/>
                <w:b/>
                <w:bCs/>
                <w:color w:val="262626"/>
                <w:sz w:val="18"/>
                <w:szCs w:val="18"/>
              </w:rPr>
              <w:t>4,225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D2E" w14:textId="77777777" w:rsidR="0008009C" w:rsidRDefault="0008009C">
            <w:pPr>
              <w:jc w:val="right"/>
              <w:rPr>
                <w:rFonts w:ascii="宋体"/>
              </w:rPr>
            </w:pPr>
          </w:p>
        </w:tc>
        <w:tc>
          <w:tcPr>
            <w:tcW w:w="0" w:type="auto"/>
            <w:shd w:val="clear" w:color="auto" w:fill="auto"/>
          </w:tcPr>
          <w:p w14:paraId="5C7C5D2F" w14:textId="77777777" w:rsidR="0008009C" w:rsidRDefault="0008009C">
            <w:pPr>
              <w:rPr>
                <w:rFonts w:ascii="宋体"/>
                <w:vanish/>
              </w:rPr>
            </w:pPr>
          </w:p>
        </w:tc>
        <w:tc>
          <w:tcPr>
            <w:tcW w:w="0" w:type="auto"/>
            <w:shd w:val="clear" w:color="auto" w:fill="auto"/>
          </w:tcPr>
          <w:p w14:paraId="5C7C5D30" w14:textId="77777777" w:rsidR="0008009C" w:rsidRDefault="0008009C">
            <w:pPr>
              <w:rPr>
                <w:rFonts w:ascii="宋体"/>
                <w:vanish/>
              </w:rPr>
            </w:pPr>
          </w:p>
        </w:tc>
        <w:tc>
          <w:tcPr>
            <w:tcW w:w="0" w:type="auto"/>
            <w:gridSpan w:val="3"/>
            <w:shd w:val="clear" w:color="auto" w:fill="auto"/>
          </w:tcPr>
          <w:p w14:paraId="5C7C5D31" w14:textId="77777777" w:rsidR="0008009C" w:rsidRDefault="0008009C">
            <w:pPr>
              <w:rPr>
                <w:rFonts w:ascii="宋体"/>
                <w:vanish/>
              </w:rPr>
            </w:pPr>
          </w:p>
        </w:tc>
        <w:tc>
          <w:tcPr>
            <w:tcW w:w="0" w:type="auto"/>
            <w:gridSpan w:val="3"/>
            <w:shd w:val="clear" w:color="auto" w:fill="auto"/>
          </w:tcPr>
          <w:p w14:paraId="5C7C5D32" w14:textId="77777777" w:rsidR="0008009C" w:rsidRDefault="0008009C">
            <w:pPr>
              <w:rPr>
                <w:rFonts w:ascii="宋体"/>
                <w:vanish/>
              </w:rPr>
            </w:pPr>
          </w:p>
        </w:tc>
      </w:tr>
      <w:tr w:rsidR="0008009C" w14:paraId="5C7C5D3F" w14:textId="77777777">
        <w:tc>
          <w:tcPr>
            <w:tcW w:w="0" w:type="auto"/>
            <w:gridSpan w:val="3"/>
            <w:shd w:val="clear" w:color="auto" w:fill="auto"/>
            <w:tcMar>
              <w:top w:w="40" w:type="dxa"/>
              <w:left w:w="140" w:type="dxa"/>
              <w:bottom w:w="40" w:type="dxa"/>
              <w:right w:w="20" w:type="dxa"/>
            </w:tcMar>
            <w:vAlign w:val="bottom"/>
          </w:tcPr>
          <w:p w14:paraId="5C7C5D34" w14:textId="77777777" w:rsidR="0008009C" w:rsidRDefault="00936FDF">
            <w:pPr>
              <w:textAlignment w:val="bottom"/>
            </w:pPr>
            <w:r>
              <w:rPr>
                <w:rFonts w:ascii="Arial" w:eastAsia="宋体" w:hAnsi="Arial" w:cs="Arial"/>
                <w:b/>
                <w:bCs/>
                <w:color w:val="262626"/>
                <w:sz w:val="18"/>
                <w:szCs w:val="18"/>
              </w:rPr>
              <w:t>All other</w:t>
            </w:r>
          </w:p>
        </w:tc>
        <w:tc>
          <w:tcPr>
            <w:tcW w:w="0" w:type="auto"/>
            <w:gridSpan w:val="3"/>
            <w:shd w:val="clear" w:color="auto" w:fill="auto"/>
            <w:tcMar>
              <w:top w:w="0" w:type="dxa"/>
              <w:left w:w="20" w:type="dxa"/>
              <w:bottom w:w="0" w:type="dxa"/>
              <w:right w:w="20" w:type="dxa"/>
            </w:tcMar>
          </w:tcPr>
          <w:p w14:paraId="5C7C5D3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36" w14:textId="77777777" w:rsidR="0008009C" w:rsidRDefault="00936FDF">
            <w:pPr>
              <w:jc w:val="right"/>
              <w:textAlignment w:val="bottom"/>
            </w:pPr>
            <w:r>
              <w:rPr>
                <w:rFonts w:ascii="Arial" w:eastAsia="宋体" w:hAnsi="Arial" w:cs="Arial"/>
                <w:b/>
                <w:bCs/>
                <w:color w:val="0068B5"/>
                <w:sz w:val="18"/>
                <w:szCs w:val="18"/>
              </w:rPr>
              <w:t>(2,317)</w:t>
            </w:r>
          </w:p>
        </w:tc>
        <w:tc>
          <w:tcPr>
            <w:tcW w:w="0" w:type="auto"/>
            <w:shd w:val="clear" w:color="auto" w:fill="auto"/>
            <w:tcMar>
              <w:top w:w="40" w:type="dxa"/>
              <w:left w:w="0" w:type="dxa"/>
              <w:bottom w:w="40" w:type="dxa"/>
              <w:right w:w="20" w:type="dxa"/>
            </w:tcMar>
            <w:vAlign w:val="bottom"/>
          </w:tcPr>
          <w:p w14:paraId="5C7C5D3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D3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39" w14:textId="77777777" w:rsidR="0008009C" w:rsidRDefault="00936FDF">
            <w:pPr>
              <w:jc w:val="right"/>
              <w:textAlignment w:val="bottom"/>
            </w:pPr>
            <w:r>
              <w:rPr>
                <w:rFonts w:ascii="Arial" w:eastAsia="宋体" w:hAnsi="Arial" w:cs="Arial"/>
                <w:b/>
                <w:bCs/>
                <w:color w:val="262626"/>
                <w:sz w:val="18"/>
                <w:szCs w:val="18"/>
              </w:rPr>
              <w:t>(1,041)</w:t>
            </w:r>
          </w:p>
        </w:tc>
        <w:tc>
          <w:tcPr>
            <w:tcW w:w="0" w:type="auto"/>
            <w:shd w:val="clear" w:color="auto" w:fill="auto"/>
            <w:tcMar>
              <w:top w:w="40" w:type="dxa"/>
              <w:left w:w="0" w:type="dxa"/>
              <w:bottom w:w="40" w:type="dxa"/>
              <w:right w:w="20" w:type="dxa"/>
            </w:tcMar>
            <w:vAlign w:val="bottom"/>
          </w:tcPr>
          <w:p w14:paraId="5C7C5D3A" w14:textId="77777777" w:rsidR="0008009C" w:rsidRDefault="0008009C">
            <w:pPr>
              <w:jc w:val="right"/>
              <w:rPr>
                <w:rFonts w:ascii="宋体"/>
              </w:rPr>
            </w:pPr>
          </w:p>
        </w:tc>
        <w:tc>
          <w:tcPr>
            <w:tcW w:w="0" w:type="auto"/>
            <w:shd w:val="clear" w:color="auto" w:fill="auto"/>
          </w:tcPr>
          <w:p w14:paraId="5C7C5D3B" w14:textId="77777777" w:rsidR="0008009C" w:rsidRDefault="0008009C">
            <w:pPr>
              <w:rPr>
                <w:rFonts w:ascii="宋体"/>
                <w:vanish/>
              </w:rPr>
            </w:pPr>
          </w:p>
        </w:tc>
        <w:tc>
          <w:tcPr>
            <w:tcW w:w="0" w:type="auto"/>
            <w:shd w:val="clear" w:color="auto" w:fill="auto"/>
          </w:tcPr>
          <w:p w14:paraId="5C7C5D3C" w14:textId="77777777" w:rsidR="0008009C" w:rsidRDefault="0008009C">
            <w:pPr>
              <w:rPr>
                <w:rFonts w:ascii="宋体"/>
                <w:vanish/>
              </w:rPr>
            </w:pPr>
          </w:p>
        </w:tc>
        <w:tc>
          <w:tcPr>
            <w:tcW w:w="0" w:type="auto"/>
            <w:gridSpan w:val="3"/>
            <w:shd w:val="clear" w:color="auto" w:fill="auto"/>
          </w:tcPr>
          <w:p w14:paraId="5C7C5D3D" w14:textId="77777777" w:rsidR="0008009C" w:rsidRDefault="0008009C">
            <w:pPr>
              <w:rPr>
                <w:rFonts w:ascii="宋体"/>
                <w:vanish/>
              </w:rPr>
            </w:pPr>
          </w:p>
        </w:tc>
        <w:tc>
          <w:tcPr>
            <w:tcW w:w="0" w:type="auto"/>
            <w:gridSpan w:val="3"/>
            <w:shd w:val="clear" w:color="auto" w:fill="auto"/>
          </w:tcPr>
          <w:p w14:paraId="5C7C5D3E" w14:textId="77777777" w:rsidR="0008009C" w:rsidRDefault="0008009C">
            <w:pPr>
              <w:rPr>
                <w:rFonts w:ascii="宋体"/>
                <w:vanish/>
              </w:rPr>
            </w:pPr>
          </w:p>
        </w:tc>
      </w:tr>
      <w:tr w:rsidR="0008009C" w14:paraId="5C7C5D4D" w14:textId="77777777">
        <w:tc>
          <w:tcPr>
            <w:tcW w:w="0" w:type="auto"/>
            <w:gridSpan w:val="3"/>
            <w:shd w:val="clear" w:color="auto" w:fill="auto"/>
            <w:tcMar>
              <w:top w:w="40" w:type="dxa"/>
              <w:left w:w="20" w:type="dxa"/>
              <w:bottom w:w="40" w:type="dxa"/>
              <w:right w:w="20" w:type="dxa"/>
            </w:tcMar>
            <w:vAlign w:val="bottom"/>
          </w:tcPr>
          <w:p w14:paraId="5C7C5D40" w14:textId="77777777" w:rsidR="0008009C" w:rsidRDefault="00936FDF">
            <w:pPr>
              <w:textAlignment w:val="bottom"/>
            </w:pPr>
            <w:r>
              <w:rPr>
                <w:rFonts w:ascii="Arial" w:eastAsia="宋体" w:hAnsi="Arial" w:cs="Arial"/>
                <w:b/>
                <w:bCs/>
                <w:color w:val="262626"/>
                <w:sz w:val="18"/>
                <w:szCs w:val="18"/>
              </w:rPr>
              <w:t>Total operating income</w:t>
            </w:r>
          </w:p>
        </w:tc>
        <w:tc>
          <w:tcPr>
            <w:tcW w:w="0" w:type="auto"/>
            <w:gridSpan w:val="3"/>
            <w:shd w:val="clear" w:color="auto" w:fill="auto"/>
            <w:tcMar>
              <w:top w:w="0" w:type="dxa"/>
              <w:left w:w="20" w:type="dxa"/>
              <w:bottom w:w="0" w:type="dxa"/>
              <w:right w:w="20" w:type="dxa"/>
            </w:tcMar>
          </w:tcPr>
          <w:p w14:paraId="5C7C5D41"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D42"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D43" w14:textId="77777777" w:rsidR="0008009C" w:rsidRDefault="00936FDF">
            <w:pPr>
              <w:jc w:val="right"/>
              <w:textAlignment w:val="bottom"/>
            </w:pPr>
            <w:r>
              <w:rPr>
                <w:rFonts w:ascii="Arial" w:eastAsia="宋体" w:hAnsi="Arial" w:cs="Arial"/>
                <w:b/>
                <w:bCs/>
                <w:color w:val="0068B5"/>
                <w:sz w:val="18"/>
                <w:szCs w:val="18"/>
              </w:rPr>
              <w:t>3,694</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D4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D45"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D46"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D47" w14:textId="77777777" w:rsidR="0008009C" w:rsidRDefault="00936FDF">
            <w:pPr>
              <w:jc w:val="right"/>
              <w:textAlignment w:val="bottom"/>
            </w:pPr>
            <w:r>
              <w:rPr>
                <w:rFonts w:ascii="Arial" w:eastAsia="宋体" w:hAnsi="Arial" w:cs="Arial"/>
                <w:b/>
                <w:bCs/>
                <w:color w:val="262626"/>
                <w:sz w:val="18"/>
                <w:szCs w:val="18"/>
              </w:rPr>
              <w:t>7,038</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D48" w14:textId="77777777" w:rsidR="0008009C" w:rsidRDefault="0008009C">
            <w:pPr>
              <w:jc w:val="right"/>
              <w:rPr>
                <w:rFonts w:ascii="宋体"/>
              </w:rPr>
            </w:pPr>
          </w:p>
        </w:tc>
        <w:tc>
          <w:tcPr>
            <w:tcW w:w="0" w:type="auto"/>
            <w:shd w:val="clear" w:color="auto" w:fill="auto"/>
          </w:tcPr>
          <w:p w14:paraId="5C7C5D49" w14:textId="77777777" w:rsidR="0008009C" w:rsidRDefault="0008009C">
            <w:pPr>
              <w:rPr>
                <w:rFonts w:ascii="宋体"/>
                <w:vanish/>
              </w:rPr>
            </w:pPr>
          </w:p>
        </w:tc>
        <w:tc>
          <w:tcPr>
            <w:tcW w:w="0" w:type="auto"/>
            <w:shd w:val="clear" w:color="auto" w:fill="auto"/>
          </w:tcPr>
          <w:p w14:paraId="5C7C5D4A" w14:textId="77777777" w:rsidR="0008009C" w:rsidRDefault="0008009C">
            <w:pPr>
              <w:rPr>
                <w:rFonts w:ascii="宋体"/>
                <w:vanish/>
              </w:rPr>
            </w:pPr>
          </w:p>
        </w:tc>
        <w:tc>
          <w:tcPr>
            <w:tcW w:w="0" w:type="auto"/>
            <w:gridSpan w:val="3"/>
            <w:shd w:val="clear" w:color="auto" w:fill="auto"/>
          </w:tcPr>
          <w:p w14:paraId="5C7C5D4B" w14:textId="77777777" w:rsidR="0008009C" w:rsidRDefault="0008009C">
            <w:pPr>
              <w:rPr>
                <w:rFonts w:ascii="宋体"/>
                <w:vanish/>
              </w:rPr>
            </w:pPr>
          </w:p>
        </w:tc>
        <w:tc>
          <w:tcPr>
            <w:tcW w:w="0" w:type="auto"/>
            <w:gridSpan w:val="3"/>
            <w:shd w:val="clear" w:color="auto" w:fill="auto"/>
          </w:tcPr>
          <w:p w14:paraId="5C7C5D4C" w14:textId="77777777" w:rsidR="0008009C" w:rsidRDefault="0008009C">
            <w:pPr>
              <w:rPr>
                <w:rFonts w:ascii="宋体"/>
                <w:vanish/>
              </w:rPr>
            </w:pPr>
          </w:p>
        </w:tc>
      </w:tr>
    </w:tbl>
    <w:p w14:paraId="5C7C5D4E" w14:textId="77777777" w:rsidR="0008009C" w:rsidRDefault="00936FDF">
      <w:pPr>
        <w:spacing w:after="120"/>
      </w:pPr>
      <w:r>
        <w:rPr>
          <w:rFonts w:ascii="Arial" w:eastAsia="宋体" w:hAnsi="Arial" w:cs="Arial"/>
          <w:color w:val="262626"/>
          <w:sz w:val="18"/>
          <w:szCs w:val="18"/>
        </w:rPr>
        <w:t>Disaggregated net revenue for each period was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887"/>
        <w:gridCol w:w="37"/>
        <w:gridCol w:w="36"/>
        <w:gridCol w:w="36"/>
        <w:gridCol w:w="36"/>
        <w:gridCol w:w="121"/>
        <w:gridCol w:w="777"/>
        <w:gridCol w:w="36"/>
        <w:gridCol w:w="36"/>
        <w:gridCol w:w="36"/>
        <w:gridCol w:w="36"/>
        <w:gridCol w:w="121"/>
        <w:gridCol w:w="779"/>
        <w:gridCol w:w="36"/>
        <w:gridCol w:w="36"/>
        <w:gridCol w:w="36"/>
        <w:gridCol w:w="36"/>
        <w:gridCol w:w="36"/>
        <w:gridCol w:w="36"/>
        <w:gridCol w:w="36"/>
        <w:gridCol w:w="36"/>
        <w:gridCol w:w="36"/>
      </w:tblGrid>
      <w:tr w:rsidR="0008009C" w14:paraId="5C7C5D62" w14:textId="77777777">
        <w:tc>
          <w:tcPr>
            <w:tcW w:w="50" w:type="pct"/>
            <w:shd w:val="clear" w:color="auto" w:fill="auto"/>
          </w:tcPr>
          <w:p w14:paraId="5C7C5D4F" w14:textId="77777777" w:rsidR="0008009C" w:rsidRDefault="0008009C">
            <w:pPr>
              <w:rPr>
                <w:rFonts w:ascii="宋体"/>
              </w:rPr>
            </w:pPr>
          </w:p>
        </w:tc>
        <w:tc>
          <w:tcPr>
            <w:tcW w:w="3688" w:type="pct"/>
            <w:shd w:val="clear" w:color="auto" w:fill="auto"/>
          </w:tcPr>
          <w:p w14:paraId="5C7C5D50" w14:textId="77777777" w:rsidR="0008009C" w:rsidRDefault="0008009C">
            <w:pPr>
              <w:rPr>
                <w:rFonts w:ascii="宋体"/>
              </w:rPr>
            </w:pPr>
          </w:p>
        </w:tc>
        <w:tc>
          <w:tcPr>
            <w:tcW w:w="5" w:type="pct"/>
            <w:shd w:val="clear" w:color="auto" w:fill="auto"/>
          </w:tcPr>
          <w:p w14:paraId="5C7C5D51" w14:textId="77777777" w:rsidR="0008009C" w:rsidRDefault="0008009C">
            <w:pPr>
              <w:rPr>
                <w:rFonts w:ascii="宋体"/>
              </w:rPr>
            </w:pPr>
          </w:p>
        </w:tc>
        <w:tc>
          <w:tcPr>
            <w:tcW w:w="5" w:type="pct"/>
            <w:shd w:val="clear" w:color="auto" w:fill="auto"/>
          </w:tcPr>
          <w:p w14:paraId="5C7C5D52" w14:textId="77777777" w:rsidR="0008009C" w:rsidRDefault="0008009C">
            <w:pPr>
              <w:rPr>
                <w:rFonts w:ascii="宋体"/>
              </w:rPr>
            </w:pPr>
          </w:p>
        </w:tc>
        <w:tc>
          <w:tcPr>
            <w:tcW w:w="24" w:type="pct"/>
            <w:shd w:val="clear" w:color="auto" w:fill="auto"/>
          </w:tcPr>
          <w:p w14:paraId="5C7C5D53" w14:textId="77777777" w:rsidR="0008009C" w:rsidRDefault="0008009C">
            <w:pPr>
              <w:rPr>
                <w:rFonts w:ascii="宋体"/>
              </w:rPr>
            </w:pPr>
          </w:p>
        </w:tc>
        <w:tc>
          <w:tcPr>
            <w:tcW w:w="5" w:type="pct"/>
            <w:shd w:val="clear" w:color="auto" w:fill="auto"/>
          </w:tcPr>
          <w:p w14:paraId="5C7C5D54" w14:textId="77777777" w:rsidR="0008009C" w:rsidRDefault="0008009C">
            <w:pPr>
              <w:rPr>
                <w:rFonts w:ascii="宋体"/>
              </w:rPr>
            </w:pPr>
          </w:p>
        </w:tc>
        <w:tc>
          <w:tcPr>
            <w:tcW w:w="50" w:type="pct"/>
            <w:shd w:val="clear" w:color="auto" w:fill="auto"/>
          </w:tcPr>
          <w:p w14:paraId="5C7C5D55" w14:textId="77777777" w:rsidR="0008009C" w:rsidRDefault="0008009C">
            <w:pPr>
              <w:rPr>
                <w:rFonts w:ascii="宋体"/>
              </w:rPr>
            </w:pPr>
          </w:p>
        </w:tc>
        <w:tc>
          <w:tcPr>
            <w:tcW w:w="539" w:type="pct"/>
            <w:shd w:val="clear" w:color="auto" w:fill="auto"/>
          </w:tcPr>
          <w:p w14:paraId="5C7C5D56" w14:textId="77777777" w:rsidR="0008009C" w:rsidRDefault="0008009C">
            <w:pPr>
              <w:rPr>
                <w:rFonts w:ascii="宋体"/>
              </w:rPr>
            </w:pPr>
          </w:p>
        </w:tc>
        <w:tc>
          <w:tcPr>
            <w:tcW w:w="5" w:type="pct"/>
            <w:shd w:val="clear" w:color="auto" w:fill="auto"/>
          </w:tcPr>
          <w:p w14:paraId="5C7C5D57" w14:textId="77777777" w:rsidR="0008009C" w:rsidRDefault="0008009C">
            <w:pPr>
              <w:rPr>
                <w:rFonts w:ascii="宋体"/>
              </w:rPr>
            </w:pPr>
          </w:p>
        </w:tc>
        <w:tc>
          <w:tcPr>
            <w:tcW w:w="5" w:type="pct"/>
            <w:shd w:val="clear" w:color="auto" w:fill="auto"/>
          </w:tcPr>
          <w:p w14:paraId="5C7C5D58" w14:textId="77777777" w:rsidR="0008009C" w:rsidRDefault="0008009C">
            <w:pPr>
              <w:rPr>
                <w:rFonts w:ascii="宋体"/>
              </w:rPr>
            </w:pPr>
          </w:p>
        </w:tc>
        <w:tc>
          <w:tcPr>
            <w:tcW w:w="24" w:type="pct"/>
            <w:shd w:val="clear" w:color="auto" w:fill="auto"/>
          </w:tcPr>
          <w:p w14:paraId="5C7C5D59" w14:textId="77777777" w:rsidR="0008009C" w:rsidRDefault="0008009C">
            <w:pPr>
              <w:rPr>
                <w:rFonts w:ascii="宋体"/>
              </w:rPr>
            </w:pPr>
          </w:p>
        </w:tc>
        <w:tc>
          <w:tcPr>
            <w:tcW w:w="5" w:type="pct"/>
            <w:shd w:val="clear" w:color="auto" w:fill="auto"/>
          </w:tcPr>
          <w:p w14:paraId="5C7C5D5A" w14:textId="77777777" w:rsidR="0008009C" w:rsidRDefault="0008009C">
            <w:pPr>
              <w:rPr>
                <w:rFonts w:ascii="宋体"/>
              </w:rPr>
            </w:pPr>
          </w:p>
        </w:tc>
        <w:tc>
          <w:tcPr>
            <w:tcW w:w="50" w:type="pct"/>
            <w:shd w:val="clear" w:color="auto" w:fill="auto"/>
          </w:tcPr>
          <w:p w14:paraId="5C7C5D5B" w14:textId="77777777" w:rsidR="0008009C" w:rsidRDefault="0008009C">
            <w:pPr>
              <w:rPr>
                <w:rFonts w:ascii="宋体"/>
              </w:rPr>
            </w:pPr>
          </w:p>
        </w:tc>
        <w:tc>
          <w:tcPr>
            <w:tcW w:w="539" w:type="pct"/>
            <w:shd w:val="clear" w:color="auto" w:fill="auto"/>
          </w:tcPr>
          <w:p w14:paraId="5C7C5D5C" w14:textId="77777777" w:rsidR="0008009C" w:rsidRDefault="0008009C">
            <w:pPr>
              <w:rPr>
                <w:rFonts w:ascii="宋体"/>
              </w:rPr>
            </w:pPr>
          </w:p>
        </w:tc>
        <w:tc>
          <w:tcPr>
            <w:tcW w:w="5" w:type="pct"/>
            <w:shd w:val="clear" w:color="auto" w:fill="auto"/>
          </w:tcPr>
          <w:p w14:paraId="5C7C5D5D" w14:textId="77777777" w:rsidR="0008009C" w:rsidRDefault="0008009C">
            <w:pPr>
              <w:rPr>
                <w:rFonts w:ascii="宋体"/>
              </w:rPr>
            </w:pPr>
          </w:p>
        </w:tc>
        <w:tc>
          <w:tcPr>
            <w:tcW w:w="0" w:type="auto"/>
            <w:shd w:val="clear" w:color="auto" w:fill="auto"/>
          </w:tcPr>
          <w:p w14:paraId="5C7C5D5E" w14:textId="77777777" w:rsidR="0008009C" w:rsidRDefault="0008009C">
            <w:pPr>
              <w:rPr>
                <w:rFonts w:ascii="宋体"/>
                <w:vanish/>
              </w:rPr>
            </w:pPr>
          </w:p>
        </w:tc>
        <w:tc>
          <w:tcPr>
            <w:tcW w:w="0" w:type="auto"/>
            <w:shd w:val="clear" w:color="auto" w:fill="auto"/>
          </w:tcPr>
          <w:p w14:paraId="5C7C5D5F" w14:textId="77777777" w:rsidR="0008009C" w:rsidRDefault="0008009C">
            <w:pPr>
              <w:rPr>
                <w:rFonts w:ascii="宋体"/>
                <w:vanish/>
              </w:rPr>
            </w:pPr>
          </w:p>
        </w:tc>
        <w:tc>
          <w:tcPr>
            <w:tcW w:w="0" w:type="auto"/>
            <w:gridSpan w:val="3"/>
            <w:shd w:val="clear" w:color="auto" w:fill="auto"/>
          </w:tcPr>
          <w:p w14:paraId="5C7C5D60" w14:textId="77777777" w:rsidR="0008009C" w:rsidRDefault="0008009C">
            <w:pPr>
              <w:rPr>
                <w:rFonts w:ascii="宋体"/>
                <w:vanish/>
              </w:rPr>
            </w:pPr>
          </w:p>
        </w:tc>
        <w:tc>
          <w:tcPr>
            <w:tcW w:w="0" w:type="auto"/>
            <w:gridSpan w:val="3"/>
            <w:shd w:val="clear" w:color="auto" w:fill="auto"/>
          </w:tcPr>
          <w:p w14:paraId="5C7C5D61" w14:textId="77777777" w:rsidR="0008009C" w:rsidRDefault="0008009C">
            <w:pPr>
              <w:rPr>
                <w:rFonts w:ascii="宋体"/>
                <w:vanish/>
              </w:rPr>
            </w:pPr>
          </w:p>
        </w:tc>
      </w:tr>
      <w:tr w:rsidR="0008009C" w14:paraId="5C7C5D6E" w14:textId="77777777">
        <w:tc>
          <w:tcPr>
            <w:tcW w:w="0" w:type="auto"/>
            <w:gridSpan w:val="3"/>
            <w:shd w:val="clear" w:color="auto" w:fill="auto"/>
            <w:tcMar>
              <w:top w:w="0" w:type="dxa"/>
              <w:left w:w="20" w:type="dxa"/>
              <w:bottom w:w="0" w:type="dxa"/>
              <w:right w:w="20" w:type="dxa"/>
            </w:tcMar>
          </w:tcPr>
          <w:p w14:paraId="5C7C5D6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D64"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bottom"/>
          </w:tcPr>
          <w:p w14:paraId="5C7C5D65" w14:textId="77777777" w:rsidR="0008009C" w:rsidRDefault="00936FDF">
            <w:pPr>
              <w:jc w:val="center"/>
              <w:textAlignment w:val="bottom"/>
            </w:pPr>
            <w:r>
              <w:rPr>
                <w:rFonts w:ascii="Arial" w:eastAsia="宋体" w:hAnsi="Arial" w:cs="Arial"/>
                <w:b/>
                <w:bCs/>
                <w:color w:val="262626"/>
                <w:sz w:val="18"/>
                <w:szCs w:val="18"/>
              </w:rPr>
              <w:t>Three Months Ended</w:t>
            </w:r>
          </w:p>
        </w:tc>
        <w:tc>
          <w:tcPr>
            <w:tcW w:w="0" w:type="auto"/>
            <w:shd w:val="clear" w:color="auto" w:fill="auto"/>
          </w:tcPr>
          <w:p w14:paraId="5C7C5D66" w14:textId="77777777" w:rsidR="0008009C" w:rsidRDefault="0008009C">
            <w:pPr>
              <w:rPr>
                <w:rFonts w:ascii="宋体"/>
                <w:vanish/>
              </w:rPr>
            </w:pPr>
          </w:p>
        </w:tc>
        <w:tc>
          <w:tcPr>
            <w:tcW w:w="0" w:type="auto"/>
            <w:shd w:val="clear" w:color="auto" w:fill="auto"/>
          </w:tcPr>
          <w:p w14:paraId="5C7C5D67" w14:textId="77777777" w:rsidR="0008009C" w:rsidRDefault="0008009C">
            <w:pPr>
              <w:rPr>
                <w:rFonts w:ascii="宋体"/>
                <w:vanish/>
              </w:rPr>
            </w:pPr>
          </w:p>
        </w:tc>
        <w:tc>
          <w:tcPr>
            <w:tcW w:w="0" w:type="auto"/>
            <w:shd w:val="clear" w:color="auto" w:fill="auto"/>
          </w:tcPr>
          <w:p w14:paraId="5C7C5D68" w14:textId="77777777" w:rsidR="0008009C" w:rsidRDefault="0008009C">
            <w:pPr>
              <w:rPr>
                <w:rFonts w:ascii="宋体"/>
              </w:rPr>
            </w:pPr>
          </w:p>
        </w:tc>
        <w:tc>
          <w:tcPr>
            <w:tcW w:w="0" w:type="auto"/>
            <w:shd w:val="clear" w:color="auto" w:fill="auto"/>
          </w:tcPr>
          <w:p w14:paraId="5C7C5D69" w14:textId="77777777" w:rsidR="0008009C" w:rsidRDefault="0008009C">
            <w:pPr>
              <w:rPr>
                <w:rFonts w:ascii="宋体"/>
              </w:rPr>
            </w:pPr>
          </w:p>
        </w:tc>
        <w:tc>
          <w:tcPr>
            <w:tcW w:w="0" w:type="auto"/>
            <w:shd w:val="clear" w:color="auto" w:fill="auto"/>
          </w:tcPr>
          <w:p w14:paraId="5C7C5D6A" w14:textId="77777777" w:rsidR="0008009C" w:rsidRDefault="0008009C">
            <w:pPr>
              <w:rPr>
                <w:rFonts w:ascii="宋体"/>
              </w:rPr>
            </w:pPr>
          </w:p>
        </w:tc>
        <w:tc>
          <w:tcPr>
            <w:tcW w:w="0" w:type="auto"/>
            <w:shd w:val="clear" w:color="auto" w:fill="auto"/>
          </w:tcPr>
          <w:p w14:paraId="5C7C5D6B" w14:textId="77777777" w:rsidR="0008009C" w:rsidRDefault="0008009C">
            <w:pPr>
              <w:rPr>
                <w:rFonts w:ascii="宋体"/>
              </w:rPr>
            </w:pPr>
          </w:p>
        </w:tc>
        <w:tc>
          <w:tcPr>
            <w:tcW w:w="0" w:type="auto"/>
            <w:shd w:val="clear" w:color="auto" w:fill="auto"/>
          </w:tcPr>
          <w:p w14:paraId="5C7C5D6C" w14:textId="77777777" w:rsidR="0008009C" w:rsidRDefault="0008009C">
            <w:pPr>
              <w:rPr>
                <w:rFonts w:ascii="宋体"/>
              </w:rPr>
            </w:pPr>
          </w:p>
        </w:tc>
        <w:tc>
          <w:tcPr>
            <w:tcW w:w="0" w:type="auto"/>
            <w:shd w:val="clear" w:color="auto" w:fill="auto"/>
          </w:tcPr>
          <w:p w14:paraId="5C7C5D6D" w14:textId="77777777" w:rsidR="0008009C" w:rsidRDefault="0008009C">
            <w:pPr>
              <w:rPr>
                <w:rFonts w:ascii="宋体"/>
              </w:rPr>
            </w:pPr>
          </w:p>
        </w:tc>
      </w:tr>
      <w:tr w:rsidR="0008009C" w14:paraId="5C7C5D78" w14:textId="77777777">
        <w:tc>
          <w:tcPr>
            <w:tcW w:w="0" w:type="auto"/>
            <w:gridSpan w:val="3"/>
            <w:shd w:val="clear" w:color="auto" w:fill="auto"/>
            <w:tcMar>
              <w:top w:w="40" w:type="dxa"/>
              <w:left w:w="20" w:type="dxa"/>
              <w:bottom w:w="40" w:type="dxa"/>
              <w:right w:w="20" w:type="dxa"/>
            </w:tcMar>
            <w:vAlign w:val="bottom"/>
          </w:tcPr>
          <w:p w14:paraId="5C7C5D6F"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5D70"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D71"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tcBorders>
              <w:top w:val="single" w:sz="8" w:space="0" w:color="0068B5"/>
            </w:tcBorders>
            <w:shd w:val="clear" w:color="auto" w:fill="auto"/>
            <w:tcMar>
              <w:top w:w="0" w:type="dxa"/>
              <w:left w:w="20" w:type="dxa"/>
              <w:bottom w:w="0" w:type="dxa"/>
              <w:right w:w="20" w:type="dxa"/>
            </w:tcMar>
          </w:tcPr>
          <w:p w14:paraId="5C7C5D72"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D73" w14:textId="77777777" w:rsidR="0008009C" w:rsidRDefault="00936FDF">
            <w:pPr>
              <w:jc w:val="center"/>
              <w:textAlignment w:val="bottom"/>
            </w:pPr>
            <w:r>
              <w:rPr>
                <w:rFonts w:ascii="Arial" w:eastAsia="宋体" w:hAnsi="Arial" w:cs="Arial"/>
                <w:b/>
                <w:bCs/>
                <w:color w:val="262626"/>
                <w:sz w:val="18"/>
                <w:szCs w:val="18"/>
              </w:rPr>
              <w:t>Mar 28, 2020</w:t>
            </w:r>
          </w:p>
        </w:tc>
        <w:tc>
          <w:tcPr>
            <w:tcW w:w="0" w:type="auto"/>
            <w:shd w:val="clear" w:color="auto" w:fill="auto"/>
          </w:tcPr>
          <w:p w14:paraId="5C7C5D74" w14:textId="77777777" w:rsidR="0008009C" w:rsidRDefault="0008009C">
            <w:pPr>
              <w:rPr>
                <w:rFonts w:ascii="宋体"/>
                <w:vanish/>
              </w:rPr>
            </w:pPr>
          </w:p>
        </w:tc>
        <w:tc>
          <w:tcPr>
            <w:tcW w:w="0" w:type="auto"/>
            <w:shd w:val="clear" w:color="auto" w:fill="auto"/>
          </w:tcPr>
          <w:p w14:paraId="5C7C5D75" w14:textId="77777777" w:rsidR="0008009C" w:rsidRDefault="0008009C">
            <w:pPr>
              <w:rPr>
                <w:rFonts w:ascii="宋体"/>
                <w:vanish/>
              </w:rPr>
            </w:pPr>
          </w:p>
        </w:tc>
        <w:tc>
          <w:tcPr>
            <w:tcW w:w="0" w:type="auto"/>
            <w:gridSpan w:val="3"/>
            <w:shd w:val="clear" w:color="auto" w:fill="auto"/>
          </w:tcPr>
          <w:p w14:paraId="5C7C5D76" w14:textId="77777777" w:rsidR="0008009C" w:rsidRDefault="0008009C">
            <w:pPr>
              <w:rPr>
                <w:rFonts w:ascii="宋体"/>
                <w:vanish/>
              </w:rPr>
            </w:pPr>
          </w:p>
        </w:tc>
        <w:tc>
          <w:tcPr>
            <w:tcW w:w="0" w:type="auto"/>
            <w:gridSpan w:val="3"/>
            <w:shd w:val="clear" w:color="auto" w:fill="auto"/>
          </w:tcPr>
          <w:p w14:paraId="5C7C5D77" w14:textId="77777777" w:rsidR="0008009C" w:rsidRDefault="0008009C">
            <w:pPr>
              <w:rPr>
                <w:rFonts w:ascii="宋体"/>
                <w:vanish/>
              </w:rPr>
            </w:pPr>
          </w:p>
        </w:tc>
      </w:tr>
      <w:tr w:rsidR="0008009C" w14:paraId="5C7C5D82"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D79" w14:textId="77777777" w:rsidR="0008009C" w:rsidRDefault="00936FDF">
            <w:pPr>
              <w:textAlignment w:val="bottom"/>
            </w:pPr>
            <w:r>
              <w:rPr>
                <w:rFonts w:ascii="Arial" w:eastAsia="宋体" w:hAnsi="Arial" w:cs="Arial"/>
                <w:b/>
                <w:bCs/>
                <w:color w:val="262626"/>
                <w:sz w:val="18"/>
                <w:szCs w:val="18"/>
              </w:rPr>
              <w:t>Platform revenue</w:t>
            </w:r>
          </w:p>
        </w:tc>
        <w:tc>
          <w:tcPr>
            <w:tcW w:w="0" w:type="auto"/>
            <w:gridSpan w:val="3"/>
            <w:shd w:val="clear" w:color="auto" w:fill="auto"/>
            <w:tcMar>
              <w:top w:w="0" w:type="dxa"/>
              <w:left w:w="20" w:type="dxa"/>
              <w:bottom w:w="0" w:type="dxa"/>
              <w:right w:w="20" w:type="dxa"/>
            </w:tcMar>
          </w:tcPr>
          <w:p w14:paraId="5C7C5D7A"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D7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D7C"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5D7D" w14:textId="77777777" w:rsidR="0008009C" w:rsidRDefault="0008009C">
            <w:pPr>
              <w:rPr>
                <w:rFonts w:ascii="宋体"/>
              </w:rPr>
            </w:pPr>
          </w:p>
        </w:tc>
        <w:tc>
          <w:tcPr>
            <w:tcW w:w="0" w:type="auto"/>
            <w:shd w:val="clear" w:color="auto" w:fill="auto"/>
          </w:tcPr>
          <w:p w14:paraId="5C7C5D7E" w14:textId="77777777" w:rsidR="0008009C" w:rsidRDefault="0008009C">
            <w:pPr>
              <w:rPr>
                <w:rFonts w:ascii="宋体"/>
                <w:vanish/>
              </w:rPr>
            </w:pPr>
          </w:p>
        </w:tc>
        <w:tc>
          <w:tcPr>
            <w:tcW w:w="0" w:type="auto"/>
            <w:shd w:val="clear" w:color="auto" w:fill="auto"/>
          </w:tcPr>
          <w:p w14:paraId="5C7C5D7F" w14:textId="77777777" w:rsidR="0008009C" w:rsidRDefault="0008009C">
            <w:pPr>
              <w:rPr>
                <w:rFonts w:ascii="宋体"/>
                <w:vanish/>
              </w:rPr>
            </w:pPr>
          </w:p>
        </w:tc>
        <w:tc>
          <w:tcPr>
            <w:tcW w:w="0" w:type="auto"/>
            <w:gridSpan w:val="3"/>
            <w:shd w:val="clear" w:color="auto" w:fill="auto"/>
          </w:tcPr>
          <w:p w14:paraId="5C7C5D80" w14:textId="77777777" w:rsidR="0008009C" w:rsidRDefault="0008009C">
            <w:pPr>
              <w:rPr>
                <w:rFonts w:ascii="宋体"/>
                <w:vanish/>
              </w:rPr>
            </w:pPr>
          </w:p>
        </w:tc>
        <w:tc>
          <w:tcPr>
            <w:tcW w:w="0" w:type="auto"/>
            <w:gridSpan w:val="3"/>
            <w:shd w:val="clear" w:color="auto" w:fill="auto"/>
          </w:tcPr>
          <w:p w14:paraId="5C7C5D81" w14:textId="77777777" w:rsidR="0008009C" w:rsidRDefault="0008009C">
            <w:pPr>
              <w:rPr>
                <w:rFonts w:ascii="宋体"/>
                <w:vanish/>
              </w:rPr>
            </w:pPr>
          </w:p>
        </w:tc>
      </w:tr>
      <w:tr w:rsidR="0008009C" w14:paraId="5C7C5D90" w14:textId="77777777">
        <w:tc>
          <w:tcPr>
            <w:tcW w:w="0" w:type="auto"/>
            <w:gridSpan w:val="3"/>
            <w:shd w:val="clear" w:color="auto" w:fill="auto"/>
            <w:tcMar>
              <w:top w:w="40" w:type="dxa"/>
              <w:left w:w="140" w:type="dxa"/>
              <w:bottom w:w="40" w:type="dxa"/>
              <w:right w:w="20" w:type="dxa"/>
            </w:tcMar>
            <w:vAlign w:val="bottom"/>
          </w:tcPr>
          <w:p w14:paraId="5C7C5D83" w14:textId="77777777" w:rsidR="0008009C" w:rsidRDefault="00936FDF">
            <w:pPr>
              <w:textAlignment w:val="bottom"/>
            </w:pPr>
            <w:r>
              <w:rPr>
                <w:rFonts w:ascii="Arial" w:eastAsia="宋体" w:hAnsi="Arial" w:cs="Arial"/>
                <w:color w:val="262626"/>
                <w:sz w:val="18"/>
                <w:szCs w:val="18"/>
              </w:rPr>
              <w:t>DCG platform</w:t>
            </w:r>
          </w:p>
        </w:tc>
        <w:tc>
          <w:tcPr>
            <w:tcW w:w="0" w:type="auto"/>
            <w:gridSpan w:val="3"/>
            <w:shd w:val="clear" w:color="auto" w:fill="auto"/>
            <w:tcMar>
              <w:top w:w="0" w:type="dxa"/>
              <w:left w:w="20" w:type="dxa"/>
              <w:bottom w:w="0" w:type="dxa"/>
              <w:right w:w="20" w:type="dxa"/>
            </w:tcMar>
          </w:tcPr>
          <w:p w14:paraId="5C7C5D84"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D85"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5D86" w14:textId="77777777" w:rsidR="0008009C" w:rsidRDefault="00936FDF">
            <w:pPr>
              <w:jc w:val="right"/>
              <w:textAlignment w:val="bottom"/>
            </w:pPr>
            <w:r>
              <w:rPr>
                <w:rFonts w:ascii="Arial" w:eastAsia="宋体" w:hAnsi="Arial" w:cs="Arial"/>
                <w:color w:val="0068B5"/>
                <w:sz w:val="18"/>
                <w:szCs w:val="18"/>
              </w:rPr>
              <w:t>4,811 </w:t>
            </w:r>
          </w:p>
        </w:tc>
        <w:tc>
          <w:tcPr>
            <w:tcW w:w="0" w:type="auto"/>
            <w:shd w:val="clear" w:color="auto" w:fill="auto"/>
            <w:tcMar>
              <w:top w:w="40" w:type="dxa"/>
              <w:left w:w="0" w:type="dxa"/>
              <w:bottom w:w="40" w:type="dxa"/>
              <w:right w:w="20" w:type="dxa"/>
            </w:tcMar>
            <w:vAlign w:val="bottom"/>
          </w:tcPr>
          <w:p w14:paraId="5C7C5D8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D88"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5D89"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5D8A" w14:textId="77777777" w:rsidR="0008009C" w:rsidRDefault="00936FDF">
            <w:pPr>
              <w:jc w:val="right"/>
              <w:textAlignment w:val="bottom"/>
            </w:pPr>
            <w:r>
              <w:rPr>
                <w:rFonts w:ascii="Arial" w:eastAsia="宋体" w:hAnsi="Arial" w:cs="Arial"/>
                <w:color w:val="262626"/>
                <w:sz w:val="18"/>
                <w:szCs w:val="18"/>
              </w:rPr>
              <w:t>6,427 </w:t>
            </w:r>
          </w:p>
        </w:tc>
        <w:tc>
          <w:tcPr>
            <w:tcW w:w="0" w:type="auto"/>
            <w:shd w:val="clear" w:color="auto" w:fill="auto"/>
            <w:tcMar>
              <w:top w:w="40" w:type="dxa"/>
              <w:left w:w="0" w:type="dxa"/>
              <w:bottom w:w="40" w:type="dxa"/>
              <w:right w:w="20" w:type="dxa"/>
            </w:tcMar>
            <w:vAlign w:val="bottom"/>
          </w:tcPr>
          <w:p w14:paraId="5C7C5D8B" w14:textId="77777777" w:rsidR="0008009C" w:rsidRDefault="0008009C">
            <w:pPr>
              <w:jc w:val="right"/>
              <w:rPr>
                <w:rFonts w:ascii="宋体"/>
              </w:rPr>
            </w:pPr>
          </w:p>
        </w:tc>
        <w:tc>
          <w:tcPr>
            <w:tcW w:w="0" w:type="auto"/>
            <w:shd w:val="clear" w:color="auto" w:fill="auto"/>
          </w:tcPr>
          <w:p w14:paraId="5C7C5D8C" w14:textId="77777777" w:rsidR="0008009C" w:rsidRDefault="0008009C">
            <w:pPr>
              <w:rPr>
                <w:rFonts w:ascii="宋体"/>
                <w:vanish/>
              </w:rPr>
            </w:pPr>
          </w:p>
        </w:tc>
        <w:tc>
          <w:tcPr>
            <w:tcW w:w="0" w:type="auto"/>
            <w:shd w:val="clear" w:color="auto" w:fill="auto"/>
          </w:tcPr>
          <w:p w14:paraId="5C7C5D8D" w14:textId="77777777" w:rsidR="0008009C" w:rsidRDefault="0008009C">
            <w:pPr>
              <w:rPr>
                <w:rFonts w:ascii="宋体"/>
                <w:vanish/>
              </w:rPr>
            </w:pPr>
          </w:p>
        </w:tc>
        <w:tc>
          <w:tcPr>
            <w:tcW w:w="0" w:type="auto"/>
            <w:gridSpan w:val="3"/>
            <w:shd w:val="clear" w:color="auto" w:fill="auto"/>
          </w:tcPr>
          <w:p w14:paraId="5C7C5D8E" w14:textId="77777777" w:rsidR="0008009C" w:rsidRDefault="0008009C">
            <w:pPr>
              <w:rPr>
                <w:rFonts w:ascii="宋体"/>
                <w:vanish/>
              </w:rPr>
            </w:pPr>
          </w:p>
        </w:tc>
        <w:tc>
          <w:tcPr>
            <w:tcW w:w="0" w:type="auto"/>
            <w:gridSpan w:val="3"/>
            <w:shd w:val="clear" w:color="auto" w:fill="auto"/>
          </w:tcPr>
          <w:p w14:paraId="5C7C5D8F" w14:textId="77777777" w:rsidR="0008009C" w:rsidRDefault="0008009C">
            <w:pPr>
              <w:rPr>
                <w:rFonts w:ascii="宋体"/>
                <w:vanish/>
              </w:rPr>
            </w:pPr>
          </w:p>
        </w:tc>
      </w:tr>
      <w:tr w:rsidR="0008009C" w14:paraId="5C7C5D9C" w14:textId="77777777">
        <w:tc>
          <w:tcPr>
            <w:tcW w:w="0" w:type="auto"/>
            <w:gridSpan w:val="3"/>
            <w:shd w:val="clear" w:color="auto" w:fill="auto"/>
            <w:tcMar>
              <w:top w:w="40" w:type="dxa"/>
              <w:left w:w="140" w:type="dxa"/>
              <w:bottom w:w="40" w:type="dxa"/>
              <w:right w:w="20" w:type="dxa"/>
            </w:tcMar>
            <w:vAlign w:val="bottom"/>
          </w:tcPr>
          <w:p w14:paraId="5C7C5D91" w14:textId="77777777" w:rsidR="0008009C" w:rsidRDefault="00936FDF">
            <w:pPr>
              <w:textAlignment w:val="bottom"/>
            </w:pPr>
            <w:r>
              <w:rPr>
                <w:rFonts w:ascii="Arial" w:eastAsia="宋体" w:hAnsi="Arial" w:cs="Arial"/>
                <w:color w:val="262626"/>
                <w:sz w:val="18"/>
                <w:szCs w:val="18"/>
              </w:rPr>
              <w:t>IOTG platform</w:t>
            </w:r>
          </w:p>
        </w:tc>
        <w:tc>
          <w:tcPr>
            <w:tcW w:w="0" w:type="auto"/>
            <w:gridSpan w:val="3"/>
            <w:shd w:val="clear" w:color="auto" w:fill="auto"/>
            <w:tcMar>
              <w:top w:w="0" w:type="dxa"/>
              <w:left w:w="20" w:type="dxa"/>
              <w:bottom w:w="0" w:type="dxa"/>
              <w:right w:w="20" w:type="dxa"/>
            </w:tcMar>
          </w:tcPr>
          <w:p w14:paraId="5C7C5D9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93" w14:textId="77777777" w:rsidR="0008009C" w:rsidRDefault="00936FDF">
            <w:pPr>
              <w:jc w:val="right"/>
              <w:textAlignment w:val="bottom"/>
            </w:pPr>
            <w:r>
              <w:rPr>
                <w:rFonts w:ascii="Arial" w:eastAsia="宋体" w:hAnsi="Arial" w:cs="Arial"/>
                <w:color w:val="0068B5"/>
                <w:sz w:val="18"/>
                <w:szCs w:val="18"/>
              </w:rPr>
              <w:t>840 </w:t>
            </w:r>
          </w:p>
        </w:tc>
        <w:tc>
          <w:tcPr>
            <w:tcW w:w="0" w:type="auto"/>
            <w:shd w:val="clear" w:color="auto" w:fill="auto"/>
            <w:tcMar>
              <w:top w:w="40" w:type="dxa"/>
              <w:left w:w="0" w:type="dxa"/>
              <w:bottom w:w="40" w:type="dxa"/>
              <w:right w:w="20" w:type="dxa"/>
            </w:tcMar>
            <w:vAlign w:val="bottom"/>
          </w:tcPr>
          <w:p w14:paraId="5C7C5D9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D9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96" w14:textId="77777777" w:rsidR="0008009C" w:rsidRDefault="00936FDF">
            <w:pPr>
              <w:jc w:val="right"/>
              <w:textAlignment w:val="bottom"/>
            </w:pPr>
            <w:r>
              <w:rPr>
                <w:rFonts w:ascii="Arial" w:eastAsia="宋体" w:hAnsi="Arial" w:cs="Arial"/>
                <w:color w:val="262626"/>
                <w:sz w:val="18"/>
                <w:szCs w:val="18"/>
              </w:rPr>
              <w:t>795 </w:t>
            </w:r>
          </w:p>
        </w:tc>
        <w:tc>
          <w:tcPr>
            <w:tcW w:w="0" w:type="auto"/>
            <w:shd w:val="clear" w:color="auto" w:fill="auto"/>
            <w:tcMar>
              <w:top w:w="40" w:type="dxa"/>
              <w:left w:w="0" w:type="dxa"/>
              <w:bottom w:w="40" w:type="dxa"/>
              <w:right w:w="20" w:type="dxa"/>
            </w:tcMar>
            <w:vAlign w:val="bottom"/>
          </w:tcPr>
          <w:p w14:paraId="5C7C5D97" w14:textId="77777777" w:rsidR="0008009C" w:rsidRDefault="0008009C">
            <w:pPr>
              <w:jc w:val="right"/>
              <w:rPr>
                <w:rFonts w:ascii="宋体"/>
              </w:rPr>
            </w:pPr>
          </w:p>
        </w:tc>
        <w:tc>
          <w:tcPr>
            <w:tcW w:w="0" w:type="auto"/>
            <w:shd w:val="clear" w:color="auto" w:fill="auto"/>
          </w:tcPr>
          <w:p w14:paraId="5C7C5D98" w14:textId="77777777" w:rsidR="0008009C" w:rsidRDefault="0008009C">
            <w:pPr>
              <w:rPr>
                <w:rFonts w:ascii="宋体"/>
                <w:vanish/>
              </w:rPr>
            </w:pPr>
          </w:p>
        </w:tc>
        <w:tc>
          <w:tcPr>
            <w:tcW w:w="0" w:type="auto"/>
            <w:shd w:val="clear" w:color="auto" w:fill="auto"/>
          </w:tcPr>
          <w:p w14:paraId="5C7C5D99" w14:textId="77777777" w:rsidR="0008009C" w:rsidRDefault="0008009C">
            <w:pPr>
              <w:rPr>
                <w:rFonts w:ascii="宋体"/>
                <w:vanish/>
              </w:rPr>
            </w:pPr>
          </w:p>
        </w:tc>
        <w:tc>
          <w:tcPr>
            <w:tcW w:w="0" w:type="auto"/>
            <w:gridSpan w:val="3"/>
            <w:shd w:val="clear" w:color="auto" w:fill="auto"/>
          </w:tcPr>
          <w:p w14:paraId="5C7C5D9A" w14:textId="77777777" w:rsidR="0008009C" w:rsidRDefault="0008009C">
            <w:pPr>
              <w:rPr>
                <w:rFonts w:ascii="宋体"/>
                <w:vanish/>
              </w:rPr>
            </w:pPr>
          </w:p>
        </w:tc>
        <w:tc>
          <w:tcPr>
            <w:tcW w:w="0" w:type="auto"/>
            <w:gridSpan w:val="3"/>
            <w:shd w:val="clear" w:color="auto" w:fill="auto"/>
          </w:tcPr>
          <w:p w14:paraId="5C7C5D9B" w14:textId="77777777" w:rsidR="0008009C" w:rsidRDefault="0008009C">
            <w:pPr>
              <w:rPr>
                <w:rFonts w:ascii="宋体"/>
                <w:vanish/>
              </w:rPr>
            </w:pPr>
          </w:p>
        </w:tc>
      </w:tr>
      <w:tr w:rsidR="0008009C" w14:paraId="5C7C5DA8" w14:textId="77777777">
        <w:tc>
          <w:tcPr>
            <w:tcW w:w="0" w:type="auto"/>
            <w:gridSpan w:val="3"/>
            <w:shd w:val="clear" w:color="auto" w:fill="auto"/>
            <w:tcMar>
              <w:top w:w="40" w:type="dxa"/>
              <w:left w:w="140" w:type="dxa"/>
              <w:bottom w:w="40" w:type="dxa"/>
              <w:right w:w="20" w:type="dxa"/>
            </w:tcMar>
            <w:vAlign w:val="bottom"/>
          </w:tcPr>
          <w:p w14:paraId="5C7C5D9D" w14:textId="77777777" w:rsidR="0008009C" w:rsidRDefault="00936FDF">
            <w:pPr>
              <w:textAlignment w:val="bottom"/>
            </w:pPr>
            <w:r>
              <w:rPr>
                <w:rFonts w:ascii="Arial" w:eastAsia="宋体" w:hAnsi="Arial" w:cs="Arial"/>
                <w:color w:val="262626"/>
                <w:sz w:val="18"/>
                <w:szCs w:val="18"/>
              </w:rPr>
              <w:t>CCG desktop platform</w:t>
            </w:r>
          </w:p>
        </w:tc>
        <w:tc>
          <w:tcPr>
            <w:tcW w:w="0" w:type="auto"/>
            <w:gridSpan w:val="3"/>
            <w:shd w:val="clear" w:color="auto" w:fill="auto"/>
            <w:tcMar>
              <w:top w:w="0" w:type="dxa"/>
              <w:left w:w="20" w:type="dxa"/>
              <w:bottom w:w="0" w:type="dxa"/>
              <w:right w:w="20" w:type="dxa"/>
            </w:tcMar>
          </w:tcPr>
          <w:p w14:paraId="5C7C5D9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9F" w14:textId="77777777" w:rsidR="0008009C" w:rsidRDefault="00936FDF">
            <w:pPr>
              <w:jc w:val="right"/>
              <w:textAlignment w:val="bottom"/>
            </w:pPr>
            <w:r>
              <w:rPr>
                <w:rFonts w:ascii="Arial" w:eastAsia="宋体" w:hAnsi="Arial" w:cs="Arial"/>
                <w:color w:val="0068B5"/>
                <w:sz w:val="18"/>
                <w:szCs w:val="18"/>
              </w:rPr>
              <w:t>2,644 </w:t>
            </w:r>
          </w:p>
        </w:tc>
        <w:tc>
          <w:tcPr>
            <w:tcW w:w="0" w:type="auto"/>
            <w:shd w:val="clear" w:color="auto" w:fill="auto"/>
            <w:tcMar>
              <w:top w:w="40" w:type="dxa"/>
              <w:left w:w="0" w:type="dxa"/>
              <w:bottom w:w="40" w:type="dxa"/>
              <w:right w:w="20" w:type="dxa"/>
            </w:tcMar>
            <w:vAlign w:val="bottom"/>
          </w:tcPr>
          <w:p w14:paraId="5C7C5DA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DA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A2" w14:textId="77777777" w:rsidR="0008009C" w:rsidRDefault="00936FDF">
            <w:pPr>
              <w:jc w:val="right"/>
              <w:textAlignment w:val="bottom"/>
            </w:pPr>
            <w:r>
              <w:rPr>
                <w:rFonts w:ascii="Arial" w:eastAsia="宋体" w:hAnsi="Arial" w:cs="Arial"/>
                <w:color w:val="262626"/>
                <w:sz w:val="18"/>
                <w:szCs w:val="18"/>
              </w:rPr>
              <w:t>2,840 </w:t>
            </w:r>
          </w:p>
        </w:tc>
        <w:tc>
          <w:tcPr>
            <w:tcW w:w="0" w:type="auto"/>
            <w:shd w:val="clear" w:color="auto" w:fill="auto"/>
            <w:tcMar>
              <w:top w:w="40" w:type="dxa"/>
              <w:left w:w="0" w:type="dxa"/>
              <w:bottom w:w="40" w:type="dxa"/>
              <w:right w:w="20" w:type="dxa"/>
            </w:tcMar>
            <w:vAlign w:val="bottom"/>
          </w:tcPr>
          <w:p w14:paraId="5C7C5DA3" w14:textId="77777777" w:rsidR="0008009C" w:rsidRDefault="0008009C">
            <w:pPr>
              <w:jc w:val="right"/>
              <w:rPr>
                <w:rFonts w:ascii="宋体"/>
              </w:rPr>
            </w:pPr>
          </w:p>
        </w:tc>
        <w:tc>
          <w:tcPr>
            <w:tcW w:w="0" w:type="auto"/>
            <w:shd w:val="clear" w:color="auto" w:fill="auto"/>
          </w:tcPr>
          <w:p w14:paraId="5C7C5DA4" w14:textId="77777777" w:rsidR="0008009C" w:rsidRDefault="0008009C">
            <w:pPr>
              <w:rPr>
                <w:rFonts w:ascii="宋体"/>
                <w:vanish/>
              </w:rPr>
            </w:pPr>
          </w:p>
        </w:tc>
        <w:tc>
          <w:tcPr>
            <w:tcW w:w="0" w:type="auto"/>
            <w:shd w:val="clear" w:color="auto" w:fill="auto"/>
          </w:tcPr>
          <w:p w14:paraId="5C7C5DA5" w14:textId="77777777" w:rsidR="0008009C" w:rsidRDefault="0008009C">
            <w:pPr>
              <w:rPr>
                <w:rFonts w:ascii="宋体"/>
                <w:vanish/>
              </w:rPr>
            </w:pPr>
          </w:p>
        </w:tc>
        <w:tc>
          <w:tcPr>
            <w:tcW w:w="0" w:type="auto"/>
            <w:gridSpan w:val="3"/>
            <w:shd w:val="clear" w:color="auto" w:fill="auto"/>
          </w:tcPr>
          <w:p w14:paraId="5C7C5DA6" w14:textId="77777777" w:rsidR="0008009C" w:rsidRDefault="0008009C">
            <w:pPr>
              <w:rPr>
                <w:rFonts w:ascii="宋体"/>
                <w:vanish/>
              </w:rPr>
            </w:pPr>
          </w:p>
        </w:tc>
        <w:tc>
          <w:tcPr>
            <w:tcW w:w="0" w:type="auto"/>
            <w:gridSpan w:val="3"/>
            <w:shd w:val="clear" w:color="auto" w:fill="auto"/>
          </w:tcPr>
          <w:p w14:paraId="5C7C5DA7" w14:textId="77777777" w:rsidR="0008009C" w:rsidRDefault="0008009C">
            <w:pPr>
              <w:rPr>
                <w:rFonts w:ascii="宋体"/>
                <w:vanish/>
              </w:rPr>
            </w:pPr>
          </w:p>
        </w:tc>
      </w:tr>
      <w:tr w:rsidR="0008009C" w14:paraId="5C7C5DB4" w14:textId="77777777">
        <w:tc>
          <w:tcPr>
            <w:tcW w:w="0" w:type="auto"/>
            <w:gridSpan w:val="3"/>
            <w:shd w:val="clear" w:color="auto" w:fill="auto"/>
            <w:tcMar>
              <w:top w:w="40" w:type="dxa"/>
              <w:left w:w="140" w:type="dxa"/>
              <w:bottom w:w="40" w:type="dxa"/>
              <w:right w:w="20" w:type="dxa"/>
            </w:tcMar>
            <w:vAlign w:val="bottom"/>
          </w:tcPr>
          <w:p w14:paraId="5C7C5DA9" w14:textId="77777777" w:rsidR="0008009C" w:rsidRDefault="00936FDF">
            <w:pPr>
              <w:textAlignment w:val="bottom"/>
            </w:pPr>
            <w:r>
              <w:rPr>
                <w:rFonts w:ascii="Arial" w:eastAsia="宋体" w:hAnsi="Arial" w:cs="Arial"/>
                <w:color w:val="262626"/>
                <w:sz w:val="18"/>
                <w:szCs w:val="18"/>
              </w:rPr>
              <w:t>CCG notebook platform</w:t>
            </w:r>
          </w:p>
        </w:tc>
        <w:tc>
          <w:tcPr>
            <w:tcW w:w="0" w:type="auto"/>
            <w:gridSpan w:val="3"/>
            <w:shd w:val="clear" w:color="auto" w:fill="auto"/>
            <w:tcMar>
              <w:top w:w="0" w:type="dxa"/>
              <w:left w:w="20" w:type="dxa"/>
              <w:bottom w:w="0" w:type="dxa"/>
              <w:right w:w="20" w:type="dxa"/>
            </w:tcMar>
          </w:tcPr>
          <w:p w14:paraId="5C7C5DA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AB" w14:textId="77777777" w:rsidR="0008009C" w:rsidRDefault="00936FDF">
            <w:pPr>
              <w:jc w:val="right"/>
              <w:textAlignment w:val="bottom"/>
            </w:pPr>
            <w:r>
              <w:rPr>
                <w:rFonts w:ascii="Arial" w:eastAsia="宋体" w:hAnsi="Arial" w:cs="Arial"/>
                <w:color w:val="0068B5"/>
                <w:sz w:val="18"/>
                <w:szCs w:val="18"/>
              </w:rPr>
              <w:t>6,959 </w:t>
            </w:r>
          </w:p>
        </w:tc>
        <w:tc>
          <w:tcPr>
            <w:tcW w:w="0" w:type="auto"/>
            <w:shd w:val="clear" w:color="auto" w:fill="auto"/>
            <w:tcMar>
              <w:top w:w="40" w:type="dxa"/>
              <w:left w:w="0" w:type="dxa"/>
              <w:bottom w:w="40" w:type="dxa"/>
              <w:right w:w="20" w:type="dxa"/>
            </w:tcMar>
            <w:vAlign w:val="bottom"/>
          </w:tcPr>
          <w:p w14:paraId="5C7C5DA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DA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AE" w14:textId="77777777" w:rsidR="0008009C" w:rsidRDefault="00936FDF">
            <w:pPr>
              <w:jc w:val="right"/>
              <w:textAlignment w:val="bottom"/>
            </w:pPr>
            <w:r>
              <w:rPr>
                <w:rFonts w:ascii="Arial" w:eastAsia="宋体" w:hAnsi="Arial" w:cs="Arial"/>
                <w:color w:val="262626"/>
                <w:sz w:val="18"/>
                <w:szCs w:val="18"/>
              </w:rPr>
              <w:t>5,857 </w:t>
            </w:r>
          </w:p>
        </w:tc>
        <w:tc>
          <w:tcPr>
            <w:tcW w:w="0" w:type="auto"/>
            <w:shd w:val="clear" w:color="auto" w:fill="auto"/>
            <w:tcMar>
              <w:top w:w="40" w:type="dxa"/>
              <w:left w:w="0" w:type="dxa"/>
              <w:bottom w:w="40" w:type="dxa"/>
              <w:right w:w="20" w:type="dxa"/>
            </w:tcMar>
            <w:vAlign w:val="bottom"/>
          </w:tcPr>
          <w:p w14:paraId="5C7C5DAF" w14:textId="77777777" w:rsidR="0008009C" w:rsidRDefault="0008009C">
            <w:pPr>
              <w:jc w:val="right"/>
              <w:rPr>
                <w:rFonts w:ascii="宋体"/>
              </w:rPr>
            </w:pPr>
          </w:p>
        </w:tc>
        <w:tc>
          <w:tcPr>
            <w:tcW w:w="0" w:type="auto"/>
            <w:shd w:val="clear" w:color="auto" w:fill="auto"/>
          </w:tcPr>
          <w:p w14:paraId="5C7C5DB0" w14:textId="77777777" w:rsidR="0008009C" w:rsidRDefault="0008009C">
            <w:pPr>
              <w:rPr>
                <w:rFonts w:ascii="宋体"/>
                <w:vanish/>
              </w:rPr>
            </w:pPr>
          </w:p>
        </w:tc>
        <w:tc>
          <w:tcPr>
            <w:tcW w:w="0" w:type="auto"/>
            <w:shd w:val="clear" w:color="auto" w:fill="auto"/>
          </w:tcPr>
          <w:p w14:paraId="5C7C5DB1" w14:textId="77777777" w:rsidR="0008009C" w:rsidRDefault="0008009C">
            <w:pPr>
              <w:rPr>
                <w:rFonts w:ascii="宋体"/>
                <w:vanish/>
              </w:rPr>
            </w:pPr>
          </w:p>
        </w:tc>
        <w:tc>
          <w:tcPr>
            <w:tcW w:w="0" w:type="auto"/>
            <w:gridSpan w:val="3"/>
            <w:shd w:val="clear" w:color="auto" w:fill="auto"/>
          </w:tcPr>
          <w:p w14:paraId="5C7C5DB2" w14:textId="77777777" w:rsidR="0008009C" w:rsidRDefault="0008009C">
            <w:pPr>
              <w:rPr>
                <w:rFonts w:ascii="宋体"/>
                <w:vanish/>
              </w:rPr>
            </w:pPr>
          </w:p>
        </w:tc>
        <w:tc>
          <w:tcPr>
            <w:tcW w:w="0" w:type="auto"/>
            <w:gridSpan w:val="3"/>
            <w:shd w:val="clear" w:color="auto" w:fill="auto"/>
          </w:tcPr>
          <w:p w14:paraId="5C7C5DB3" w14:textId="77777777" w:rsidR="0008009C" w:rsidRDefault="0008009C">
            <w:pPr>
              <w:rPr>
                <w:rFonts w:ascii="宋体"/>
                <w:vanish/>
              </w:rPr>
            </w:pPr>
          </w:p>
        </w:tc>
      </w:tr>
      <w:tr w:rsidR="0008009C" w14:paraId="5C7C5DC0" w14:textId="77777777">
        <w:tc>
          <w:tcPr>
            <w:tcW w:w="0" w:type="auto"/>
            <w:gridSpan w:val="3"/>
            <w:shd w:val="clear" w:color="auto" w:fill="auto"/>
            <w:tcMar>
              <w:top w:w="40" w:type="dxa"/>
              <w:left w:w="20" w:type="dxa"/>
              <w:bottom w:w="40" w:type="dxa"/>
              <w:right w:w="20" w:type="dxa"/>
            </w:tcMar>
            <w:vAlign w:val="bottom"/>
          </w:tcPr>
          <w:p w14:paraId="5C7C5DB5" w14:textId="77777777" w:rsidR="0008009C" w:rsidRDefault="00936FDF">
            <w:pPr>
              <w:textAlignment w:val="bottom"/>
            </w:pPr>
            <w:r>
              <w:rPr>
                <w:rFonts w:ascii="Arial" w:eastAsia="宋体" w:hAnsi="Arial" w:cs="Arial"/>
                <w:color w:val="262626"/>
                <w:sz w:val="18"/>
                <w:szCs w:val="18"/>
              </w:rPr>
              <w:t>CCG other platform</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tcPr>
          <w:p w14:paraId="5C7C5DB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B7" w14:textId="77777777" w:rsidR="0008009C" w:rsidRDefault="00936FDF">
            <w:pPr>
              <w:jc w:val="right"/>
              <w:textAlignment w:val="bottom"/>
            </w:pPr>
            <w:r>
              <w:rPr>
                <w:rFonts w:ascii="Arial" w:eastAsia="宋体" w:hAnsi="Arial" w:cs="Arial"/>
                <w:color w:val="0068B5"/>
                <w:sz w:val="18"/>
                <w:szCs w:val="18"/>
              </w:rPr>
              <w:t>14 </w:t>
            </w:r>
          </w:p>
        </w:tc>
        <w:tc>
          <w:tcPr>
            <w:tcW w:w="0" w:type="auto"/>
            <w:shd w:val="clear" w:color="auto" w:fill="auto"/>
            <w:tcMar>
              <w:top w:w="40" w:type="dxa"/>
              <w:left w:w="0" w:type="dxa"/>
              <w:bottom w:w="40" w:type="dxa"/>
              <w:right w:w="20" w:type="dxa"/>
            </w:tcMar>
            <w:vAlign w:val="bottom"/>
          </w:tcPr>
          <w:p w14:paraId="5C7C5DB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DB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BA" w14:textId="77777777" w:rsidR="0008009C" w:rsidRDefault="00936FDF">
            <w:pPr>
              <w:jc w:val="right"/>
              <w:textAlignment w:val="bottom"/>
            </w:pPr>
            <w:r>
              <w:rPr>
                <w:rFonts w:ascii="Arial" w:eastAsia="宋体" w:hAnsi="Arial" w:cs="Arial"/>
                <w:color w:val="262626"/>
                <w:sz w:val="18"/>
                <w:szCs w:val="18"/>
              </w:rPr>
              <w:t>15 </w:t>
            </w:r>
          </w:p>
        </w:tc>
        <w:tc>
          <w:tcPr>
            <w:tcW w:w="0" w:type="auto"/>
            <w:shd w:val="clear" w:color="auto" w:fill="auto"/>
            <w:tcMar>
              <w:top w:w="40" w:type="dxa"/>
              <w:left w:w="0" w:type="dxa"/>
              <w:bottom w:w="40" w:type="dxa"/>
              <w:right w:w="20" w:type="dxa"/>
            </w:tcMar>
            <w:vAlign w:val="bottom"/>
          </w:tcPr>
          <w:p w14:paraId="5C7C5DBB" w14:textId="77777777" w:rsidR="0008009C" w:rsidRDefault="0008009C">
            <w:pPr>
              <w:jc w:val="right"/>
              <w:rPr>
                <w:rFonts w:ascii="宋体"/>
              </w:rPr>
            </w:pPr>
          </w:p>
        </w:tc>
        <w:tc>
          <w:tcPr>
            <w:tcW w:w="0" w:type="auto"/>
            <w:shd w:val="clear" w:color="auto" w:fill="auto"/>
          </w:tcPr>
          <w:p w14:paraId="5C7C5DBC" w14:textId="77777777" w:rsidR="0008009C" w:rsidRDefault="0008009C">
            <w:pPr>
              <w:rPr>
                <w:rFonts w:ascii="宋体"/>
                <w:vanish/>
              </w:rPr>
            </w:pPr>
          </w:p>
        </w:tc>
        <w:tc>
          <w:tcPr>
            <w:tcW w:w="0" w:type="auto"/>
            <w:shd w:val="clear" w:color="auto" w:fill="auto"/>
          </w:tcPr>
          <w:p w14:paraId="5C7C5DBD" w14:textId="77777777" w:rsidR="0008009C" w:rsidRDefault="0008009C">
            <w:pPr>
              <w:rPr>
                <w:rFonts w:ascii="宋体"/>
                <w:vanish/>
              </w:rPr>
            </w:pPr>
          </w:p>
        </w:tc>
        <w:tc>
          <w:tcPr>
            <w:tcW w:w="0" w:type="auto"/>
            <w:gridSpan w:val="3"/>
            <w:shd w:val="clear" w:color="auto" w:fill="auto"/>
          </w:tcPr>
          <w:p w14:paraId="5C7C5DBE" w14:textId="77777777" w:rsidR="0008009C" w:rsidRDefault="0008009C">
            <w:pPr>
              <w:rPr>
                <w:rFonts w:ascii="宋体"/>
                <w:vanish/>
              </w:rPr>
            </w:pPr>
          </w:p>
        </w:tc>
        <w:tc>
          <w:tcPr>
            <w:tcW w:w="0" w:type="auto"/>
            <w:gridSpan w:val="3"/>
            <w:shd w:val="clear" w:color="auto" w:fill="auto"/>
          </w:tcPr>
          <w:p w14:paraId="5C7C5DBF" w14:textId="77777777" w:rsidR="0008009C" w:rsidRDefault="0008009C">
            <w:pPr>
              <w:rPr>
                <w:rFonts w:ascii="宋体"/>
                <w:vanish/>
              </w:rPr>
            </w:pPr>
          </w:p>
        </w:tc>
      </w:tr>
      <w:tr w:rsidR="0008009C" w14:paraId="5C7C5DCC" w14:textId="77777777">
        <w:tc>
          <w:tcPr>
            <w:tcW w:w="0" w:type="auto"/>
            <w:gridSpan w:val="3"/>
            <w:shd w:val="clear" w:color="auto" w:fill="auto"/>
            <w:tcMar>
              <w:top w:w="0" w:type="dxa"/>
              <w:left w:w="20" w:type="dxa"/>
              <w:bottom w:w="0" w:type="dxa"/>
              <w:right w:w="20" w:type="dxa"/>
            </w:tcMar>
          </w:tcPr>
          <w:p w14:paraId="5C7C5DC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DC2"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DC3" w14:textId="77777777" w:rsidR="0008009C" w:rsidRDefault="00936FDF">
            <w:pPr>
              <w:jc w:val="right"/>
              <w:textAlignment w:val="bottom"/>
            </w:pPr>
            <w:r>
              <w:rPr>
                <w:rFonts w:ascii="Arial" w:eastAsia="宋体" w:hAnsi="Arial" w:cs="Arial"/>
                <w:b/>
                <w:bCs/>
                <w:color w:val="0068B5"/>
                <w:sz w:val="18"/>
                <w:szCs w:val="18"/>
              </w:rPr>
              <w:t>15,268</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DC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DC5"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5DC6" w14:textId="77777777" w:rsidR="0008009C" w:rsidRDefault="00936FDF">
            <w:pPr>
              <w:jc w:val="right"/>
              <w:textAlignment w:val="bottom"/>
            </w:pPr>
            <w:r>
              <w:rPr>
                <w:rFonts w:ascii="Arial" w:eastAsia="宋体" w:hAnsi="Arial" w:cs="Arial"/>
                <w:b/>
                <w:bCs/>
                <w:color w:val="262626"/>
                <w:sz w:val="18"/>
                <w:szCs w:val="18"/>
              </w:rPr>
              <w:t>15,934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5DC7" w14:textId="77777777" w:rsidR="0008009C" w:rsidRDefault="0008009C">
            <w:pPr>
              <w:jc w:val="right"/>
              <w:rPr>
                <w:rFonts w:ascii="宋体"/>
              </w:rPr>
            </w:pPr>
          </w:p>
        </w:tc>
        <w:tc>
          <w:tcPr>
            <w:tcW w:w="0" w:type="auto"/>
            <w:shd w:val="clear" w:color="auto" w:fill="auto"/>
          </w:tcPr>
          <w:p w14:paraId="5C7C5DC8" w14:textId="77777777" w:rsidR="0008009C" w:rsidRDefault="0008009C">
            <w:pPr>
              <w:rPr>
                <w:rFonts w:ascii="宋体"/>
                <w:vanish/>
              </w:rPr>
            </w:pPr>
          </w:p>
        </w:tc>
        <w:tc>
          <w:tcPr>
            <w:tcW w:w="0" w:type="auto"/>
            <w:shd w:val="clear" w:color="auto" w:fill="auto"/>
          </w:tcPr>
          <w:p w14:paraId="5C7C5DC9" w14:textId="77777777" w:rsidR="0008009C" w:rsidRDefault="0008009C">
            <w:pPr>
              <w:rPr>
                <w:rFonts w:ascii="宋体"/>
                <w:vanish/>
              </w:rPr>
            </w:pPr>
          </w:p>
        </w:tc>
        <w:tc>
          <w:tcPr>
            <w:tcW w:w="0" w:type="auto"/>
            <w:gridSpan w:val="3"/>
            <w:shd w:val="clear" w:color="auto" w:fill="auto"/>
          </w:tcPr>
          <w:p w14:paraId="5C7C5DCA" w14:textId="77777777" w:rsidR="0008009C" w:rsidRDefault="0008009C">
            <w:pPr>
              <w:rPr>
                <w:rFonts w:ascii="宋体"/>
                <w:vanish/>
              </w:rPr>
            </w:pPr>
          </w:p>
        </w:tc>
        <w:tc>
          <w:tcPr>
            <w:tcW w:w="0" w:type="auto"/>
            <w:gridSpan w:val="3"/>
            <w:shd w:val="clear" w:color="auto" w:fill="auto"/>
          </w:tcPr>
          <w:p w14:paraId="5C7C5DCB" w14:textId="77777777" w:rsidR="0008009C" w:rsidRDefault="0008009C">
            <w:pPr>
              <w:rPr>
                <w:rFonts w:ascii="宋体"/>
                <w:vanish/>
              </w:rPr>
            </w:pPr>
          </w:p>
        </w:tc>
      </w:tr>
      <w:tr w:rsidR="0008009C" w14:paraId="5C7C5DD6" w14:textId="77777777">
        <w:trPr>
          <w:hidden/>
        </w:trPr>
        <w:tc>
          <w:tcPr>
            <w:tcW w:w="0" w:type="auto"/>
            <w:gridSpan w:val="3"/>
            <w:shd w:val="clear" w:color="auto" w:fill="auto"/>
          </w:tcPr>
          <w:p w14:paraId="5C7C5DCD" w14:textId="77777777" w:rsidR="0008009C" w:rsidRDefault="0008009C">
            <w:pPr>
              <w:rPr>
                <w:rFonts w:ascii="宋体"/>
                <w:vanish/>
              </w:rPr>
            </w:pPr>
          </w:p>
        </w:tc>
        <w:tc>
          <w:tcPr>
            <w:tcW w:w="0" w:type="auto"/>
            <w:gridSpan w:val="3"/>
            <w:shd w:val="clear" w:color="auto" w:fill="auto"/>
          </w:tcPr>
          <w:p w14:paraId="5C7C5DCE" w14:textId="77777777" w:rsidR="0008009C" w:rsidRDefault="0008009C">
            <w:pPr>
              <w:rPr>
                <w:rFonts w:ascii="宋体"/>
                <w:vanish/>
              </w:rPr>
            </w:pPr>
          </w:p>
        </w:tc>
        <w:tc>
          <w:tcPr>
            <w:tcW w:w="0" w:type="auto"/>
            <w:gridSpan w:val="3"/>
            <w:shd w:val="clear" w:color="auto" w:fill="auto"/>
          </w:tcPr>
          <w:p w14:paraId="5C7C5DCF" w14:textId="77777777" w:rsidR="0008009C" w:rsidRDefault="0008009C">
            <w:pPr>
              <w:rPr>
                <w:rFonts w:ascii="宋体"/>
                <w:vanish/>
              </w:rPr>
            </w:pPr>
          </w:p>
        </w:tc>
        <w:tc>
          <w:tcPr>
            <w:tcW w:w="0" w:type="auto"/>
            <w:gridSpan w:val="3"/>
            <w:shd w:val="clear" w:color="auto" w:fill="auto"/>
          </w:tcPr>
          <w:p w14:paraId="5C7C5DD0" w14:textId="77777777" w:rsidR="0008009C" w:rsidRDefault="0008009C">
            <w:pPr>
              <w:rPr>
                <w:rFonts w:ascii="宋体"/>
                <w:vanish/>
              </w:rPr>
            </w:pPr>
          </w:p>
        </w:tc>
        <w:tc>
          <w:tcPr>
            <w:tcW w:w="0" w:type="auto"/>
            <w:gridSpan w:val="3"/>
            <w:shd w:val="clear" w:color="auto" w:fill="auto"/>
          </w:tcPr>
          <w:p w14:paraId="5C7C5DD1" w14:textId="77777777" w:rsidR="0008009C" w:rsidRDefault="0008009C">
            <w:pPr>
              <w:rPr>
                <w:rFonts w:ascii="宋体"/>
                <w:vanish/>
              </w:rPr>
            </w:pPr>
          </w:p>
        </w:tc>
        <w:tc>
          <w:tcPr>
            <w:tcW w:w="0" w:type="auto"/>
            <w:shd w:val="clear" w:color="auto" w:fill="auto"/>
          </w:tcPr>
          <w:p w14:paraId="5C7C5DD2" w14:textId="77777777" w:rsidR="0008009C" w:rsidRDefault="0008009C">
            <w:pPr>
              <w:rPr>
                <w:rFonts w:ascii="宋体"/>
                <w:vanish/>
              </w:rPr>
            </w:pPr>
          </w:p>
        </w:tc>
        <w:tc>
          <w:tcPr>
            <w:tcW w:w="0" w:type="auto"/>
            <w:shd w:val="clear" w:color="auto" w:fill="auto"/>
          </w:tcPr>
          <w:p w14:paraId="5C7C5DD3" w14:textId="77777777" w:rsidR="0008009C" w:rsidRDefault="0008009C">
            <w:pPr>
              <w:rPr>
                <w:rFonts w:ascii="宋体"/>
                <w:vanish/>
              </w:rPr>
            </w:pPr>
          </w:p>
        </w:tc>
        <w:tc>
          <w:tcPr>
            <w:tcW w:w="0" w:type="auto"/>
            <w:gridSpan w:val="3"/>
            <w:shd w:val="clear" w:color="auto" w:fill="auto"/>
          </w:tcPr>
          <w:p w14:paraId="5C7C5DD4" w14:textId="77777777" w:rsidR="0008009C" w:rsidRDefault="0008009C">
            <w:pPr>
              <w:rPr>
                <w:rFonts w:ascii="宋体"/>
                <w:vanish/>
              </w:rPr>
            </w:pPr>
          </w:p>
        </w:tc>
        <w:tc>
          <w:tcPr>
            <w:tcW w:w="0" w:type="auto"/>
            <w:gridSpan w:val="3"/>
            <w:shd w:val="clear" w:color="auto" w:fill="auto"/>
          </w:tcPr>
          <w:p w14:paraId="5C7C5DD5" w14:textId="77777777" w:rsidR="0008009C" w:rsidRDefault="0008009C">
            <w:pPr>
              <w:rPr>
                <w:rFonts w:ascii="宋体"/>
                <w:vanish/>
              </w:rPr>
            </w:pPr>
          </w:p>
        </w:tc>
      </w:tr>
      <w:tr w:rsidR="0008009C" w14:paraId="5C7C5DE2" w14:textId="77777777">
        <w:tc>
          <w:tcPr>
            <w:tcW w:w="0" w:type="auto"/>
            <w:gridSpan w:val="3"/>
            <w:shd w:val="clear" w:color="auto" w:fill="auto"/>
            <w:tcMar>
              <w:top w:w="40" w:type="dxa"/>
              <w:left w:w="20" w:type="dxa"/>
              <w:bottom w:w="40" w:type="dxa"/>
              <w:right w:w="20" w:type="dxa"/>
            </w:tcMar>
            <w:vAlign w:val="bottom"/>
          </w:tcPr>
          <w:p w14:paraId="5C7C5DD7" w14:textId="77777777" w:rsidR="0008009C" w:rsidRDefault="00936FDF">
            <w:pPr>
              <w:textAlignment w:val="bottom"/>
            </w:pPr>
            <w:r>
              <w:rPr>
                <w:rFonts w:ascii="Arial" w:eastAsia="宋体" w:hAnsi="Arial" w:cs="Arial"/>
                <w:b/>
                <w:bCs/>
                <w:color w:val="262626"/>
                <w:sz w:val="18"/>
                <w:szCs w:val="18"/>
              </w:rPr>
              <w:t>Adjacent revenue</w:t>
            </w:r>
            <w:r>
              <w:rPr>
                <w:rFonts w:ascii="Arial" w:eastAsia="宋体" w:hAnsi="Arial" w:cs="Arial"/>
                <w:b/>
                <w:bCs/>
                <w:color w:val="262626"/>
                <w:sz w:val="11"/>
                <w:szCs w:val="11"/>
              </w:rPr>
              <w:t>2</w:t>
            </w:r>
          </w:p>
        </w:tc>
        <w:tc>
          <w:tcPr>
            <w:tcW w:w="0" w:type="auto"/>
            <w:gridSpan w:val="3"/>
            <w:shd w:val="clear" w:color="auto" w:fill="auto"/>
            <w:tcMar>
              <w:top w:w="0" w:type="dxa"/>
              <w:left w:w="20" w:type="dxa"/>
              <w:bottom w:w="0" w:type="dxa"/>
              <w:right w:w="20" w:type="dxa"/>
            </w:tcMar>
          </w:tcPr>
          <w:p w14:paraId="5C7C5DD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D9" w14:textId="77777777" w:rsidR="0008009C" w:rsidRDefault="00936FDF">
            <w:pPr>
              <w:jc w:val="right"/>
              <w:textAlignment w:val="bottom"/>
            </w:pPr>
            <w:r>
              <w:rPr>
                <w:rFonts w:ascii="Arial" w:eastAsia="宋体" w:hAnsi="Arial" w:cs="Arial"/>
                <w:b/>
                <w:bCs/>
                <w:color w:val="0068B5"/>
                <w:sz w:val="18"/>
                <w:szCs w:val="18"/>
              </w:rPr>
              <w:t>4,405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DD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DD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DDC" w14:textId="77777777" w:rsidR="0008009C" w:rsidRDefault="00936FDF">
            <w:pPr>
              <w:jc w:val="right"/>
              <w:textAlignment w:val="bottom"/>
            </w:pPr>
            <w:r>
              <w:rPr>
                <w:rFonts w:ascii="Arial" w:eastAsia="宋体" w:hAnsi="Arial" w:cs="Arial"/>
                <w:b/>
                <w:bCs/>
                <w:color w:val="262626"/>
                <w:sz w:val="18"/>
                <w:szCs w:val="18"/>
              </w:rPr>
              <w:t>3,894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DDD" w14:textId="77777777" w:rsidR="0008009C" w:rsidRDefault="0008009C">
            <w:pPr>
              <w:jc w:val="right"/>
              <w:rPr>
                <w:rFonts w:ascii="宋体"/>
              </w:rPr>
            </w:pPr>
          </w:p>
        </w:tc>
        <w:tc>
          <w:tcPr>
            <w:tcW w:w="0" w:type="auto"/>
            <w:shd w:val="clear" w:color="auto" w:fill="auto"/>
          </w:tcPr>
          <w:p w14:paraId="5C7C5DDE" w14:textId="77777777" w:rsidR="0008009C" w:rsidRDefault="0008009C">
            <w:pPr>
              <w:rPr>
                <w:rFonts w:ascii="宋体"/>
                <w:vanish/>
              </w:rPr>
            </w:pPr>
          </w:p>
        </w:tc>
        <w:tc>
          <w:tcPr>
            <w:tcW w:w="0" w:type="auto"/>
            <w:shd w:val="clear" w:color="auto" w:fill="auto"/>
          </w:tcPr>
          <w:p w14:paraId="5C7C5DDF" w14:textId="77777777" w:rsidR="0008009C" w:rsidRDefault="0008009C">
            <w:pPr>
              <w:rPr>
                <w:rFonts w:ascii="宋体"/>
                <w:vanish/>
              </w:rPr>
            </w:pPr>
          </w:p>
        </w:tc>
        <w:tc>
          <w:tcPr>
            <w:tcW w:w="0" w:type="auto"/>
            <w:gridSpan w:val="3"/>
            <w:shd w:val="clear" w:color="auto" w:fill="auto"/>
          </w:tcPr>
          <w:p w14:paraId="5C7C5DE0" w14:textId="77777777" w:rsidR="0008009C" w:rsidRDefault="0008009C">
            <w:pPr>
              <w:rPr>
                <w:rFonts w:ascii="宋体"/>
                <w:vanish/>
              </w:rPr>
            </w:pPr>
          </w:p>
        </w:tc>
        <w:tc>
          <w:tcPr>
            <w:tcW w:w="0" w:type="auto"/>
            <w:gridSpan w:val="3"/>
            <w:shd w:val="clear" w:color="auto" w:fill="auto"/>
          </w:tcPr>
          <w:p w14:paraId="5C7C5DE1" w14:textId="77777777" w:rsidR="0008009C" w:rsidRDefault="0008009C">
            <w:pPr>
              <w:rPr>
                <w:rFonts w:ascii="宋体"/>
                <w:vanish/>
              </w:rPr>
            </w:pPr>
          </w:p>
        </w:tc>
      </w:tr>
      <w:tr w:rsidR="0008009C" w14:paraId="5C7C5DF0" w14:textId="77777777">
        <w:tc>
          <w:tcPr>
            <w:tcW w:w="0" w:type="auto"/>
            <w:gridSpan w:val="3"/>
            <w:shd w:val="clear" w:color="auto" w:fill="auto"/>
            <w:tcMar>
              <w:top w:w="40" w:type="dxa"/>
              <w:left w:w="20" w:type="dxa"/>
              <w:bottom w:w="40" w:type="dxa"/>
              <w:right w:w="20" w:type="dxa"/>
            </w:tcMar>
            <w:vAlign w:val="bottom"/>
          </w:tcPr>
          <w:p w14:paraId="5C7C5DE3" w14:textId="77777777" w:rsidR="0008009C" w:rsidRDefault="00936FDF">
            <w:pPr>
              <w:textAlignment w:val="bottom"/>
            </w:pPr>
            <w:r>
              <w:rPr>
                <w:rFonts w:ascii="Arial" w:eastAsia="宋体" w:hAnsi="Arial" w:cs="Arial"/>
                <w:b/>
                <w:bCs/>
                <w:color w:val="262626"/>
                <w:sz w:val="18"/>
                <w:szCs w:val="18"/>
              </w:rPr>
              <w:t>Total revenue</w:t>
            </w:r>
          </w:p>
        </w:tc>
        <w:tc>
          <w:tcPr>
            <w:tcW w:w="0" w:type="auto"/>
            <w:gridSpan w:val="3"/>
            <w:shd w:val="clear" w:color="auto" w:fill="auto"/>
            <w:tcMar>
              <w:top w:w="0" w:type="dxa"/>
              <w:left w:w="20" w:type="dxa"/>
              <w:bottom w:w="0" w:type="dxa"/>
              <w:right w:w="20" w:type="dxa"/>
            </w:tcMar>
          </w:tcPr>
          <w:p w14:paraId="5C7C5DE4"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DE5"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DE6" w14:textId="77777777" w:rsidR="0008009C" w:rsidRDefault="00936FDF">
            <w:pPr>
              <w:jc w:val="right"/>
              <w:textAlignment w:val="bottom"/>
            </w:pPr>
            <w:r>
              <w:rPr>
                <w:rFonts w:ascii="Arial" w:eastAsia="宋体" w:hAnsi="Arial" w:cs="Arial"/>
                <w:b/>
                <w:bCs/>
                <w:color w:val="0068B5"/>
                <w:sz w:val="18"/>
                <w:szCs w:val="18"/>
              </w:rPr>
              <w:t>19,673</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DE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DE8"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DE9"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DEA" w14:textId="77777777" w:rsidR="0008009C" w:rsidRDefault="00936FDF">
            <w:pPr>
              <w:jc w:val="right"/>
              <w:textAlignment w:val="bottom"/>
            </w:pPr>
            <w:r>
              <w:rPr>
                <w:rFonts w:ascii="Arial" w:eastAsia="宋体" w:hAnsi="Arial" w:cs="Arial"/>
                <w:b/>
                <w:bCs/>
                <w:color w:val="262626"/>
                <w:sz w:val="18"/>
                <w:szCs w:val="18"/>
              </w:rPr>
              <w:t>19,828</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DEB" w14:textId="77777777" w:rsidR="0008009C" w:rsidRDefault="0008009C">
            <w:pPr>
              <w:jc w:val="right"/>
              <w:rPr>
                <w:rFonts w:ascii="宋体"/>
              </w:rPr>
            </w:pPr>
          </w:p>
        </w:tc>
        <w:tc>
          <w:tcPr>
            <w:tcW w:w="0" w:type="auto"/>
            <w:shd w:val="clear" w:color="auto" w:fill="auto"/>
          </w:tcPr>
          <w:p w14:paraId="5C7C5DEC" w14:textId="77777777" w:rsidR="0008009C" w:rsidRDefault="0008009C">
            <w:pPr>
              <w:rPr>
                <w:rFonts w:ascii="宋体"/>
                <w:vanish/>
              </w:rPr>
            </w:pPr>
          </w:p>
        </w:tc>
        <w:tc>
          <w:tcPr>
            <w:tcW w:w="0" w:type="auto"/>
            <w:shd w:val="clear" w:color="auto" w:fill="auto"/>
          </w:tcPr>
          <w:p w14:paraId="5C7C5DED" w14:textId="77777777" w:rsidR="0008009C" w:rsidRDefault="0008009C">
            <w:pPr>
              <w:rPr>
                <w:rFonts w:ascii="宋体"/>
                <w:vanish/>
              </w:rPr>
            </w:pPr>
          </w:p>
        </w:tc>
        <w:tc>
          <w:tcPr>
            <w:tcW w:w="0" w:type="auto"/>
            <w:gridSpan w:val="3"/>
            <w:shd w:val="clear" w:color="auto" w:fill="auto"/>
          </w:tcPr>
          <w:p w14:paraId="5C7C5DEE" w14:textId="77777777" w:rsidR="0008009C" w:rsidRDefault="0008009C">
            <w:pPr>
              <w:rPr>
                <w:rFonts w:ascii="宋体"/>
                <w:vanish/>
              </w:rPr>
            </w:pPr>
          </w:p>
        </w:tc>
        <w:tc>
          <w:tcPr>
            <w:tcW w:w="0" w:type="auto"/>
            <w:gridSpan w:val="3"/>
            <w:shd w:val="clear" w:color="auto" w:fill="auto"/>
          </w:tcPr>
          <w:p w14:paraId="5C7C5DEF" w14:textId="77777777" w:rsidR="0008009C" w:rsidRDefault="0008009C">
            <w:pPr>
              <w:rPr>
                <w:rFonts w:ascii="宋体"/>
                <w:vanish/>
              </w:rPr>
            </w:pPr>
          </w:p>
        </w:tc>
      </w:tr>
    </w:tbl>
    <w:p w14:paraId="5C7C5DF1" w14:textId="77777777" w:rsidR="0008009C" w:rsidRDefault="00936FDF">
      <w:pPr>
        <w:spacing w:before="180"/>
        <w:ind w:hanging="180"/>
      </w:pPr>
      <w:r>
        <w:rPr>
          <w:rFonts w:ascii="Arial" w:eastAsia="宋体" w:hAnsi="Arial" w:cs="Arial"/>
          <w:i/>
          <w:iCs/>
          <w:color w:val="262626"/>
          <w:sz w:val="10"/>
          <w:szCs w:val="10"/>
        </w:rPr>
        <w:t>1    </w:t>
      </w:r>
      <w:r>
        <w:rPr>
          <w:rFonts w:ascii="Arial" w:eastAsia="宋体" w:hAnsi="Arial" w:cs="Arial"/>
          <w:i/>
          <w:iCs/>
          <w:color w:val="262626"/>
          <w:sz w:val="16"/>
          <w:szCs w:val="16"/>
        </w:rPr>
        <w:t>Includes our tablet and service provider revenue.</w:t>
      </w:r>
    </w:p>
    <w:p w14:paraId="5C7C5DF2" w14:textId="77777777" w:rsidR="0008009C" w:rsidRDefault="00936FDF">
      <w:pPr>
        <w:spacing w:after="180"/>
        <w:ind w:hanging="180"/>
      </w:pPr>
      <w:r>
        <w:rPr>
          <w:rFonts w:ascii="Arial" w:eastAsia="宋体" w:hAnsi="Arial" w:cs="Arial"/>
          <w:i/>
          <w:iCs/>
          <w:color w:val="262626"/>
          <w:sz w:val="10"/>
          <w:szCs w:val="10"/>
        </w:rPr>
        <w:t>2    </w:t>
      </w:r>
      <w:r>
        <w:rPr>
          <w:rFonts w:ascii="Arial" w:eastAsia="宋体" w:hAnsi="Arial" w:cs="Arial"/>
          <w:i/>
          <w:iCs/>
          <w:color w:val="262626"/>
          <w:sz w:val="16"/>
          <w:szCs w:val="16"/>
        </w:rPr>
        <w:t>Includes all of our non-platform products for DCG, IOTG, and CCG such as modem, Ethernet, and silicon photonics, as well as Mobileye, NSG, and PSG products, as well as revenue included i</w:t>
      </w:r>
      <w:r>
        <w:rPr>
          <w:rFonts w:ascii="Arial" w:eastAsia="宋体" w:hAnsi="Arial" w:cs="Arial"/>
          <w:i/>
          <w:iCs/>
          <w:color w:val="262626"/>
          <w:sz w:val="16"/>
          <w:szCs w:val="16"/>
        </w:rPr>
        <w:t>n our "all other" category.</w:t>
      </w:r>
    </w:p>
    <w:p w14:paraId="5C7C5DF3" w14:textId="77777777" w:rsidR="0008009C" w:rsidRDefault="0008009C">
      <w:pPr>
        <w:spacing w:after="180"/>
      </w:pPr>
    </w:p>
    <w:p w14:paraId="5C7C5DF4" w14:textId="77777777" w:rsidR="0008009C" w:rsidRDefault="0008009C">
      <w:pPr>
        <w:spacing w:after="180"/>
      </w:pPr>
    </w:p>
    <w:p w14:paraId="5C7C5DF5" w14:textId="77777777" w:rsidR="0008009C" w:rsidRDefault="0008009C">
      <w:pPr>
        <w:spacing w:after="180"/>
      </w:pPr>
    </w:p>
    <w:p w14:paraId="5C7C5DF6" w14:textId="77777777" w:rsidR="0008009C" w:rsidRDefault="0008009C">
      <w:pPr>
        <w:spacing w:after="180"/>
      </w:pPr>
    </w:p>
    <w:p w14:paraId="5C7C5DF7" w14:textId="77777777" w:rsidR="0008009C" w:rsidRDefault="0008009C">
      <w:pPr>
        <w:spacing w:after="180"/>
      </w:pPr>
    </w:p>
    <w:p w14:paraId="5C7C5DF8" w14:textId="77777777" w:rsidR="0008009C" w:rsidRDefault="0008009C">
      <w:pPr>
        <w:spacing w:after="180"/>
      </w:pPr>
    </w:p>
    <w:p w14:paraId="5C7C5DF9" w14:textId="77777777" w:rsidR="0008009C" w:rsidRDefault="0008009C">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8009C" w14:paraId="5C7C5E06" w14:textId="77777777">
        <w:tc>
          <w:tcPr>
            <w:tcW w:w="50" w:type="pct"/>
            <w:shd w:val="clear" w:color="auto" w:fill="auto"/>
            <w:vAlign w:val="bottom"/>
          </w:tcPr>
          <w:p w14:paraId="5C7C5DFA" w14:textId="77777777" w:rsidR="0008009C" w:rsidRDefault="0008009C">
            <w:pPr>
              <w:rPr>
                <w:rFonts w:ascii="宋体"/>
              </w:rPr>
            </w:pPr>
          </w:p>
        </w:tc>
        <w:tc>
          <w:tcPr>
            <w:tcW w:w="238" w:type="pct"/>
            <w:shd w:val="clear" w:color="auto" w:fill="auto"/>
            <w:vAlign w:val="bottom"/>
          </w:tcPr>
          <w:p w14:paraId="5C7C5DFB" w14:textId="77777777" w:rsidR="0008009C" w:rsidRDefault="0008009C">
            <w:pPr>
              <w:rPr>
                <w:rFonts w:ascii="宋体"/>
              </w:rPr>
            </w:pPr>
          </w:p>
        </w:tc>
        <w:tc>
          <w:tcPr>
            <w:tcW w:w="5" w:type="pct"/>
            <w:shd w:val="clear" w:color="auto" w:fill="auto"/>
            <w:vAlign w:val="bottom"/>
          </w:tcPr>
          <w:p w14:paraId="5C7C5DFC" w14:textId="77777777" w:rsidR="0008009C" w:rsidRDefault="0008009C">
            <w:pPr>
              <w:rPr>
                <w:rFonts w:ascii="宋体"/>
              </w:rPr>
            </w:pPr>
          </w:p>
        </w:tc>
        <w:tc>
          <w:tcPr>
            <w:tcW w:w="50" w:type="pct"/>
            <w:shd w:val="clear" w:color="auto" w:fill="auto"/>
            <w:vAlign w:val="bottom"/>
          </w:tcPr>
          <w:p w14:paraId="5C7C5DFD" w14:textId="77777777" w:rsidR="0008009C" w:rsidRDefault="0008009C">
            <w:pPr>
              <w:rPr>
                <w:rFonts w:ascii="宋体"/>
              </w:rPr>
            </w:pPr>
          </w:p>
        </w:tc>
        <w:tc>
          <w:tcPr>
            <w:tcW w:w="983" w:type="pct"/>
            <w:shd w:val="clear" w:color="auto" w:fill="auto"/>
            <w:vAlign w:val="bottom"/>
          </w:tcPr>
          <w:p w14:paraId="5C7C5DFE" w14:textId="77777777" w:rsidR="0008009C" w:rsidRDefault="0008009C">
            <w:pPr>
              <w:rPr>
                <w:rFonts w:ascii="宋体"/>
              </w:rPr>
            </w:pPr>
          </w:p>
        </w:tc>
        <w:tc>
          <w:tcPr>
            <w:tcW w:w="5" w:type="pct"/>
            <w:shd w:val="clear" w:color="auto" w:fill="auto"/>
            <w:vAlign w:val="bottom"/>
          </w:tcPr>
          <w:p w14:paraId="5C7C5DFF" w14:textId="77777777" w:rsidR="0008009C" w:rsidRDefault="0008009C">
            <w:pPr>
              <w:rPr>
                <w:rFonts w:ascii="宋体"/>
              </w:rPr>
            </w:pPr>
          </w:p>
        </w:tc>
        <w:tc>
          <w:tcPr>
            <w:tcW w:w="50" w:type="pct"/>
            <w:shd w:val="clear" w:color="auto" w:fill="auto"/>
            <w:vAlign w:val="bottom"/>
          </w:tcPr>
          <w:p w14:paraId="5C7C5E00" w14:textId="77777777" w:rsidR="0008009C" w:rsidRDefault="0008009C">
            <w:pPr>
              <w:rPr>
                <w:rFonts w:ascii="宋体"/>
              </w:rPr>
            </w:pPr>
          </w:p>
        </w:tc>
        <w:tc>
          <w:tcPr>
            <w:tcW w:w="2035" w:type="pct"/>
            <w:shd w:val="clear" w:color="auto" w:fill="auto"/>
            <w:vAlign w:val="bottom"/>
          </w:tcPr>
          <w:p w14:paraId="5C7C5E01" w14:textId="77777777" w:rsidR="0008009C" w:rsidRDefault="0008009C">
            <w:pPr>
              <w:rPr>
                <w:rFonts w:ascii="宋体"/>
              </w:rPr>
            </w:pPr>
          </w:p>
        </w:tc>
        <w:tc>
          <w:tcPr>
            <w:tcW w:w="5" w:type="pct"/>
            <w:shd w:val="clear" w:color="auto" w:fill="auto"/>
            <w:vAlign w:val="bottom"/>
          </w:tcPr>
          <w:p w14:paraId="5C7C5E02" w14:textId="77777777" w:rsidR="0008009C" w:rsidRDefault="0008009C">
            <w:pPr>
              <w:rPr>
                <w:rFonts w:ascii="宋体"/>
              </w:rPr>
            </w:pPr>
          </w:p>
        </w:tc>
        <w:tc>
          <w:tcPr>
            <w:tcW w:w="50" w:type="pct"/>
            <w:shd w:val="clear" w:color="auto" w:fill="auto"/>
            <w:vAlign w:val="bottom"/>
          </w:tcPr>
          <w:p w14:paraId="5C7C5E03" w14:textId="77777777" w:rsidR="0008009C" w:rsidRDefault="0008009C">
            <w:pPr>
              <w:rPr>
                <w:rFonts w:ascii="宋体"/>
              </w:rPr>
            </w:pPr>
          </w:p>
        </w:tc>
        <w:tc>
          <w:tcPr>
            <w:tcW w:w="1522" w:type="pct"/>
            <w:shd w:val="clear" w:color="auto" w:fill="auto"/>
            <w:vAlign w:val="bottom"/>
          </w:tcPr>
          <w:p w14:paraId="5C7C5E04" w14:textId="77777777" w:rsidR="0008009C" w:rsidRDefault="0008009C">
            <w:pPr>
              <w:rPr>
                <w:rFonts w:ascii="宋体"/>
              </w:rPr>
            </w:pPr>
          </w:p>
        </w:tc>
        <w:tc>
          <w:tcPr>
            <w:tcW w:w="5" w:type="pct"/>
            <w:shd w:val="clear" w:color="auto" w:fill="auto"/>
            <w:vAlign w:val="bottom"/>
          </w:tcPr>
          <w:p w14:paraId="5C7C5E05" w14:textId="77777777" w:rsidR="0008009C" w:rsidRDefault="0008009C">
            <w:pPr>
              <w:rPr>
                <w:rFonts w:ascii="宋体"/>
              </w:rPr>
            </w:pPr>
          </w:p>
        </w:tc>
      </w:tr>
      <w:tr w:rsidR="0008009C" w14:paraId="5C7C5E0B"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5E07"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05" wp14:editId="5C7C7D06">
                  <wp:extent cx="304800" cy="304800"/>
                  <wp:effectExtent l="0" t="0" r="0" b="0"/>
                  <wp:docPr id="103" name="图片 57"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7"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E08"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5E09" w14:textId="77777777" w:rsidR="0008009C" w:rsidRDefault="00936FDF">
            <w:pPr>
              <w:textAlignment w:val="center"/>
            </w:pPr>
            <w:r>
              <w:rPr>
                <w:rFonts w:ascii="Arial" w:eastAsia="宋体" w:hAnsi="Arial" w:cs="Arial"/>
                <w:color w:val="262626"/>
                <w:sz w:val="16"/>
                <w:szCs w:val="16"/>
              </w:rPr>
              <w:t> Notes to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E0A" w14:textId="77777777" w:rsidR="0008009C" w:rsidRDefault="00936FDF">
            <w:pPr>
              <w:jc w:val="right"/>
              <w:textAlignment w:val="center"/>
            </w:pPr>
            <w:r>
              <w:rPr>
                <w:rFonts w:ascii="Arial" w:eastAsia="宋体" w:hAnsi="Arial" w:cs="Arial"/>
                <w:color w:val="262626"/>
                <w:sz w:val="16"/>
                <w:szCs w:val="16"/>
              </w:rPr>
              <w:t>9</w:t>
            </w:r>
          </w:p>
        </w:tc>
      </w:tr>
    </w:tbl>
    <w:p w14:paraId="5C7C5E0C" w14:textId="77777777" w:rsidR="0008009C" w:rsidRDefault="00936FDF">
      <w:r>
        <w:pict w14:anchorId="5C7C7D07">
          <v:rect id="_x0000_i1035" style="width:415.3pt;height:1.5pt" o:hralign="center" o:hrstd="t" o:hr="t" fillcolor="#a0a0a0" stroked="f"/>
        </w:pict>
      </w:r>
    </w:p>
    <w:p w14:paraId="5C7C5E0D" w14:textId="77777777" w:rsidR="0008009C" w:rsidRDefault="00936FDF">
      <w:pPr>
        <w:spacing w:after="180"/>
        <w:jc w:val="right"/>
      </w:pPr>
      <w:hyperlink r:id="rId35" w:anchor="i3a00378f6cc84b1c9cfc83239548ad53_7" w:history="1">
        <w:r>
          <w:rPr>
            <w:rStyle w:val="a5"/>
            <w:rFonts w:ascii="Arial" w:eastAsia="宋体" w:hAnsi="Arial" w:cs="Arial"/>
            <w:b/>
            <w:bCs/>
            <w:sz w:val="16"/>
            <w:szCs w:val="16"/>
          </w:rPr>
          <w:t>Table of Contents</w:t>
        </w:r>
      </w:hyperlink>
    </w:p>
    <w:p w14:paraId="5C7C5E0E" w14:textId="77777777" w:rsidR="0008009C" w:rsidRDefault="0008009C">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8009C" w14:paraId="5C7C5E15" w14:textId="77777777">
        <w:tc>
          <w:tcPr>
            <w:tcW w:w="50" w:type="pct"/>
            <w:shd w:val="clear" w:color="auto" w:fill="auto"/>
          </w:tcPr>
          <w:p w14:paraId="5C7C5E0F" w14:textId="77777777" w:rsidR="0008009C" w:rsidRDefault="0008009C">
            <w:pPr>
              <w:rPr>
                <w:rFonts w:ascii="宋体"/>
              </w:rPr>
            </w:pPr>
          </w:p>
        </w:tc>
        <w:tc>
          <w:tcPr>
            <w:tcW w:w="511" w:type="pct"/>
            <w:shd w:val="clear" w:color="auto" w:fill="auto"/>
          </w:tcPr>
          <w:p w14:paraId="5C7C5E10" w14:textId="77777777" w:rsidR="0008009C" w:rsidRDefault="0008009C">
            <w:pPr>
              <w:rPr>
                <w:rFonts w:ascii="宋体"/>
              </w:rPr>
            </w:pPr>
          </w:p>
        </w:tc>
        <w:tc>
          <w:tcPr>
            <w:tcW w:w="5" w:type="pct"/>
            <w:shd w:val="clear" w:color="auto" w:fill="auto"/>
          </w:tcPr>
          <w:p w14:paraId="5C7C5E11" w14:textId="77777777" w:rsidR="0008009C" w:rsidRDefault="0008009C">
            <w:pPr>
              <w:rPr>
                <w:rFonts w:ascii="宋体"/>
              </w:rPr>
            </w:pPr>
          </w:p>
        </w:tc>
        <w:tc>
          <w:tcPr>
            <w:tcW w:w="50" w:type="pct"/>
            <w:shd w:val="clear" w:color="auto" w:fill="auto"/>
          </w:tcPr>
          <w:p w14:paraId="5C7C5E12" w14:textId="77777777" w:rsidR="0008009C" w:rsidRDefault="0008009C">
            <w:pPr>
              <w:rPr>
                <w:rFonts w:ascii="宋体"/>
              </w:rPr>
            </w:pPr>
          </w:p>
        </w:tc>
        <w:tc>
          <w:tcPr>
            <w:tcW w:w="4378" w:type="pct"/>
            <w:shd w:val="clear" w:color="auto" w:fill="auto"/>
          </w:tcPr>
          <w:p w14:paraId="5C7C5E13" w14:textId="77777777" w:rsidR="0008009C" w:rsidRDefault="0008009C">
            <w:pPr>
              <w:rPr>
                <w:rFonts w:ascii="宋体"/>
              </w:rPr>
            </w:pPr>
          </w:p>
        </w:tc>
        <w:tc>
          <w:tcPr>
            <w:tcW w:w="5" w:type="pct"/>
            <w:shd w:val="clear" w:color="auto" w:fill="auto"/>
          </w:tcPr>
          <w:p w14:paraId="5C7C5E14" w14:textId="77777777" w:rsidR="0008009C" w:rsidRDefault="0008009C">
            <w:pPr>
              <w:rPr>
                <w:rFonts w:ascii="宋体"/>
              </w:rPr>
            </w:pPr>
          </w:p>
        </w:tc>
      </w:tr>
      <w:tr w:rsidR="0008009C" w14:paraId="5C7C5E18"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C7C5E16" w14:textId="77777777" w:rsidR="0008009C" w:rsidRDefault="00936FDF">
            <w:pPr>
              <w:textAlignment w:val="bottom"/>
            </w:pPr>
            <w:r>
              <w:rPr>
                <w:rFonts w:ascii="Arial" w:eastAsia="宋体" w:hAnsi="Arial" w:cs="Arial"/>
                <w:color w:val="FFFFFF"/>
                <w:sz w:val="28"/>
                <w:szCs w:val="28"/>
              </w:rPr>
              <w:t xml:space="preserve">Note 3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C7C5E17" w14:textId="77777777" w:rsidR="0008009C" w:rsidRDefault="00936FDF">
            <w:pPr>
              <w:textAlignment w:val="bottom"/>
            </w:pPr>
            <w:r>
              <w:rPr>
                <w:rFonts w:ascii="Arial" w:eastAsia="宋体" w:hAnsi="Arial" w:cs="Arial"/>
                <w:color w:val="0068B5"/>
                <w:sz w:val="28"/>
                <w:szCs w:val="28"/>
              </w:rPr>
              <w:t>Earnings Per Share</w:t>
            </w:r>
          </w:p>
        </w:tc>
      </w:tr>
    </w:tbl>
    <w:p w14:paraId="5C7C5E19" w14:textId="77777777" w:rsidR="0008009C" w:rsidRDefault="00936FDF">
      <w:pPr>
        <w:spacing w:before="180" w:after="180"/>
      </w:pPr>
      <w:r>
        <w:rPr>
          <w:rFonts w:ascii="Arial" w:eastAsia="宋体" w:hAnsi="Arial" w:cs="Arial"/>
          <w:color w:val="262626"/>
          <w:sz w:val="18"/>
          <w:szCs w:val="18"/>
        </w:rPr>
        <w:t>We computed basic earnings per share of common stock based on the weighted average number of shares of common stock outstanding during the period. We computed diluted earnings per share of common stock based on the weighted average number of shares of comm</w:t>
      </w:r>
      <w:r>
        <w:rPr>
          <w:rFonts w:ascii="Arial" w:eastAsia="宋体" w:hAnsi="Arial" w:cs="Arial"/>
          <w:color w:val="262626"/>
          <w:sz w:val="18"/>
          <w:szCs w:val="18"/>
        </w:rPr>
        <w:t xml:space="preserve">on stock outstanding plus potentially dilutive shares of common stock outstanding during the period. </w:t>
      </w:r>
    </w:p>
    <w:tbl>
      <w:tblPr>
        <w:tblW w:w="5000" w:type="pct"/>
        <w:tblCellMar>
          <w:top w:w="15" w:type="dxa"/>
          <w:left w:w="15" w:type="dxa"/>
          <w:bottom w:w="15" w:type="dxa"/>
          <w:right w:w="15" w:type="dxa"/>
        </w:tblCellMar>
        <w:tblLook w:val="04A0" w:firstRow="1" w:lastRow="0" w:firstColumn="1" w:lastColumn="0" w:noHBand="0" w:noVBand="1"/>
      </w:tblPr>
      <w:tblGrid>
        <w:gridCol w:w="41"/>
        <w:gridCol w:w="6038"/>
        <w:gridCol w:w="39"/>
        <w:gridCol w:w="36"/>
        <w:gridCol w:w="36"/>
        <w:gridCol w:w="36"/>
        <w:gridCol w:w="121"/>
        <w:gridCol w:w="700"/>
        <w:gridCol w:w="36"/>
        <w:gridCol w:w="36"/>
        <w:gridCol w:w="36"/>
        <w:gridCol w:w="36"/>
        <w:gridCol w:w="121"/>
        <w:gridCol w:w="700"/>
        <w:gridCol w:w="36"/>
        <w:gridCol w:w="36"/>
        <w:gridCol w:w="36"/>
        <w:gridCol w:w="36"/>
        <w:gridCol w:w="36"/>
        <w:gridCol w:w="36"/>
        <w:gridCol w:w="36"/>
        <w:gridCol w:w="36"/>
        <w:gridCol w:w="36"/>
      </w:tblGrid>
      <w:tr w:rsidR="0008009C" w14:paraId="5C7C5E2D" w14:textId="77777777">
        <w:tc>
          <w:tcPr>
            <w:tcW w:w="50" w:type="pct"/>
            <w:shd w:val="clear" w:color="auto" w:fill="auto"/>
          </w:tcPr>
          <w:p w14:paraId="5C7C5E1A" w14:textId="77777777" w:rsidR="0008009C" w:rsidRDefault="0008009C">
            <w:pPr>
              <w:rPr>
                <w:rFonts w:ascii="宋体"/>
              </w:rPr>
            </w:pPr>
          </w:p>
        </w:tc>
        <w:tc>
          <w:tcPr>
            <w:tcW w:w="3783" w:type="pct"/>
            <w:shd w:val="clear" w:color="auto" w:fill="auto"/>
          </w:tcPr>
          <w:p w14:paraId="5C7C5E1B" w14:textId="77777777" w:rsidR="0008009C" w:rsidRDefault="0008009C">
            <w:pPr>
              <w:rPr>
                <w:rFonts w:ascii="宋体"/>
              </w:rPr>
            </w:pPr>
          </w:p>
        </w:tc>
        <w:tc>
          <w:tcPr>
            <w:tcW w:w="5" w:type="pct"/>
            <w:shd w:val="clear" w:color="auto" w:fill="auto"/>
          </w:tcPr>
          <w:p w14:paraId="5C7C5E1C" w14:textId="77777777" w:rsidR="0008009C" w:rsidRDefault="0008009C">
            <w:pPr>
              <w:rPr>
                <w:rFonts w:ascii="宋体"/>
              </w:rPr>
            </w:pPr>
          </w:p>
        </w:tc>
        <w:tc>
          <w:tcPr>
            <w:tcW w:w="5" w:type="pct"/>
            <w:shd w:val="clear" w:color="auto" w:fill="auto"/>
          </w:tcPr>
          <w:p w14:paraId="5C7C5E1D" w14:textId="77777777" w:rsidR="0008009C" w:rsidRDefault="0008009C">
            <w:pPr>
              <w:rPr>
                <w:rFonts w:ascii="宋体"/>
              </w:rPr>
            </w:pPr>
          </w:p>
        </w:tc>
        <w:tc>
          <w:tcPr>
            <w:tcW w:w="24" w:type="pct"/>
            <w:shd w:val="clear" w:color="auto" w:fill="auto"/>
          </w:tcPr>
          <w:p w14:paraId="5C7C5E1E" w14:textId="77777777" w:rsidR="0008009C" w:rsidRDefault="0008009C">
            <w:pPr>
              <w:rPr>
                <w:rFonts w:ascii="宋体"/>
              </w:rPr>
            </w:pPr>
          </w:p>
        </w:tc>
        <w:tc>
          <w:tcPr>
            <w:tcW w:w="5" w:type="pct"/>
            <w:shd w:val="clear" w:color="auto" w:fill="auto"/>
          </w:tcPr>
          <w:p w14:paraId="5C7C5E1F" w14:textId="77777777" w:rsidR="0008009C" w:rsidRDefault="0008009C">
            <w:pPr>
              <w:rPr>
                <w:rFonts w:ascii="宋体"/>
              </w:rPr>
            </w:pPr>
          </w:p>
        </w:tc>
        <w:tc>
          <w:tcPr>
            <w:tcW w:w="50" w:type="pct"/>
            <w:shd w:val="clear" w:color="auto" w:fill="auto"/>
          </w:tcPr>
          <w:p w14:paraId="5C7C5E20" w14:textId="77777777" w:rsidR="0008009C" w:rsidRDefault="0008009C">
            <w:pPr>
              <w:rPr>
                <w:rFonts w:ascii="宋体"/>
              </w:rPr>
            </w:pPr>
          </w:p>
        </w:tc>
        <w:tc>
          <w:tcPr>
            <w:tcW w:w="491" w:type="pct"/>
            <w:shd w:val="clear" w:color="auto" w:fill="auto"/>
          </w:tcPr>
          <w:p w14:paraId="5C7C5E21" w14:textId="77777777" w:rsidR="0008009C" w:rsidRDefault="0008009C">
            <w:pPr>
              <w:rPr>
                <w:rFonts w:ascii="宋体"/>
              </w:rPr>
            </w:pPr>
          </w:p>
        </w:tc>
        <w:tc>
          <w:tcPr>
            <w:tcW w:w="5" w:type="pct"/>
            <w:shd w:val="clear" w:color="auto" w:fill="auto"/>
          </w:tcPr>
          <w:p w14:paraId="5C7C5E22" w14:textId="77777777" w:rsidR="0008009C" w:rsidRDefault="0008009C">
            <w:pPr>
              <w:rPr>
                <w:rFonts w:ascii="宋体"/>
              </w:rPr>
            </w:pPr>
          </w:p>
        </w:tc>
        <w:tc>
          <w:tcPr>
            <w:tcW w:w="5" w:type="pct"/>
            <w:shd w:val="clear" w:color="auto" w:fill="auto"/>
          </w:tcPr>
          <w:p w14:paraId="5C7C5E23" w14:textId="77777777" w:rsidR="0008009C" w:rsidRDefault="0008009C">
            <w:pPr>
              <w:rPr>
                <w:rFonts w:ascii="宋体"/>
              </w:rPr>
            </w:pPr>
          </w:p>
        </w:tc>
        <w:tc>
          <w:tcPr>
            <w:tcW w:w="24" w:type="pct"/>
            <w:shd w:val="clear" w:color="auto" w:fill="auto"/>
          </w:tcPr>
          <w:p w14:paraId="5C7C5E24" w14:textId="77777777" w:rsidR="0008009C" w:rsidRDefault="0008009C">
            <w:pPr>
              <w:rPr>
                <w:rFonts w:ascii="宋体"/>
              </w:rPr>
            </w:pPr>
          </w:p>
        </w:tc>
        <w:tc>
          <w:tcPr>
            <w:tcW w:w="5" w:type="pct"/>
            <w:shd w:val="clear" w:color="auto" w:fill="auto"/>
          </w:tcPr>
          <w:p w14:paraId="5C7C5E25" w14:textId="77777777" w:rsidR="0008009C" w:rsidRDefault="0008009C">
            <w:pPr>
              <w:rPr>
                <w:rFonts w:ascii="宋体"/>
              </w:rPr>
            </w:pPr>
          </w:p>
        </w:tc>
        <w:tc>
          <w:tcPr>
            <w:tcW w:w="50" w:type="pct"/>
            <w:shd w:val="clear" w:color="auto" w:fill="auto"/>
          </w:tcPr>
          <w:p w14:paraId="5C7C5E26" w14:textId="77777777" w:rsidR="0008009C" w:rsidRDefault="0008009C">
            <w:pPr>
              <w:rPr>
                <w:rFonts w:ascii="宋体"/>
              </w:rPr>
            </w:pPr>
          </w:p>
        </w:tc>
        <w:tc>
          <w:tcPr>
            <w:tcW w:w="491" w:type="pct"/>
            <w:shd w:val="clear" w:color="auto" w:fill="auto"/>
          </w:tcPr>
          <w:p w14:paraId="5C7C5E27" w14:textId="77777777" w:rsidR="0008009C" w:rsidRDefault="0008009C">
            <w:pPr>
              <w:rPr>
                <w:rFonts w:ascii="宋体"/>
              </w:rPr>
            </w:pPr>
          </w:p>
        </w:tc>
        <w:tc>
          <w:tcPr>
            <w:tcW w:w="5" w:type="pct"/>
            <w:shd w:val="clear" w:color="auto" w:fill="auto"/>
          </w:tcPr>
          <w:p w14:paraId="5C7C5E28" w14:textId="77777777" w:rsidR="0008009C" w:rsidRDefault="0008009C">
            <w:pPr>
              <w:rPr>
                <w:rFonts w:ascii="宋体"/>
              </w:rPr>
            </w:pPr>
          </w:p>
        </w:tc>
        <w:tc>
          <w:tcPr>
            <w:tcW w:w="0" w:type="auto"/>
            <w:shd w:val="clear" w:color="auto" w:fill="auto"/>
          </w:tcPr>
          <w:p w14:paraId="5C7C5E29" w14:textId="77777777" w:rsidR="0008009C" w:rsidRDefault="0008009C">
            <w:pPr>
              <w:rPr>
                <w:rFonts w:ascii="宋体"/>
                <w:vanish/>
              </w:rPr>
            </w:pPr>
          </w:p>
        </w:tc>
        <w:tc>
          <w:tcPr>
            <w:tcW w:w="0" w:type="auto"/>
            <w:shd w:val="clear" w:color="auto" w:fill="auto"/>
          </w:tcPr>
          <w:p w14:paraId="5C7C5E2A" w14:textId="77777777" w:rsidR="0008009C" w:rsidRDefault="0008009C">
            <w:pPr>
              <w:rPr>
                <w:rFonts w:ascii="宋体"/>
                <w:vanish/>
              </w:rPr>
            </w:pPr>
          </w:p>
        </w:tc>
        <w:tc>
          <w:tcPr>
            <w:tcW w:w="0" w:type="auto"/>
            <w:gridSpan w:val="3"/>
            <w:shd w:val="clear" w:color="auto" w:fill="auto"/>
          </w:tcPr>
          <w:p w14:paraId="5C7C5E2B" w14:textId="77777777" w:rsidR="0008009C" w:rsidRDefault="0008009C">
            <w:pPr>
              <w:rPr>
                <w:rFonts w:ascii="宋体"/>
                <w:vanish/>
              </w:rPr>
            </w:pPr>
          </w:p>
        </w:tc>
        <w:tc>
          <w:tcPr>
            <w:tcW w:w="0" w:type="auto"/>
            <w:gridSpan w:val="3"/>
            <w:shd w:val="clear" w:color="auto" w:fill="auto"/>
          </w:tcPr>
          <w:p w14:paraId="5C7C5E2C" w14:textId="77777777" w:rsidR="0008009C" w:rsidRDefault="0008009C">
            <w:pPr>
              <w:rPr>
                <w:rFonts w:ascii="宋体"/>
                <w:vanish/>
              </w:rPr>
            </w:pPr>
          </w:p>
        </w:tc>
      </w:tr>
      <w:tr w:rsidR="0008009C" w14:paraId="5C7C5E39" w14:textId="77777777">
        <w:tc>
          <w:tcPr>
            <w:tcW w:w="0" w:type="auto"/>
            <w:gridSpan w:val="3"/>
            <w:shd w:val="clear" w:color="auto" w:fill="auto"/>
            <w:tcMar>
              <w:top w:w="40" w:type="dxa"/>
              <w:left w:w="200" w:type="dxa"/>
              <w:bottom w:w="40" w:type="dxa"/>
              <w:right w:w="20" w:type="dxa"/>
            </w:tcMar>
            <w:vAlign w:val="bottom"/>
          </w:tcPr>
          <w:p w14:paraId="5C7C5E2E" w14:textId="77777777" w:rsidR="0008009C" w:rsidRDefault="00936FDF">
            <w:pPr>
              <w:textAlignment w:val="bottom"/>
            </w:pPr>
            <w:r>
              <w:rPr>
                <w:rFonts w:ascii="Arial" w:eastAsia="宋体" w:hAnsi="Arial" w:cs="Arial"/>
                <w:b/>
                <w:bCs/>
                <w:color w:val="262626"/>
                <w:sz w:val="16"/>
                <w:szCs w:val="16"/>
              </w:rPr>
              <w:t> </w:t>
            </w:r>
          </w:p>
        </w:tc>
        <w:tc>
          <w:tcPr>
            <w:tcW w:w="0" w:type="auto"/>
            <w:gridSpan w:val="3"/>
            <w:shd w:val="clear" w:color="auto" w:fill="auto"/>
            <w:tcMar>
              <w:top w:w="0" w:type="dxa"/>
              <w:left w:w="20" w:type="dxa"/>
              <w:bottom w:w="0" w:type="dxa"/>
              <w:right w:w="20" w:type="dxa"/>
            </w:tcMar>
          </w:tcPr>
          <w:p w14:paraId="5C7C5E2F"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bottom"/>
          </w:tcPr>
          <w:p w14:paraId="5C7C5E30" w14:textId="77777777" w:rsidR="0008009C" w:rsidRDefault="00936FDF">
            <w:pPr>
              <w:jc w:val="center"/>
              <w:textAlignment w:val="bottom"/>
            </w:pPr>
            <w:r>
              <w:rPr>
                <w:rFonts w:ascii="Arial" w:eastAsia="宋体" w:hAnsi="Arial" w:cs="Arial"/>
                <w:b/>
                <w:bCs/>
                <w:color w:val="262626"/>
                <w:sz w:val="18"/>
                <w:szCs w:val="18"/>
              </w:rPr>
              <w:t>Three Months Ended</w:t>
            </w:r>
          </w:p>
        </w:tc>
        <w:tc>
          <w:tcPr>
            <w:tcW w:w="0" w:type="auto"/>
            <w:shd w:val="clear" w:color="auto" w:fill="auto"/>
          </w:tcPr>
          <w:p w14:paraId="5C7C5E31" w14:textId="77777777" w:rsidR="0008009C" w:rsidRDefault="0008009C">
            <w:pPr>
              <w:rPr>
                <w:rFonts w:ascii="宋体"/>
                <w:vanish/>
              </w:rPr>
            </w:pPr>
          </w:p>
        </w:tc>
        <w:tc>
          <w:tcPr>
            <w:tcW w:w="0" w:type="auto"/>
            <w:shd w:val="clear" w:color="auto" w:fill="auto"/>
          </w:tcPr>
          <w:p w14:paraId="5C7C5E32" w14:textId="77777777" w:rsidR="0008009C" w:rsidRDefault="0008009C">
            <w:pPr>
              <w:rPr>
                <w:rFonts w:ascii="宋体"/>
                <w:vanish/>
              </w:rPr>
            </w:pPr>
          </w:p>
        </w:tc>
        <w:tc>
          <w:tcPr>
            <w:tcW w:w="0" w:type="auto"/>
            <w:shd w:val="clear" w:color="auto" w:fill="auto"/>
          </w:tcPr>
          <w:p w14:paraId="5C7C5E33" w14:textId="77777777" w:rsidR="0008009C" w:rsidRDefault="0008009C">
            <w:pPr>
              <w:rPr>
                <w:rFonts w:ascii="宋体"/>
              </w:rPr>
            </w:pPr>
          </w:p>
        </w:tc>
        <w:tc>
          <w:tcPr>
            <w:tcW w:w="0" w:type="auto"/>
            <w:shd w:val="clear" w:color="auto" w:fill="auto"/>
          </w:tcPr>
          <w:p w14:paraId="5C7C5E34" w14:textId="77777777" w:rsidR="0008009C" w:rsidRDefault="0008009C">
            <w:pPr>
              <w:rPr>
                <w:rFonts w:ascii="宋体"/>
              </w:rPr>
            </w:pPr>
          </w:p>
        </w:tc>
        <w:tc>
          <w:tcPr>
            <w:tcW w:w="0" w:type="auto"/>
            <w:shd w:val="clear" w:color="auto" w:fill="auto"/>
          </w:tcPr>
          <w:p w14:paraId="5C7C5E35" w14:textId="77777777" w:rsidR="0008009C" w:rsidRDefault="0008009C">
            <w:pPr>
              <w:rPr>
                <w:rFonts w:ascii="宋体"/>
              </w:rPr>
            </w:pPr>
          </w:p>
        </w:tc>
        <w:tc>
          <w:tcPr>
            <w:tcW w:w="0" w:type="auto"/>
            <w:shd w:val="clear" w:color="auto" w:fill="auto"/>
          </w:tcPr>
          <w:p w14:paraId="5C7C5E36" w14:textId="77777777" w:rsidR="0008009C" w:rsidRDefault="0008009C">
            <w:pPr>
              <w:rPr>
                <w:rFonts w:ascii="宋体"/>
              </w:rPr>
            </w:pPr>
          </w:p>
        </w:tc>
        <w:tc>
          <w:tcPr>
            <w:tcW w:w="0" w:type="auto"/>
            <w:shd w:val="clear" w:color="auto" w:fill="auto"/>
          </w:tcPr>
          <w:p w14:paraId="5C7C5E37" w14:textId="77777777" w:rsidR="0008009C" w:rsidRDefault="0008009C">
            <w:pPr>
              <w:rPr>
                <w:rFonts w:ascii="宋体"/>
              </w:rPr>
            </w:pPr>
          </w:p>
        </w:tc>
        <w:tc>
          <w:tcPr>
            <w:tcW w:w="0" w:type="auto"/>
            <w:shd w:val="clear" w:color="auto" w:fill="auto"/>
          </w:tcPr>
          <w:p w14:paraId="5C7C5E38" w14:textId="77777777" w:rsidR="0008009C" w:rsidRDefault="0008009C">
            <w:pPr>
              <w:rPr>
                <w:rFonts w:ascii="宋体"/>
              </w:rPr>
            </w:pPr>
          </w:p>
        </w:tc>
      </w:tr>
      <w:tr w:rsidR="0008009C" w14:paraId="5C7C5E43" w14:textId="77777777">
        <w:tc>
          <w:tcPr>
            <w:tcW w:w="0" w:type="auto"/>
            <w:gridSpan w:val="3"/>
            <w:shd w:val="clear" w:color="auto" w:fill="auto"/>
            <w:tcMar>
              <w:top w:w="40" w:type="dxa"/>
              <w:left w:w="20" w:type="dxa"/>
              <w:bottom w:w="40" w:type="dxa"/>
              <w:right w:w="20" w:type="dxa"/>
            </w:tcMar>
            <w:vAlign w:val="bottom"/>
          </w:tcPr>
          <w:p w14:paraId="5C7C5E3A" w14:textId="77777777" w:rsidR="0008009C" w:rsidRDefault="00936FDF">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tcPr>
          <w:p w14:paraId="5C7C5E3B"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E3C"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tcBorders>
              <w:top w:val="single" w:sz="8" w:space="0" w:color="0068B5"/>
            </w:tcBorders>
            <w:shd w:val="clear" w:color="auto" w:fill="auto"/>
            <w:tcMar>
              <w:top w:w="0" w:type="dxa"/>
              <w:left w:w="20" w:type="dxa"/>
              <w:bottom w:w="0" w:type="dxa"/>
              <w:right w:w="20" w:type="dxa"/>
            </w:tcMar>
          </w:tcPr>
          <w:p w14:paraId="5C7C5E3D"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E3E" w14:textId="77777777" w:rsidR="0008009C" w:rsidRDefault="00936FDF">
            <w:pPr>
              <w:jc w:val="center"/>
              <w:textAlignment w:val="bottom"/>
            </w:pPr>
            <w:r>
              <w:rPr>
                <w:rFonts w:ascii="Arial" w:eastAsia="宋体" w:hAnsi="Arial" w:cs="Arial"/>
                <w:b/>
                <w:bCs/>
                <w:color w:val="262626"/>
                <w:sz w:val="18"/>
                <w:szCs w:val="18"/>
              </w:rPr>
              <w:t>Mar 28, 2020</w:t>
            </w:r>
          </w:p>
        </w:tc>
        <w:tc>
          <w:tcPr>
            <w:tcW w:w="0" w:type="auto"/>
            <w:shd w:val="clear" w:color="auto" w:fill="auto"/>
          </w:tcPr>
          <w:p w14:paraId="5C7C5E3F" w14:textId="77777777" w:rsidR="0008009C" w:rsidRDefault="0008009C">
            <w:pPr>
              <w:rPr>
                <w:rFonts w:ascii="宋体"/>
                <w:vanish/>
              </w:rPr>
            </w:pPr>
          </w:p>
        </w:tc>
        <w:tc>
          <w:tcPr>
            <w:tcW w:w="0" w:type="auto"/>
            <w:shd w:val="clear" w:color="auto" w:fill="auto"/>
          </w:tcPr>
          <w:p w14:paraId="5C7C5E40" w14:textId="77777777" w:rsidR="0008009C" w:rsidRDefault="0008009C">
            <w:pPr>
              <w:rPr>
                <w:rFonts w:ascii="宋体"/>
                <w:vanish/>
              </w:rPr>
            </w:pPr>
          </w:p>
        </w:tc>
        <w:tc>
          <w:tcPr>
            <w:tcW w:w="0" w:type="auto"/>
            <w:gridSpan w:val="3"/>
            <w:shd w:val="clear" w:color="auto" w:fill="auto"/>
          </w:tcPr>
          <w:p w14:paraId="5C7C5E41" w14:textId="77777777" w:rsidR="0008009C" w:rsidRDefault="0008009C">
            <w:pPr>
              <w:rPr>
                <w:rFonts w:ascii="宋体"/>
                <w:vanish/>
              </w:rPr>
            </w:pPr>
          </w:p>
        </w:tc>
        <w:tc>
          <w:tcPr>
            <w:tcW w:w="0" w:type="auto"/>
            <w:gridSpan w:val="3"/>
            <w:shd w:val="clear" w:color="auto" w:fill="auto"/>
          </w:tcPr>
          <w:p w14:paraId="5C7C5E42" w14:textId="77777777" w:rsidR="0008009C" w:rsidRDefault="0008009C">
            <w:pPr>
              <w:rPr>
                <w:rFonts w:ascii="宋体"/>
                <w:vanish/>
              </w:rPr>
            </w:pPr>
          </w:p>
        </w:tc>
      </w:tr>
      <w:tr w:rsidR="0008009C" w14:paraId="5C7C5E51"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5E44" w14:textId="77777777" w:rsidR="0008009C" w:rsidRDefault="00936FDF">
            <w:pPr>
              <w:textAlignment w:val="top"/>
            </w:pPr>
            <w:r>
              <w:rPr>
                <w:rFonts w:ascii="Arial" w:eastAsia="宋体" w:hAnsi="Arial" w:cs="Arial"/>
                <w:b/>
                <w:bCs/>
                <w:color w:val="262626"/>
                <w:sz w:val="18"/>
                <w:szCs w:val="18"/>
              </w:rPr>
              <w:t xml:space="preserve">Net income available to </w:t>
            </w:r>
            <w:r>
              <w:rPr>
                <w:rFonts w:ascii="Arial" w:eastAsia="宋体" w:hAnsi="Arial" w:cs="Arial"/>
                <w:b/>
                <w:bCs/>
                <w:color w:val="262626"/>
                <w:sz w:val="18"/>
                <w:szCs w:val="18"/>
              </w:rPr>
              <w:t>common stockholders</w:t>
            </w:r>
          </w:p>
        </w:tc>
        <w:tc>
          <w:tcPr>
            <w:tcW w:w="0" w:type="auto"/>
            <w:gridSpan w:val="3"/>
            <w:shd w:val="clear" w:color="auto" w:fill="auto"/>
            <w:tcMar>
              <w:top w:w="0" w:type="dxa"/>
              <w:left w:w="20" w:type="dxa"/>
              <w:bottom w:w="0" w:type="dxa"/>
              <w:right w:w="20" w:type="dxa"/>
            </w:tcMar>
          </w:tcPr>
          <w:p w14:paraId="5C7C5E45"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5E46"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5E47" w14:textId="77777777" w:rsidR="0008009C" w:rsidRDefault="00936FDF">
            <w:pPr>
              <w:jc w:val="right"/>
              <w:textAlignment w:val="bottom"/>
            </w:pPr>
            <w:r>
              <w:rPr>
                <w:rFonts w:ascii="Arial" w:eastAsia="宋体" w:hAnsi="Arial" w:cs="Arial"/>
                <w:b/>
                <w:bCs/>
                <w:color w:val="0068B5"/>
                <w:sz w:val="18"/>
                <w:szCs w:val="18"/>
              </w:rPr>
              <w:t>3,361</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5E4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E49"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5E4A"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5E4B" w14:textId="77777777" w:rsidR="0008009C" w:rsidRDefault="00936FDF">
            <w:pPr>
              <w:jc w:val="right"/>
              <w:textAlignment w:val="bottom"/>
            </w:pPr>
            <w:r>
              <w:rPr>
                <w:rFonts w:ascii="Arial" w:eastAsia="宋体" w:hAnsi="Arial" w:cs="Arial"/>
                <w:b/>
                <w:bCs/>
                <w:color w:val="262626"/>
                <w:sz w:val="18"/>
                <w:szCs w:val="18"/>
              </w:rPr>
              <w:t>5,661</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5E4C" w14:textId="77777777" w:rsidR="0008009C" w:rsidRDefault="0008009C">
            <w:pPr>
              <w:jc w:val="right"/>
              <w:rPr>
                <w:rFonts w:ascii="宋体"/>
              </w:rPr>
            </w:pPr>
          </w:p>
        </w:tc>
        <w:tc>
          <w:tcPr>
            <w:tcW w:w="0" w:type="auto"/>
            <w:shd w:val="clear" w:color="auto" w:fill="auto"/>
          </w:tcPr>
          <w:p w14:paraId="5C7C5E4D" w14:textId="77777777" w:rsidR="0008009C" w:rsidRDefault="0008009C">
            <w:pPr>
              <w:rPr>
                <w:rFonts w:ascii="宋体"/>
                <w:vanish/>
              </w:rPr>
            </w:pPr>
          </w:p>
        </w:tc>
        <w:tc>
          <w:tcPr>
            <w:tcW w:w="0" w:type="auto"/>
            <w:shd w:val="clear" w:color="auto" w:fill="auto"/>
          </w:tcPr>
          <w:p w14:paraId="5C7C5E4E" w14:textId="77777777" w:rsidR="0008009C" w:rsidRDefault="0008009C">
            <w:pPr>
              <w:rPr>
                <w:rFonts w:ascii="宋体"/>
                <w:vanish/>
              </w:rPr>
            </w:pPr>
          </w:p>
        </w:tc>
        <w:tc>
          <w:tcPr>
            <w:tcW w:w="0" w:type="auto"/>
            <w:gridSpan w:val="3"/>
            <w:shd w:val="clear" w:color="auto" w:fill="auto"/>
          </w:tcPr>
          <w:p w14:paraId="5C7C5E4F" w14:textId="77777777" w:rsidR="0008009C" w:rsidRDefault="0008009C">
            <w:pPr>
              <w:rPr>
                <w:rFonts w:ascii="宋体"/>
                <w:vanish/>
              </w:rPr>
            </w:pPr>
          </w:p>
        </w:tc>
        <w:tc>
          <w:tcPr>
            <w:tcW w:w="0" w:type="auto"/>
            <w:gridSpan w:val="3"/>
            <w:shd w:val="clear" w:color="auto" w:fill="auto"/>
          </w:tcPr>
          <w:p w14:paraId="5C7C5E50" w14:textId="77777777" w:rsidR="0008009C" w:rsidRDefault="0008009C">
            <w:pPr>
              <w:rPr>
                <w:rFonts w:ascii="宋体"/>
                <w:vanish/>
              </w:rPr>
            </w:pPr>
          </w:p>
        </w:tc>
      </w:tr>
      <w:tr w:rsidR="0008009C" w14:paraId="5C7C5E5D" w14:textId="77777777">
        <w:tc>
          <w:tcPr>
            <w:tcW w:w="0" w:type="auto"/>
            <w:gridSpan w:val="3"/>
            <w:shd w:val="clear" w:color="auto" w:fill="auto"/>
            <w:tcMar>
              <w:top w:w="40" w:type="dxa"/>
              <w:left w:w="20" w:type="dxa"/>
              <w:bottom w:w="40" w:type="dxa"/>
              <w:right w:w="20" w:type="dxa"/>
            </w:tcMar>
          </w:tcPr>
          <w:p w14:paraId="5C7C5E52" w14:textId="77777777" w:rsidR="0008009C" w:rsidRDefault="00936FDF">
            <w:pPr>
              <w:textAlignment w:val="top"/>
            </w:pPr>
            <w:r>
              <w:rPr>
                <w:rFonts w:ascii="Arial" w:eastAsia="宋体" w:hAnsi="Arial" w:cs="Arial"/>
                <w:b/>
                <w:bCs/>
                <w:color w:val="262626"/>
                <w:sz w:val="18"/>
                <w:szCs w:val="18"/>
              </w:rPr>
              <w:t>W</w:t>
            </w:r>
            <w:r>
              <w:rPr>
                <w:rFonts w:ascii="Arial" w:eastAsia="宋体" w:hAnsi="Arial" w:cs="Arial"/>
                <w:b/>
                <w:bCs/>
                <w:color w:val="262626"/>
                <w:sz w:val="18"/>
                <w:szCs w:val="18"/>
              </w:rPr>
              <w:t>eighted average shares of common stock outstanding—basic</w:t>
            </w:r>
          </w:p>
        </w:tc>
        <w:tc>
          <w:tcPr>
            <w:tcW w:w="0" w:type="auto"/>
            <w:gridSpan w:val="3"/>
            <w:shd w:val="clear" w:color="auto" w:fill="auto"/>
            <w:tcMar>
              <w:top w:w="0" w:type="dxa"/>
              <w:left w:w="20" w:type="dxa"/>
              <w:bottom w:w="0" w:type="dxa"/>
              <w:right w:w="20" w:type="dxa"/>
            </w:tcMar>
          </w:tcPr>
          <w:p w14:paraId="5C7C5E5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E54" w14:textId="77777777" w:rsidR="0008009C" w:rsidRDefault="00936FDF">
            <w:pPr>
              <w:jc w:val="right"/>
              <w:textAlignment w:val="bottom"/>
            </w:pPr>
            <w:r>
              <w:rPr>
                <w:rFonts w:ascii="Arial" w:eastAsia="宋体" w:hAnsi="Arial" w:cs="Arial"/>
                <w:b/>
                <w:bCs/>
                <w:color w:val="0068B5"/>
                <w:sz w:val="18"/>
                <w:szCs w:val="18"/>
              </w:rPr>
              <w:t>4,056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5E5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E5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E57" w14:textId="77777777" w:rsidR="0008009C" w:rsidRDefault="00936FDF">
            <w:pPr>
              <w:jc w:val="right"/>
              <w:textAlignment w:val="bottom"/>
            </w:pPr>
            <w:r>
              <w:rPr>
                <w:rFonts w:ascii="Arial" w:eastAsia="宋体" w:hAnsi="Arial" w:cs="Arial"/>
                <w:b/>
                <w:bCs/>
                <w:color w:val="262626"/>
                <w:sz w:val="18"/>
                <w:szCs w:val="18"/>
              </w:rPr>
              <w:t>4,266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5E58" w14:textId="77777777" w:rsidR="0008009C" w:rsidRDefault="0008009C">
            <w:pPr>
              <w:jc w:val="right"/>
              <w:rPr>
                <w:rFonts w:ascii="宋体"/>
              </w:rPr>
            </w:pPr>
          </w:p>
        </w:tc>
        <w:tc>
          <w:tcPr>
            <w:tcW w:w="0" w:type="auto"/>
            <w:shd w:val="clear" w:color="auto" w:fill="auto"/>
          </w:tcPr>
          <w:p w14:paraId="5C7C5E59" w14:textId="77777777" w:rsidR="0008009C" w:rsidRDefault="0008009C">
            <w:pPr>
              <w:rPr>
                <w:rFonts w:ascii="宋体"/>
                <w:vanish/>
              </w:rPr>
            </w:pPr>
          </w:p>
        </w:tc>
        <w:tc>
          <w:tcPr>
            <w:tcW w:w="0" w:type="auto"/>
            <w:shd w:val="clear" w:color="auto" w:fill="auto"/>
          </w:tcPr>
          <w:p w14:paraId="5C7C5E5A" w14:textId="77777777" w:rsidR="0008009C" w:rsidRDefault="0008009C">
            <w:pPr>
              <w:rPr>
                <w:rFonts w:ascii="宋体"/>
                <w:vanish/>
              </w:rPr>
            </w:pPr>
          </w:p>
        </w:tc>
        <w:tc>
          <w:tcPr>
            <w:tcW w:w="0" w:type="auto"/>
            <w:gridSpan w:val="3"/>
            <w:shd w:val="clear" w:color="auto" w:fill="auto"/>
          </w:tcPr>
          <w:p w14:paraId="5C7C5E5B" w14:textId="77777777" w:rsidR="0008009C" w:rsidRDefault="0008009C">
            <w:pPr>
              <w:rPr>
                <w:rFonts w:ascii="宋体"/>
                <w:vanish/>
              </w:rPr>
            </w:pPr>
          </w:p>
        </w:tc>
        <w:tc>
          <w:tcPr>
            <w:tcW w:w="0" w:type="auto"/>
            <w:gridSpan w:val="3"/>
            <w:shd w:val="clear" w:color="auto" w:fill="auto"/>
          </w:tcPr>
          <w:p w14:paraId="5C7C5E5C" w14:textId="77777777" w:rsidR="0008009C" w:rsidRDefault="0008009C">
            <w:pPr>
              <w:rPr>
                <w:rFonts w:ascii="宋体"/>
                <w:vanish/>
              </w:rPr>
            </w:pPr>
          </w:p>
        </w:tc>
      </w:tr>
      <w:tr w:rsidR="0008009C" w14:paraId="5C7C5E69" w14:textId="77777777">
        <w:tc>
          <w:tcPr>
            <w:tcW w:w="0" w:type="auto"/>
            <w:gridSpan w:val="3"/>
            <w:shd w:val="clear" w:color="auto" w:fill="auto"/>
            <w:tcMar>
              <w:top w:w="40" w:type="dxa"/>
              <w:left w:w="20" w:type="dxa"/>
              <w:bottom w:w="40" w:type="dxa"/>
              <w:right w:w="20" w:type="dxa"/>
            </w:tcMar>
          </w:tcPr>
          <w:p w14:paraId="5C7C5E5E" w14:textId="77777777" w:rsidR="0008009C" w:rsidRDefault="00936FDF">
            <w:pPr>
              <w:textAlignment w:val="top"/>
            </w:pPr>
            <w:r>
              <w:rPr>
                <w:rFonts w:ascii="Arial" w:eastAsia="宋体" w:hAnsi="Arial" w:cs="Arial"/>
                <w:color w:val="262626"/>
                <w:sz w:val="18"/>
                <w:szCs w:val="18"/>
              </w:rPr>
              <w:t>Dilutive effect of employee equity incentive plans</w:t>
            </w:r>
          </w:p>
        </w:tc>
        <w:tc>
          <w:tcPr>
            <w:tcW w:w="0" w:type="auto"/>
            <w:gridSpan w:val="3"/>
            <w:shd w:val="clear" w:color="auto" w:fill="auto"/>
            <w:tcMar>
              <w:top w:w="0" w:type="dxa"/>
              <w:left w:w="20" w:type="dxa"/>
              <w:bottom w:w="0" w:type="dxa"/>
              <w:right w:w="20" w:type="dxa"/>
            </w:tcMar>
          </w:tcPr>
          <w:p w14:paraId="5C7C5E5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E60" w14:textId="77777777" w:rsidR="0008009C" w:rsidRDefault="00936FDF">
            <w:pPr>
              <w:jc w:val="right"/>
              <w:textAlignment w:val="bottom"/>
            </w:pPr>
            <w:r>
              <w:rPr>
                <w:rFonts w:ascii="Arial" w:eastAsia="宋体" w:hAnsi="Arial" w:cs="Arial"/>
                <w:color w:val="0068B5"/>
                <w:sz w:val="18"/>
                <w:szCs w:val="18"/>
              </w:rPr>
              <w:t>40 </w:t>
            </w:r>
          </w:p>
        </w:tc>
        <w:tc>
          <w:tcPr>
            <w:tcW w:w="0" w:type="auto"/>
            <w:shd w:val="clear" w:color="auto" w:fill="auto"/>
            <w:tcMar>
              <w:top w:w="40" w:type="dxa"/>
              <w:left w:w="0" w:type="dxa"/>
              <w:bottom w:w="40" w:type="dxa"/>
              <w:right w:w="20" w:type="dxa"/>
            </w:tcMar>
            <w:vAlign w:val="bottom"/>
          </w:tcPr>
          <w:p w14:paraId="5C7C5E6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E6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E63" w14:textId="77777777" w:rsidR="0008009C" w:rsidRDefault="00936FDF">
            <w:pPr>
              <w:jc w:val="right"/>
              <w:textAlignment w:val="bottom"/>
            </w:pPr>
            <w:r>
              <w:rPr>
                <w:rFonts w:ascii="Arial" w:eastAsia="宋体" w:hAnsi="Arial" w:cs="Arial"/>
                <w:color w:val="000000"/>
                <w:sz w:val="18"/>
                <w:szCs w:val="18"/>
              </w:rPr>
              <w:t>46 </w:t>
            </w:r>
          </w:p>
        </w:tc>
        <w:tc>
          <w:tcPr>
            <w:tcW w:w="0" w:type="auto"/>
            <w:shd w:val="clear" w:color="auto" w:fill="auto"/>
            <w:tcMar>
              <w:top w:w="40" w:type="dxa"/>
              <w:left w:w="0" w:type="dxa"/>
              <w:bottom w:w="40" w:type="dxa"/>
              <w:right w:w="20" w:type="dxa"/>
            </w:tcMar>
            <w:vAlign w:val="bottom"/>
          </w:tcPr>
          <w:p w14:paraId="5C7C5E64" w14:textId="77777777" w:rsidR="0008009C" w:rsidRDefault="0008009C">
            <w:pPr>
              <w:jc w:val="right"/>
              <w:rPr>
                <w:rFonts w:ascii="宋体"/>
              </w:rPr>
            </w:pPr>
          </w:p>
        </w:tc>
        <w:tc>
          <w:tcPr>
            <w:tcW w:w="0" w:type="auto"/>
            <w:shd w:val="clear" w:color="auto" w:fill="auto"/>
          </w:tcPr>
          <w:p w14:paraId="5C7C5E65" w14:textId="77777777" w:rsidR="0008009C" w:rsidRDefault="0008009C">
            <w:pPr>
              <w:rPr>
                <w:rFonts w:ascii="宋体"/>
                <w:vanish/>
              </w:rPr>
            </w:pPr>
          </w:p>
        </w:tc>
        <w:tc>
          <w:tcPr>
            <w:tcW w:w="0" w:type="auto"/>
            <w:shd w:val="clear" w:color="auto" w:fill="auto"/>
          </w:tcPr>
          <w:p w14:paraId="5C7C5E66" w14:textId="77777777" w:rsidR="0008009C" w:rsidRDefault="0008009C">
            <w:pPr>
              <w:rPr>
                <w:rFonts w:ascii="宋体"/>
                <w:vanish/>
              </w:rPr>
            </w:pPr>
          </w:p>
        </w:tc>
        <w:tc>
          <w:tcPr>
            <w:tcW w:w="0" w:type="auto"/>
            <w:gridSpan w:val="3"/>
            <w:shd w:val="clear" w:color="auto" w:fill="auto"/>
          </w:tcPr>
          <w:p w14:paraId="5C7C5E67" w14:textId="77777777" w:rsidR="0008009C" w:rsidRDefault="0008009C">
            <w:pPr>
              <w:rPr>
                <w:rFonts w:ascii="宋体"/>
                <w:vanish/>
              </w:rPr>
            </w:pPr>
          </w:p>
        </w:tc>
        <w:tc>
          <w:tcPr>
            <w:tcW w:w="0" w:type="auto"/>
            <w:gridSpan w:val="3"/>
            <w:shd w:val="clear" w:color="auto" w:fill="auto"/>
          </w:tcPr>
          <w:p w14:paraId="5C7C5E68" w14:textId="77777777" w:rsidR="0008009C" w:rsidRDefault="0008009C">
            <w:pPr>
              <w:rPr>
                <w:rFonts w:ascii="宋体"/>
                <w:vanish/>
              </w:rPr>
            </w:pPr>
          </w:p>
        </w:tc>
      </w:tr>
      <w:tr w:rsidR="0008009C" w14:paraId="5C7C5E73" w14:textId="77777777">
        <w:trPr>
          <w:hidden/>
        </w:trPr>
        <w:tc>
          <w:tcPr>
            <w:tcW w:w="0" w:type="auto"/>
            <w:gridSpan w:val="3"/>
            <w:shd w:val="clear" w:color="auto" w:fill="auto"/>
          </w:tcPr>
          <w:p w14:paraId="5C7C5E6A" w14:textId="77777777" w:rsidR="0008009C" w:rsidRDefault="0008009C">
            <w:pPr>
              <w:rPr>
                <w:rFonts w:ascii="宋体"/>
                <w:vanish/>
              </w:rPr>
            </w:pPr>
          </w:p>
        </w:tc>
        <w:tc>
          <w:tcPr>
            <w:tcW w:w="0" w:type="auto"/>
            <w:gridSpan w:val="3"/>
            <w:shd w:val="clear" w:color="auto" w:fill="auto"/>
          </w:tcPr>
          <w:p w14:paraId="5C7C5E6B" w14:textId="77777777" w:rsidR="0008009C" w:rsidRDefault="0008009C">
            <w:pPr>
              <w:rPr>
                <w:rFonts w:ascii="宋体"/>
                <w:vanish/>
              </w:rPr>
            </w:pPr>
          </w:p>
        </w:tc>
        <w:tc>
          <w:tcPr>
            <w:tcW w:w="0" w:type="auto"/>
            <w:gridSpan w:val="3"/>
            <w:shd w:val="clear" w:color="auto" w:fill="auto"/>
          </w:tcPr>
          <w:p w14:paraId="5C7C5E6C" w14:textId="77777777" w:rsidR="0008009C" w:rsidRDefault="0008009C">
            <w:pPr>
              <w:rPr>
                <w:rFonts w:ascii="宋体"/>
                <w:vanish/>
              </w:rPr>
            </w:pPr>
          </w:p>
        </w:tc>
        <w:tc>
          <w:tcPr>
            <w:tcW w:w="0" w:type="auto"/>
            <w:gridSpan w:val="3"/>
            <w:shd w:val="clear" w:color="auto" w:fill="auto"/>
          </w:tcPr>
          <w:p w14:paraId="5C7C5E6D" w14:textId="77777777" w:rsidR="0008009C" w:rsidRDefault="0008009C">
            <w:pPr>
              <w:rPr>
                <w:rFonts w:ascii="宋体"/>
                <w:vanish/>
              </w:rPr>
            </w:pPr>
          </w:p>
        </w:tc>
        <w:tc>
          <w:tcPr>
            <w:tcW w:w="0" w:type="auto"/>
            <w:gridSpan w:val="3"/>
            <w:shd w:val="clear" w:color="auto" w:fill="auto"/>
          </w:tcPr>
          <w:p w14:paraId="5C7C5E6E" w14:textId="77777777" w:rsidR="0008009C" w:rsidRDefault="0008009C">
            <w:pPr>
              <w:rPr>
                <w:rFonts w:ascii="宋体"/>
                <w:vanish/>
              </w:rPr>
            </w:pPr>
          </w:p>
        </w:tc>
        <w:tc>
          <w:tcPr>
            <w:tcW w:w="0" w:type="auto"/>
            <w:shd w:val="clear" w:color="auto" w:fill="auto"/>
          </w:tcPr>
          <w:p w14:paraId="5C7C5E6F" w14:textId="77777777" w:rsidR="0008009C" w:rsidRDefault="0008009C">
            <w:pPr>
              <w:rPr>
                <w:rFonts w:ascii="宋体"/>
                <w:vanish/>
              </w:rPr>
            </w:pPr>
          </w:p>
        </w:tc>
        <w:tc>
          <w:tcPr>
            <w:tcW w:w="0" w:type="auto"/>
            <w:shd w:val="clear" w:color="auto" w:fill="auto"/>
          </w:tcPr>
          <w:p w14:paraId="5C7C5E70" w14:textId="77777777" w:rsidR="0008009C" w:rsidRDefault="0008009C">
            <w:pPr>
              <w:rPr>
                <w:rFonts w:ascii="宋体"/>
                <w:vanish/>
              </w:rPr>
            </w:pPr>
          </w:p>
        </w:tc>
        <w:tc>
          <w:tcPr>
            <w:tcW w:w="0" w:type="auto"/>
            <w:gridSpan w:val="3"/>
            <w:shd w:val="clear" w:color="auto" w:fill="auto"/>
          </w:tcPr>
          <w:p w14:paraId="5C7C5E71" w14:textId="77777777" w:rsidR="0008009C" w:rsidRDefault="0008009C">
            <w:pPr>
              <w:rPr>
                <w:rFonts w:ascii="宋体"/>
                <w:vanish/>
              </w:rPr>
            </w:pPr>
          </w:p>
        </w:tc>
        <w:tc>
          <w:tcPr>
            <w:tcW w:w="0" w:type="auto"/>
            <w:gridSpan w:val="3"/>
            <w:shd w:val="clear" w:color="auto" w:fill="auto"/>
          </w:tcPr>
          <w:p w14:paraId="5C7C5E72" w14:textId="77777777" w:rsidR="0008009C" w:rsidRDefault="0008009C">
            <w:pPr>
              <w:rPr>
                <w:rFonts w:ascii="宋体"/>
                <w:vanish/>
              </w:rPr>
            </w:pPr>
          </w:p>
        </w:tc>
      </w:tr>
      <w:tr w:rsidR="0008009C" w14:paraId="5C7C5E7F" w14:textId="77777777">
        <w:tc>
          <w:tcPr>
            <w:tcW w:w="0" w:type="auto"/>
            <w:gridSpan w:val="3"/>
            <w:shd w:val="clear" w:color="auto" w:fill="auto"/>
            <w:tcMar>
              <w:top w:w="40" w:type="dxa"/>
              <w:left w:w="20" w:type="dxa"/>
              <w:bottom w:w="40" w:type="dxa"/>
              <w:right w:w="20" w:type="dxa"/>
            </w:tcMar>
          </w:tcPr>
          <w:p w14:paraId="5C7C5E74" w14:textId="77777777" w:rsidR="0008009C" w:rsidRDefault="00936FDF">
            <w:pPr>
              <w:textAlignment w:val="top"/>
            </w:pPr>
            <w:r>
              <w:rPr>
                <w:rFonts w:ascii="Arial" w:eastAsia="宋体" w:hAnsi="Arial" w:cs="Arial"/>
                <w:b/>
                <w:bCs/>
                <w:color w:val="262626"/>
                <w:sz w:val="18"/>
                <w:szCs w:val="18"/>
              </w:rPr>
              <w:t>Weighted average shares of common stock outstanding—diluted</w:t>
            </w:r>
          </w:p>
        </w:tc>
        <w:tc>
          <w:tcPr>
            <w:tcW w:w="0" w:type="auto"/>
            <w:gridSpan w:val="3"/>
            <w:shd w:val="clear" w:color="auto" w:fill="auto"/>
            <w:tcMar>
              <w:top w:w="0" w:type="dxa"/>
              <w:left w:w="20" w:type="dxa"/>
              <w:bottom w:w="0" w:type="dxa"/>
              <w:right w:w="20" w:type="dxa"/>
            </w:tcMar>
          </w:tcPr>
          <w:p w14:paraId="5C7C5E75" w14:textId="77777777" w:rsidR="0008009C" w:rsidRDefault="0008009C">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5C7C5E76" w14:textId="77777777" w:rsidR="0008009C" w:rsidRDefault="00936FDF">
            <w:pPr>
              <w:jc w:val="right"/>
              <w:textAlignment w:val="bottom"/>
            </w:pPr>
            <w:r>
              <w:rPr>
                <w:rFonts w:ascii="Arial" w:eastAsia="宋体" w:hAnsi="Arial" w:cs="Arial"/>
                <w:b/>
                <w:bCs/>
                <w:color w:val="0068B5"/>
                <w:sz w:val="18"/>
                <w:szCs w:val="18"/>
              </w:rPr>
              <w:t>4,096</w:t>
            </w:r>
            <w:r>
              <w:rPr>
                <w:rFonts w:ascii="Arial" w:eastAsia="宋体" w:hAnsi="Arial" w:cs="Arial"/>
                <w:color w:val="0068B5"/>
                <w:sz w:val="18"/>
                <w:szCs w:val="18"/>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5C7C5E7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E78" w14:textId="77777777" w:rsidR="0008009C" w:rsidRDefault="0008009C">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5C7C5E79" w14:textId="77777777" w:rsidR="0008009C" w:rsidRDefault="00936FDF">
            <w:pPr>
              <w:jc w:val="right"/>
              <w:textAlignment w:val="bottom"/>
            </w:pPr>
            <w:r>
              <w:rPr>
                <w:rFonts w:ascii="Arial" w:eastAsia="宋体" w:hAnsi="Arial" w:cs="Arial"/>
                <w:b/>
                <w:bCs/>
                <w:color w:val="262626"/>
                <w:sz w:val="18"/>
                <w:szCs w:val="18"/>
              </w:rPr>
              <w:t>4,312</w:t>
            </w:r>
            <w:r>
              <w:rPr>
                <w:rFonts w:ascii="Arial" w:eastAsia="宋体" w:hAnsi="Arial" w:cs="Arial"/>
                <w:color w:val="262626"/>
                <w:sz w:val="18"/>
                <w:szCs w:val="18"/>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5C7C5E7A" w14:textId="77777777" w:rsidR="0008009C" w:rsidRDefault="0008009C">
            <w:pPr>
              <w:jc w:val="right"/>
              <w:rPr>
                <w:rFonts w:ascii="宋体"/>
              </w:rPr>
            </w:pPr>
          </w:p>
        </w:tc>
        <w:tc>
          <w:tcPr>
            <w:tcW w:w="0" w:type="auto"/>
            <w:shd w:val="clear" w:color="auto" w:fill="auto"/>
          </w:tcPr>
          <w:p w14:paraId="5C7C5E7B" w14:textId="77777777" w:rsidR="0008009C" w:rsidRDefault="0008009C">
            <w:pPr>
              <w:rPr>
                <w:rFonts w:ascii="宋体"/>
                <w:vanish/>
              </w:rPr>
            </w:pPr>
          </w:p>
        </w:tc>
        <w:tc>
          <w:tcPr>
            <w:tcW w:w="0" w:type="auto"/>
            <w:shd w:val="clear" w:color="auto" w:fill="auto"/>
          </w:tcPr>
          <w:p w14:paraId="5C7C5E7C" w14:textId="77777777" w:rsidR="0008009C" w:rsidRDefault="0008009C">
            <w:pPr>
              <w:rPr>
                <w:rFonts w:ascii="宋体"/>
                <w:vanish/>
              </w:rPr>
            </w:pPr>
          </w:p>
        </w:tc>
        <w:tc>
          <w:tcPr>
            <w:tcW w:w="0" w:type="auto"/>
            <w:gridSpan w:val="3"/>
            <w:shd w:val="clear" w:color="auto" w:fill="auto"/>
          </w:tcPr>
          <w:p w14:paraId="5C7C5E7D" w14:textId="77777777" w:rsidR="0008009C" w:rsidRDefault="0008009C">
            <w:pPr>
              <w:rPr>
                <w:rFonts w:ascii="宋体"/>
                <w:vanish/>
              </w:rPr>
            </w:pPr>
          </w:p>
        </w:tc>
        <w:tc>
          <w:tcPr>
            <w:tcW w:w="0" w:type="auto"/>
            <w:gridSpan w:val="3"/>
            <w:shd w:val="clear" w:color="auto" w:fill="auto"/>
          </w:tcPr>
          <w:p w14:paraId="5C7C5E7E" w14:textId="77777777" w:rsidR="0008009C" w:rsidRDefault="0008009C">
            <w:pPr>
              <w:rPr>
                <w:rFonts w:ascii="宋体"/>
                <w:vanish/>
              </w:rPr>
            </w:pPr>
          </w:p>
        </w:tc>
      </w:tr>
      <w:tr w:rsidR="0008009C" w14:paraId="5C7C5E8D" w14:textId="77777777">
        <w:tc>
          <w:tcPr>
            <w:tcW w:w="0" w:type="auto"/>
            <w:gridSpan w:val="3"/>
            <w:shd w:val="clear" w:color="auto" w:fill="auto"/>
            <w:tcMar>
              <w:top w:w="40" w:type="dxa"/>
              <w:left w:w="20" w:type="dxa"/>
              <w:bottom w:w="40" w:type="dxa"/>
              <w:right w:w="20" w:type="dxa"/>
            </w:tcMar>
          </w:tcPr>
          <w:p w14:paraId="5C7C5E80" w14:textId="77777777" w:rsidR="0008009C" w:rsidRDefault="00936FDF">
            <w:pPr>
              <w:textAlignment w:val="top"/>
            </w:pPr>
            <w:r>
              <w:rPr>
                <w:rFonts w:ascii="Arial" w:eastAsia="宋体" w:hAnsi="Arial" w:cs="Arial"/>
                <w:b/>
                <w:bCs/>
                <w:color w:val="262626"/>
                <w:sz w:val="18"/>
                <w:szCs w:val="18"/>
              </w:rPr>
              <w:t>Earnings per share—basic</w:t>
            </w:r>
          </w:p>
        </w:tc>
        <w:tc>
          <w:tcPr>
            <w:tcW w:w="0" w:type="auto"/>
            <w:gridSpan w:val="3"/>
            <w:shd w:val="clear" w:color="auto" w:fill="auto"/>
            <w:tcMar>
              <w:top w:w="0" w:type="dxa"/>
              <w:left w:w="20" w:type="dxa"/>
              <w:bottom w:w="0" w:type="dxa"/>
              <w:right w:w="20" w:type="dxa"/>
            </w:tcMar>
          </w:tcPr>
          <w:p w14:paraId="5C7C5E81" w14:textId="77777777" w:rsidR="0008009C" w:rsidRDefault="0008009C">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5C7C5E82" w14:textId="77777777" w:rsidR="0008009C" w:rsidRDefault="00936FDF">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5C7C5E83" w14:textId="77777777" w:rsidR="0008009C" w:rsidRDefault="00936FDF">
            <w:pPr>
              <w:jc w:val="right"/>
              <w:textAlignment w:val="bottom"/>
            </w:pPr>
            <w:r>
              <w:rPr>
                <w:rFonts w:ascii="Arial" w:eastAsia="宋体" w:hAnsi="Arial" w:cs="Arial"/>
                <w:b/>
                <w:bCs/>
                <w:color w:val="0068B5"/>
                <w:sz w:val="18"/>
                <w:szCs w:val="18"/>
              </w:rPr>
              <w:t>0.83</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5C7C5E8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E85" w14:textId="77777777" w:rsidR="0008009C" w:rsidRDefault="0008009C">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5C7C5E86" w14:textId="77777777" w:rsidR="0008009C" w:rsidRDefault="00936FDF">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5C7C5E87" w14:textId="77777777" w:rsidR="0008009C" w:rsidRDefault="00936FDF">
            <w:pPr>
              <w:jc w:val="right"/>
              <w:textAlignment w:val="bottom"/>
            </w:pPr>
            <w:r>
              <w:rPr>
                <w:rFonts w:ascii="Arial" w:eastAsia="宋体" w:hAnsi="Arial" w:cs="Arial"/>
                <w:b/>
                <w:bCs/>
                <w:color w:val="262626"/>
                <w:sz w:val="18"/>
                <w:szCs w:val="18"/>
              </w:rPr>
              <w:t>1.33</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5C7C5E88" w14:textId="77777777" w:rsidR="0008009C" w:rsidRDefault="0008009C">
            <w:pPr>
              <w:jc w:val="right"/>
              <w:rPr>
                <w:rFonts w:ascii="宋体"/>
              </w:rPr>
            </w:pPr>
          </w:p>
        </w:tc>
        <w:tc>
          <w:tcPr>
            <w:tcW w:w="0" w:type="auto"/>
            <w:shd w:val="clear" w:color="auto" w:fill="auto"/>
          </w:tcPr>
          <w:p w14:paraId="5C7C5E89" w14:textId="77777777" w:rsidR="0008009C" w:rsidRDefault="0008009C">
            <w:pPr>
              <w:rPr>
                <w:rFonts w:ascii="宋体"/>
                <w:vanish/>
              </w:rPr>
            </w:pPr>
          </w:p>
        </w:tc>
        <w:tc>
          <w:tcPr>
            <w:tcW w:w="0" w:type="auto"/>
            <w:shd w:val="clear" w:color="auto" w:fill="auto"/>
          </w:tcPr>
          <w:p w14:paraId="5C7C5E8A" w14:textId="77777777" w:rsidR="0008009C" w:rsidRDefault="0008009C">
            <w:pPr>
              <w:rPr>
                <w:rFonts w:ascii="宋体"/>
                <w:vanish/>
              </w:rPr>
            </w:pPr>
          </w:p>
        </w:tc>
        <w:tc>
          <w:tcPr>
            <w:tcW w:w="0" w:type="auto"/>
            <w:gridSpan w:val="3"/>
            <w:shd w:val="clear" w:color="auto" w:fill="auto"/>
          </w:tcPr>
          <w:p w14:paraId="5C7C5E8B" w14:textId="77777777" w:rsidR="0008009C" w:rsidRDefault="0008009C">
            <w:pPr>
              <w:rPr>
                <w:rFonts w:ascii="宋体"/>
                <w:vanish/>
              </w:rPr>
            </w:pPr>
          </w:p>
        </w:tc>
        <w:tc>
          <w:tcPr>
            <w:tcW w:w="0" w:type="auto"/>
            <w:gridSpan w:val="3"/>
            <w:shd w:val="clear" w:color="auto" w:fill="auto"/>
          </w:tcPr>
          <w:p w14:paraId="5C7C5E8C" w14:textId="77777777" w:rsidR="0008009C" w:rsidRDefault="0008009C">
            <w:pPr>
              <w:rPr>
                <w:rFonts w:ascii="宋体"/>
                <w:vanish/>
              </w:rPr>
            </w:pPr>
          </w:p>
        </w:tc>
      </w:tr>
      <w:tr w:rsidR="0008009C" w14:paraId="5C7C5E9B" w14:textId="77777777">
        <w:tc>
          <w:tcPr>
            <w:tcW w:w="0" w:type="auto"/>
            <w:gridSpan w:val="3"/>
            <w:shd w:val="clear" w:color="auto" w:fill="auto"/>
            <w:tcMar>
              <w:top w:w="40" w:type="dxa"/>
              <w:left w:w="20" w:type="dxa"/>
              <w:bottom w:w="40" w:type="dxa"/>
              <w:right w:w="20" w:type="dxa"/>
            </w:tcMar>
          </w:tcPr>
          <w:p w14:paraId="5C7C5E8E" w14:textId="77777777" w:rsidR="0008009C" w:rsidRDefault="00936FDF">
            <w:pPr>
              <w:textAlignment w:val="top"/>
            </w:pPr>
            <w:r>
              <w:rPr>
                <w:rFonts w:ascii="Arial" w:eastAsia="宋体" w:hAnsi="Arial" w:cs="Arial"/>
                <w:b/>
                <w:bCs/>
                <w:color w:val="262626"/>
                <w:sz w:val="18"/>
                <w:szCs w:val="18"/>
              </w:rPr>
              <w:t>Earnings</w:t>
            </w:r>
            <w:r>
              <w:rPr>
                <w:rFonts w:ascii="Arial" w:eastAsia="宋体" w:hAnsi="Arial" w:cs="Arial"/>
                <w:b/>
                <w:bCs/>
                <w:color w:val="262626"/>
                <w:sz w:val="18"/>
                <w:szCs w:val="18"/>
              </w:rPr>
              <w:t xml:space="preserve"> per share—diluted</w:t>
            </w:r>
          </w:p>
        </w:tc>
        <w:tc>
          <w:tcPr>
            <w:tcW w:w="0" w:type="auto"/>
            <w:gridSpan w:val="3"/>
            <w:shd w:val="clear" w:color="auto" w:fill="auto"/>
            <w:tcMar>
              <w:top w:w="0" w:type="dxa"/>
              <w:left w:w="20" w:type="dxa"/>
              <w:bottom w:w="0" w:type="dxa"/>
              <w:right w:w="20" w:type="dxa"/>
            </w:tcMar>
          </w:tcPr>
          <w:p w14:paraId="5C7C5E8F" w14:textId="77777777" w:rsidR="0008009C" w:rsidRDefault="0008009C">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5C7C5E90" w14:textId="77777777" w:rsidR="0008009C" w:rsidRDefault="00936FDF">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5C7C5E91" w14:textId="77777777" w:rsidR="0008009C" w:rsidRDefault="00936FDF">
            <w:pPr>
              <w:jc w:val="right"/>
              <w:textAlignment w:val="bottom"/>
            </w:pPr>
            <w:r>
              <w:rPr>
                <w:rFonts w:ascii="Arial" w:eastAsia="宋体" w:hAnsi="Arial" w:cs="Arial"/>
                <w:b/>
                <w:bCs/>
                <w:color w:val="0068B5"/>
                <w:sz w:val="18"/>
                <w:szCs w:val="18"/>
              </w:rPr>
              <w:t>0.82</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5C7C5E9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E93" w14:textId="77777777" w:rsidR="0008009C" w:rsidRDefault="0008009C">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5C7C5E94" w14:textId="77777777" w:rsidR="0008009C" w:rsidRDefault="00936FDF">
            <w:pPr>
              <w:textAlignment w:val="bottom"/>
            </w:pPr>
            <w:r>
              <w:rPr>
                <w:rFonts w:ascii="Arial" w:eastAsia="宋体" w:hAnsi="Arial" w:cs="Arial"/>
                <w:b/>
                <w:bCs/>
                <w:color w:val="262626"/>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5C7C5E95" w14:textId="77777777" w:rsidR="0008009C" w:rsidRDefault="00936FDF">
            <w:pPr>
              <w:jc w:val="right"/>
              <w:textAlignment w:val="bottom"/>
            </w:pPr>
            <w:r>
              <w:rPr>
                <w:rFonts w:ascii="Arial" w:eastAsia="宋体" w:hAnsi="Arial" w:cs="Arial"/>
                <w:b/>
                <w:bCs/>
                <w:color w:val="262626"/>
                <w:sz w:val="18"/>
                <w:szCs w:val="18"/>
              </w:rPr>
              <w:t>1.31</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5C7C5E96" w14:textId="77777777" w:rsidR="0008009C" w:rsidRDefault="0008009C">
            <w:pPr>
              <w:jc w:val="right"/>
              <w:rPr>
                <w:rFonts w:ascii="宋体"/>
              </w:rPr>
            </w:pPr>
          </w:p>
        </w:tc>
        <w:tc>
          <w:tcPr>
            <w:tcW w:w="0" w:type="auto"/>
            <w:shd w:val="clear" w:color="auto" w:fill="auto"/>
          </w:tcPr>
          <w:p w14:paraId="5C7C5E97" w14:textId="77777777" w:rsidR="0008009C" w:rsidRDefault="0008009C">
            <w:pPr>
              <w:rPr>
                <w:rFonts w:ascii="宋体"/>
                <w:vanish/>
              </w:rPr>
            </w:pPr>
          </w:p>
        </w:tc>
        <w:tc>
          <w:tcPr>
            <w:tcW w:w="0" w:type="auto"/>
            <w:shd w:val="clear" w:color="auto" w:fill="auto"/>
          </w:tcPr>
          <w:p w14:paraId="5C7C5E98" w14:textId="77777777" w:rsidR="0008009C" w:rsidRDefault="0008009C">
            <w:pPr>
              <w:rPr>
                <w:rFonts w:ascii="宋体"/>
                <w:vanish/>
              </w:rPr>
            </w:pPr>
          </w:p>
        </w:tc>
        <w:tc>
          <w:tcPr>
            <w:tcW w:w="0" w:type="auto"/>
            <w:gridSpan w:val="3"/>
            <w:shd w:val="clear" w:color="auto" w:fill="auto"/>
          </w:tcPr>
          <w:p w14:paraId="5C7C5E99" w14:textId="77777777" w:rsidR="0008009C" w:rsidRDefault="0008009C">
            <w:pPr>
              <w:rPr>
                <w:rFonts w:ascii="宋体"/>
                <w:vanish/>
              </w:rPr>
            </w:pPr>
          </w:p>
        </w:tc>
        <w:tc>
          <w:tcPr>
            <w:tcW w:w="0" w:type="auto"/>
            <w:gridSpan w:val="3"/>
            <w:shd w:val="clear" w:color="auto" w:fill="auto"/>
          </w:tcPr>
          <w:p w14:paraId="5C7C5E9A" w14:textId="77777777" w:rsidR="0008009C" w:rsidRDefault="0008009C">
            <w:pPr>
              <w:rPr>
                <w:rFonts w:ascii="宋体"/>
                <w:vanish/>
              </w:rPr>
            </w:pPr>
          </w:p>
        </w:tc>
      </w:tr>
    </w:tbl>
    <w:p w14:paraId="5C7C5E9C" w14:textId="77777777" w:rsidR="0008009C" w:rsidRDefault="00936FDF">
      <w:pPr>
        <w:spacing w:before="180" w:after="180"/>
      </w:pPr>
      <w:r>
        <w:rPr>
          <w:rFonts w:ascii="Arial" w:eastAsia="宋体" w:hAnsi="Arial" w:cs="Arial"/>
          <w:color w:val="262626"/>
          <w:sz w:val="18"/>
          <w:szCs w:val="18"/>
        </w:rPr>
        <w:t>Potentially dilutive shares of common stock from employee equity incentive plans are determined by applying the treasury stock method to the assumed exercise of outstanding stock options, the assumed vesting of outstanding RSUs, and the assumed issuance of</w:t>
      </w:r>
      <w:r>
        <w:rPr>
          <w:rFonts w:ascii="Arial" w:eastAsia="宋体" w:hAnsi="Arial" w:cs="Arial"/>
          <w:color w:val="262626"/>
          <w:sz w:val="18"/>
          <w:szCs w:val="18"/>
        </w:rPr>
        <w:t xml:space="preserve"> common stock under the stock purchase plan.</w:t>
      </w:r>
    </w:p>
    <w:p w14:paraId="5C7C5E9D" w14:textId="77777777" w:rsidR="0008009C" w:rsidRDefault="00936FDF">
      <w:pPr>
        <w:spacing w:after="180"/>
      </w:pPr>
      <w:r>
        <w:rPr>
          <w:rFonts w:ascii="Arial" w:eastAsia="宋体" w:hAnsi="Arial" w:cs="Arial"/>
          <w:color w:val="262626"/>
          <w:sz w:val="18"/>
          <w:szCs w:val="18"/>
        </w:rPr>
        <w:t xml:space="preserve">Securities which would have been anti-dilutive are insignificant and are excluded from the computation of diluted earnings per share in all periods presented.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8009C" w14:paraId="5C7C5EA4" w14:textId="77777777">
        <w:tc>
          <w:tcPr>
            <w:tcW w:w="50" w:type="pct"/>
            <w:shd w:val="clear" w:color="auto" w:fill="auto"/>
          </w:tcPr>
          <w:p w14:paraId="5C7C5E9E" w14:textId="77777777" w:rsidR="0008009C" w:rsidRDefault="0008009C">
            <w:pPr>
              <w:rPr>
                <w:rFonts w:ascii="宋体"/>
              </w:rPr>
            </w:pPr>
          </w:p>
        </w:tc>
        <w:tc>
          <w:tcPr>
            <w:tcW w:w="511" w:type="pct"/>
            <w:shd w:val="clear" w:color="auto" w:fill="auto"/>
          </w:tcPr>
          <w:p w14:paraId="5C7C5E9F" w14:textId="77777777" w:rsidR="0008009C" w:rsidRDefault="0008009C">
            <w:pPr>
              <w:rPr>
                <w:rFonts w:ascii="宋体"/>
              </w:rPr>
            </w:pPr>
          </w:p>
        </w:tc>
        <w:tc>
          <w:tcPr>
            <w:tcW w:w="5" w:type="pct"/>
            <w:shd w:val="clear" w:color="auto" w:fill="auto"/>
          </w:tcPr>
          <w:p w14:paraId="5C7C5EA0" w14:textId="77777777" w:rsidR="0008009C" w:rsidRDefault="0008009C">
            <w:pPr>
              <w:rPr>
                <w:rFonts w:ascii="宋体"/>
              </w:rPr>
            </w:pPr>
          </w:p>
        </w:tc>
        <w:tc>
          <w:tcPr>
            <w:tcW w:w="50" w:type="pct"/>
            <w:shd w:val="clear" w:color="auto" w:fill="auto"/>
          </w:tcPr>
          <w:p w14:paraId="5C7C5EA1" w14:textId="77777777" w:rsidR="0008009C" w:rsidRDefault="0008009C">
            <w:pPr>
              <w:rPr>
                <w:rFonts w:ascii="宋体"/>
              </w:rPr>
            </w:pPr>
          </w:p>
        </w:tc>
        <w:tc>
          <w:tcPr>
            <w:tcW w:w="4378" w:type="pct"/>
            <w:shd w:val="clear" w:color="auto" w:fill="auto"/>
          </w:tcPr>
          <w:p w14:paraId="5C7C5EA2" w14:textId="77777777" w:rsidR="0008009C" w:rsidRDefault="0008009C">
            <w:pPr>
              <w:rPr>
                <w:rFonts w:ascii="宋体"/>
              </w:rPr>
            </w:pPr>
          </w:p>
        </w:tc>
        <w:tc>
          <w:tcPr>
            <w:tcW w:w="5" w:type="pct"/>
            <w:shd w:val="clear" w:color="auto" w:fill="auto"/>
          </w:tcPr>
          <w:p w14:paraId="5C7C5EA3" w14:textId="77777777" w:rsidR="0008009C" w:rsidRDefault="0008009C">
            <w:pPr>
              <w:rPr>
                <w:rFonts w:ascii="宋体"/>
              </w:rPr>
            </w:pPr>
          </w:p>
        </w:tc>
      </w:tr>
      <w:tr w:rsidR="0008009C" w14:paraId="5C7C5EA7"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C7C5EA5" w14:textId="77777777" w:rsidR="0008009C" w:rsidRDefault="00936FDF">
            <w:pPr>
              <w:textAlignment w:val="bottom"/>
            </w:pPr>
            <w:r>
              <w:rPr>
                <w:rFonts w:ascii="Arial" w:eastAsia="宋体" w:hAnsi="Arial" w:cs="Arial"/>
                <w:color w:val="FFFFFF"/>
                <w:sz w:val="28"/>
                <w:szCs w:val="28"/>
              </w:rPr>
              <w:t xml:space="preserve">Note 4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C7C5EA6" w14:textId="77777777" w:rsidR="0008009C" w:rsidRDefault="00936FDF">
            <w:pPr>
              <w:textAlignment w:val="bottom"/>
            </w:pPr>
            <w:r>
              <w:rPr>
                <w:rFonts w:ascii="Arial" w:eastAsia="宋体" w:hAnsi="Arial" w:cs="Arial"/>
                <w:color w:val="0068B5"/>
                <w:sz w:val="28"/>
                <w:szCs w:val="28"/>
              </w:rPr>
              <w:t>Contract Liabilities</w:t>
            </w:r>
          </w:p>
        </w:tc>
      </w:tr>
    </w:tbl>
    <w:p w14:paraId="5C7C5EA8" w14:textId="77777777" w:rsidR="0008009C" w:rsidRDefault="00936FDF">
      <w:pPr>
        <w:spacing w:after="180"/>
      </w:pPr>
      <w:r>
        <w:rPr>
          <w:rFonts w:ascii="Arial" w:eastAsia="宋体" w:hAnsi="Arial" w:cs="Arial"/>
          <w:color w:val="262626"/>
          <w:sz w:val="18"/>
          <w:szCs w:val="18"/>
        </w:rPr>
        <w:t>Contract liabilities consist of prepayments received from customers on long-term prepaid supply agreements toward future product delivery and other revenue deferrals from regular ongoing business activity. Contract liabilities were $396 million as of March</w:t>
      </w:r>
      <w:r>
        <w:rPr>
          <w:rFonts w:ascii="Arial" w:eastAsia="宋体" w:hAnsi="Arial" w:cs="Arial"/>
          <w:color w:val="262626"/>
          <w:sz w:val="18"/>
          <w:szCs w:val="18"/>
        </w:rPr>
        <w:t> 27, 2021 ($1.9 billion as of December 26, 2020).</w:t>
      </w:r>
    </w:p>
    <w:p w14:paraId="5C7C5EA9" w14:textId="77777777" w:rsidR="0008009C" w:rsidRDefault="00936FDF">
      <w:pPr>
        <w:spacing w:after="120"/>
      </w:pPr>
      <w:r>
        <w:rPr>
          <w:rFonts w:ascii="Arial" w:eastAsia="宋体" w:hAnsi="Arial" w:cs="Arial"/>
          <w:color w:val="262626"/>
          <w:sz w:val="18"/>
          <w:szCs w:val="18"/>
        </w:rPr>
        <w:t>The following table shows the changes in contract liability balances relating to long-term prepaid supply agreements during the first three months of 2021:</w:t>
      </w:r>
    </w:p>
    <w:tbl>
      <w:tblPr>
        <w:tblW w:w="5000" w:type="pct"/>
        <w:tblCellMar>
          <w:top w:w="15" w:type="dxa"/>
          <w:left w:w="15" w:type="dxa"/>
          <w:bottom w:w="15" w:type="dxa"/>
          <w:right w:w="15" w:type="dxa"/>
        </w:tblCellMar>
        <w:tblLook w:val="04A0" w:firstRow="1" w:lastRow="0" w:firstColumn="1" w:lastColumn="0" w:noHBand="0" w:noVBand="1"/>
      </w:tblPr>
      <w:tblGrid>
        <w:gridCol w:w="46"/>
        <w:gridCol w:w="7160"/>
        <w:gridCol w:w="36"/>
        <w:gridCol w:w="36"/>
        <w:gridCol w:w="36"/>
        <w:gridCol w:w="36"/>
        <w:gridCol w:w="121"/>
        <w:gridCol w:w="829"/>
        <w:gridCol w:w="36"/>
      </w:tblGrid>
      <w:tr w:rsidR="0008009C" w14:paraId="5C7C5EB3" w14:textId="77777777">
        <w:tc>
          <w:tcPr>
            <w:tcW w:w="50" w:type="pct"/>
            <w:shd w:val="clear" w:color="auto" w:fill="auto"/>
          </w:tcPr>
          <w:p w14:paraId="5C7C5EAA" w14:textId="77777777" w:rsidR="0008009C" w:rsidRDefault="0008009C">
            <w:pPr>
              <w:rPr>
                <w:rFonts w:ascii="宋体"/>
              </w:rPr>
            </w:pPr>
          </w:p>
        </w:tc>
        <w:tc>
          <w:tcPr>
            <w:tcW w:w="4316" w:type="pct"/>
            <w:shd w:val="clear" w:color="auto" w:fill="auto"/>
          </w:tcPr>
          <w:p w14:paraId="5C7C5EAB" w14:textId="77777777" w:rsidR="0008009C" w:rsidRDefault="0008009C">
            <w:pPr>
              <w:rPr>
                <w:rFonts w:ascii="宋体"/>
              </w:rPr>
            </w:pPr>
          </w:p>
        </w:tc>
        <w:tc>
          <w:tcPr>
            <w:tcW w:w="5" w:type="pct"/>
            <w:shd w:val="clear" w:color="auto" w:fill="auto"/>
          </w:tcPr>
          <w:p w14:paraId="5C7C5EAC" w14:textId="77777777" w:rsidR="0008009C" w:rsidRDefault="0008009C">
            <w:pPr>
              <w:rPr>
                <w:rFonts w:ascii="宋体"/>
              </w:rPr>
            </w:pPr>
          </w:p>
        </w:tc>
        <w:tc>
          <w:tcPr>
            <w:tcW w:w="5" w:type="pct"/>
            <w:shd w:val="clear" w:color="auto" w:fill="auto"/>
          </w:tcPr>
          <w:p w14:paraId="5C7C5EAD" w14:textId="77777777" w:rsidR="0008009C" w:rsidRDefault="0008009C">
            <w:pPr>
              <w:rPr>
                <w:rFonts w:ascii="宋体"/>
              </w:rPr>
            </w:pPr>
          </w:p>
        </w:tc>
        <w:tc>
          <w:tcPr>
            <w:tcW w:w="24" w:type="pct"/>
            <w:shd w:val="clear" w:color="auto" w:fill="auto"/>
          </w:tcPr>
          <w:p w14:paraId="5C7C5EAE" w14:textId="77777777" w:rsidR="0008009C" w:rsidRDefault="0008009C">
            <w:pPr>
              <w:rPr>
                <w:rFonts w:ascii="宋体"/>
              </w:rPr>
            </w:pPr>
          </w:p>
        </w:tc>
        <w:tc>
          <w:tcPr>
            <w:tcW w:w="5" w:type="pct"/>
            <w:shd w:val="clear" w:color="auto" w:fill="auto"/>
          </w:tcPr>
          <w:p w14:paraId="5C7C5EAF" w14:textId="77777777" w:rsidR="0008009C" w:rsidRDefault="0008009C">
            <w:pPr>
              <w:rPr>
                <w:rFonts w:ascii="宋体"/>
              </w:rPr>
            </w:pPr>
          </w:p>
        </w:tc>
        <w:tc>
          <w:tcPr>
            <w:tcW w:w="50" w:type="pct"/>
            <w:shd w:val="clear" w:color="auto" w:fill="auto"/>
          </w:tcPr>
          <w:p w14:paraId="5C7C5EB0" w14:textId="77777777" w:rsidR="0008009C" w:rsidRDefault="0008009C">
            <w:pPr>
              <w:rPr>
                <w:rFonts w:ascii="宋体"/>
              </w:rPr>
            </w:pPr>
          </w:p>
        </w:tc>
        <w:tc>
          <w:tcPr>
            <w:tcW w:w="539" w:type="pct"/>
            <w:shd w:val="clear" w:color="auto" w:fill="auto"/>
          </w:tcPr>
          <w:p w14:paraId="5C7C5EB1" w14:textId="77777777" w:rsidR="0008009C" w:rsidRDefault="0008009C">
            <w:pPr>
              <w:rPr>
                <w:rFonts w:ascii="宋体"/>
              </w:rPr>
            </w:pPr>
          </w:p>
        </w:tc>
        <w:tc>
          <w:tcPr>
            <w:tcW w:w="5" w:type="pct"/>
            <w:shd w:val="clear" w:color="auto" w:fill="auto"/>
          </w:tcPr>
          <w:p w14:paraId="5C7C5EB2" w14:textId="77777777" w:rsidR="0008009C" w:rsidRDefault="0008009C">
            <w:pPr>
              <w:rPr>
                <w:rFonts w:ascii="宋体"/>
              </w:rPr>
            </w:pPr>
          </w:p>
        </w:tc>
      </w:tr>
      <w:tr w:rsidR="0008009C" w14:paraId="5C7C5EB7" w14:textId="77777777">
        <w:tc>
          <w:tcPr>
            <w:tcW w:w="0" w:type="auto"/>
            <w:gridSpan w:val="3"/>
            <w:shd w:val="clear" w:color="auto" w:fill="auto"/>
            <w:tcMar>
              <w:top w:w="40" w:type="dxa"/>
              <w:left w:w="20" w:type="dxa"/>
              <w:bottom w:w="40" w:type="dxa"/>
              <w:right w:w="20" w:type="dxa"/>
            </w:tcMar>
            <w:vAlign w:val="bottom"/>
          </w:tcPr>
          <w:p w14:paraId="5C7C5EB4"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5EB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EB6" w14:textId="77777777" w:rsidR="0008009C" w:rsidRDefault="0008009C">
            <w:pPr>
              <w:rPr>
                <w:rFonts w:ascii="宋体"/>
              </w:rPr>
            </w:pPr>
          </w:p>
        </w:tc>
      </w:tr>
      <w:tr w:rsidR="0008009C" w14:paraId="5C7C5EB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EB8" w14:textId="77777777" w:rsidR="0008009C" w:rsidRDefault="00936FDF">
            <w:pPr>
              <w:textAlignment w:val="bottom"/>
            </w:pPr>
            <w:r>
              <w:rPr>
                <w:rFonts w:ascii="Arial" w:eastAsia="宋体" w:hAnsi="Arial" w:cs="Arial"/>
                <w:b/>
                <w:bCs/>
                <w:color w:val="262626"/>
                <w:sz w:val="18"/>
                <w:szCs w:val="18"/>
              </w:rPr>
              <w:t xml:space="preserve">Prepaid supply </w:t>
            </w:r>
            <w:r>
              <w:rPr>
                <w:rFonts w:ascii="Arial" w:eastAsia="宋体" w:hAnsi="Arial" w:cs="Arial"/>
                <w:b/>
                <w:bCs/>
                <w:color w:val="262626"/>
                <w:sz w:val="18"/>
                <w:szCs w:val="18"/>
              </w:rPr>
              <w:t>agreements balance as of December 26, 2020</w:t>
            </w:r>
          </w:p>
        </w:tc>
        <w:tc>
          <w:tcPr>
            <w:tcW w:w="0" w:type="auto"/>
            <w:gridSpan w:val="3"/>
            <w:shd w:val="clear" w:color="auto" w:fill="auto"/>
            <w:tcMar>
              <w:top w:w="0" w:type="dxa"/>
              <w:left w:w="20" w:type="dxa"/>
              <w:bottom w:w="0" w:type="dxa"/>
              <w:right w:w="20" w:type="dxa"/>
            </w:tcMar>
          </w:tcPr>
          <w:p w14:paraId="5C7C5EB9"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5EBA"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5EBB" w14:textId="77777777" w:rsidR="0008009C" w:rsidRDefault="00936FDF">
            <w:pPr>
              <w:jc w:val="right"/>
              <w:textAlignment w:val="bottom"/>
            </w:pPr>
            <w:r>
              <w:rPr>
                <w:rFonts w:ascii="Arial" w:eastAsia="宋体" w:hAnsi="Arial" w:cs="Arial"/>
                <w:b/>
                <w:bCs/>
                <w:color w:val="262626"/>
                <w:sz w:val="18"/>
                <w:szCs w:val="18"/>
              </w:rPr>
              <w:t>1,625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5EBC" w14:textId="77777777" w:rsidR="0008009C" w:rsidRDefault="0008009C">
            <w:pPr>
              <w:jc w:val="right"/>
              <w:rPr>
                <w:rFonts w:ascii="宋体"/>
              </w:rPr>
            </w:pPr>
          </w:p>
        </w:tc>
      </w:tr>
      <w:tr w:rsidR="0008009C" w14:paraId="5C7C5EC1" w14:textId="77777777">
        <w:trPr>
          <w:hidden/>
        </w:trPr>
        <w:tc>
          <w:tcPr>
            <w:tcW w:w="0" w:type="auto"/>
            <w:gridSpan w:val="3"/>
            <w:shd w:val="clear" w:color="auto" w:fill="auto"/>
          </w:tcPr>
          <w:p w14:paraId="5C7C5EBE" w14:textId="77777777" w:rsidR="0008009C" w:rsidRDefault="0008009C">
            <w:pPr>
              <w:rPr>
                <w:rFonts w:ascii="宋体"/>
                <w:vanish/>
              </w:rPr>
            </w:pPr>
          </w:p>
        </w:tc>
        <w:tc>
          <w:tcPr>
            <w:tcW w:w="0" w:type="auto"/>
            <w:gridSpan w:val="3"/>
            <w:shd w:val="clear" w:color="auto" w:fill="auto"/>
          </w:tcPr>
          <w:p w14:paraId="5C7C5EBF" w14:textId="77777777" w:rsidR="0008009C" w:rsidRDefault="0008009C">
            <w:pPr>
              <w:rPr>
                <w:rFonts w:ascii="宋体"/>
                <w:vanish/>
              </w:rPr>
            </w:pPr>
          </w:p>
        </w:tc>
        <w:tc>
          <w:tcPr>
            <w:tcW w:w="0" w:type="auto"/>
            <w:gridSpan w:val="3"/>
            <w:shd w:val="clear" w:color="auto" w:fill="auto"/>
          </w:tcPr>
          <w:p w14:paraId="5C7C5EC0" w14:textId="77777777" w:rsidR="0008009C" w:rsidRDefault="0008009C">
            <w:pPr>
              <w:rPr>
                <w:rFonts w:ascii="宋体"/>
                <w:vanish/>
              </w:rPr>
            </w:pPr>
          </w:p>
        </w:tc>
      </w:tr>
      <w:tr w:rsidR="0008009C" w14:paraId="5C7C5EC6" w14:textId="77777777">
        <w:tc>
          <w:tcPr>
            <w:tcW w:w="0" w:type="auto"/>
            <w:gridSpan w:val="3"/>
            <w:shd w:val="clear" w:color="auto" w:fill="auto"/>
            <w:tcMar>
              <w:top w:w="40" w:type="dxa"/>
              <w:left w:w="20" w:type="dxa"/>
              <w:bottom w:w="40" w:type="dxa"/>
              <w:right w:w="20" w:type="dxa"/>
            </w:tcMar>
            <w:vAlign w:val="bottom"/>
          </w:tcPr>
          <w:p w14:paraId="5C7C5EC2" w14:textId="77777777" w:rsidR="0008009C" w:rsidRDefault="00936FDF">
            <w:pPr>
              <w:textAlignment w:val="bottom"/>
            </w:pPr>
            <w:r>
              <w:rPr>
                <w:rFonts w:ascii="Arial" w:eastAsia="宋体" w:hAnsi="Arial" w:cs="Arial"/>
                <w:color w:val="262626"/>
                <w:sz w:val="18"/>
                <w:szCs w:val="18"/>
              </w:rPr>
              <w:t>Concession payment</w:t>
            </w:r>
          </w:p>
        </w:tc>
        <w:tc>
          <w:tcPr>
            <w:tcW w:w="0" w:type="auto"/>
            <w:gridSpan w:val="3"/>
            <w:shd w:val="clear" w:color="auto" w:fill="auto"/>
            <w:tcMar>
              <w:top w:w="0" w:type="dxa"/>
              <w:left w:w="20" w:type="dxa"/>
              <w:bottom w:w="0" w:type="dxa"/>
              <w:right w:w="20" w:type="dxa"/>
            </w:tcMar>
          </w:tcPr>
          <w:p w14:paraId="5C7C5EC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EC4" w14:textId="77777777" w:rsidR="0008009C" w:rsidRDefault="00936FDF">
            <w:pPr>
              <w:jc w:val="right"/>
              <w:textAlignment w:val="bottom"/>
            </w:pPr>
            <w:r>
              <w:rPr>
                <w:rFonts w:ascii="Arial" w:eastAsia="宋体" w:hAnsi="Arial" w:cs="Arial"/>
                <w:color w:val="0068B5"/>
                <w:sz w:val="18"/>
                <w:szCs w:val="18"/>
              </w:rPr>
              <w:t>(950)</w:t>
            </w:r>
          </w:p>
        </w:tc>
        <w:tc>
          <w:tcPr>
            <w:tcW w:w="0" w:type="auto"/>
            <w:shd w:val="clear" w:color="auto" w:fill="auto"/>
            <w:tcMar>
              <w:top w:w="40" w:type="dxa"/>
              <w:left w:w="0" w:type="dxa"/>
              <w:bottom w:w="40" w:type="dxa"/>
              <w:right w:w="20" w:type="dxa"/>
            </w:tcMar>
            <w:vAlign w:val="bottom"/>
          </w:tcPr>
          <w:p w14:paraId="5C7C5EC5" w14:textId="77777777" w:rsidR="0008009C" w:rsidRDefault="0008009C">
            <w:pPr>
              <w:jc w:val="right"/>
              <w:rPr>
                <w:rFonts w:ascii="宋体"/>
              </w:rPr>
            </w:pPr>
          </w:p>
        </w:tc>
      </w:tr>
      <w:tr w:rsidR="0008009C" w14:paraId="5C7C5ECB" w14:textId="77777777">
        <w:tc>
          <w:tcPr>
            <w:tcW w:w="0" w:type="auto"/>
            <w:gridSpan w:val="3"/>
            <w:shd w:val="clear" w:color="auto" w:fill="auto"/>
            <w:tcMar>
              <w:top w:w="40" w:type="dxa"/>
              <w:left w:w="20" w:type="dxa"/>
              <w:bottom w:w="40" w:type="dxa"/>
              <w:right w:w="20" w:type="dxa"/>
            </w:tcMar>
            <w:vAlign w:val="bottom"/>
          </w:tcPr>
          <w:p w14:paraId="5C7C5EC7" w14:textId="77777777" w:rsidR="0008009C" w:rsidRDefault="00936FDF">
            <w:pPr>
              <w:textAlignment w:val="bottom"/>
            </w:pPr>
            <w:r>
              <w:rPr>
                <w:rFonts w:ascii="Arial" w:eastAsia="宋体" w:hAnsi="Arial" w:cs="Arial"/>
                <w:color w:val="262626"/>
                <w:sz w:val="18"/>
                <w:szCs w:val="18"/>
              </w:rPr>
              <w:t>Prepaids utilized</w:t>
            </w:r>
          </w:p>
        </w:tc>
        <w:tc>
          <w:tcPr>
            <w:tcW w:w="0" w:type="auto"/>
            <w:gridSpan w:val="3"/>
            <w:shd w:val="clear" w:color="auto" w:fill="auto"/>
            <w:tcMar>
              <w:top w:w="0" w:type="dxa"/>
              <w:left w:w="20" w:type="dxa"/>
              <w:bottom w:w="0" w:type="dxa"/>
              <w:right w:w="20" w:type="dxa"/>
            </w:tcMar>
          </w:tcPr>
          <w:p w14:paraId="5C7C5EC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EC9" w14:textId="77777777" w:rsidR="0008009C" w:rsidRDefault="00936FDF">
            <w:pPr>
              <w:jc w:val="right"/>
              <w:textAlignment w:val="bottom"/>
            </w:pPr>
            <w:r>
              <w:rPr>
                <w:rFonts w:ascii="Arial" w:eastAsia="宋体" w:hAnsi="Arial" w:cs="Arial"/>
                <w:color w:val="0068B5"/>
                <w:sz w:val="18"/>
                <w:szCs w:val="18"/>
              </w:rPr>
              <w:t>(616)</w:t>
            </w:r>
          </w:p>
        </w:tc>
        <w:tc>
          <w:tcPr>
            <w:tcW w:w="0" w:type="auto"/>
            <w:shd w:val="clear" w:color="auto" w:fill="auto"/>
            <w:tcMar>
              <w:top w:w="40" w:type="dxa"/>
              <w:left w:w="0" w:type="dxa"/>
              <w:bottom w:w="40" w:type="dxa"/>
              <w:right w:w="20" w:type="dxa"/>
            </w:tcMar>
            <w:vAlign w:val="bottom"/>
          </w:tcPr>
          <w:p w14:paraId="5C7C5ECA" w14:textId="77777777" w:rsidR="0008009C" w:rsidRDefault="0008009C">
            <w:pPr>
              <w:jc w:val="right"/>
              <w:rPr>
                <w:rFonts w:ascii="宋体"/>
              </w:rPr>
            </w:pPr>
          </w:p>
        </w:tc>
      </w:tr>
      <w:tr w:rsidR="0008009C" w14:paraId="5C7C5ED1" w14:textId="77777777">
        <w:tc>
          <w:tcPr>
            <w:tcW w:w="0" w:type="auto"/>
            <w:gridSpan w:val="3"/>
            <w:shd w:val="clear" w:color="auto" w:fill="auto"/>
            <w:tcMar>
              <w:top w:w="40" w:type="dxa"/>
              <w:left w:w="20" w:type="dxa"/>
              <w:bottom w:w="40" w:type="dxa"/>
              <w:right w:w="20" w:type="dxa"/>
            </w:tcMar>
          </w:tcPr>
          <w:p w14:paraId="5C7C5ECC" w14:textId="77777777" w:rsidR="0008009C" w:rsidRDefault="00936FDF">
            <w:pPr>
              <w:textAlignment w:val="top"/>
            </w:pPr>
            <w:r>
              <w:rPr>
                <w:rFonts w:ascii="Arial" w:eastAsia="宋体" w:hAnsi="Arial" w:cs="Arial"/>
                <w:b/>
                <w:bCs/>
                <w:color w:val="262626"/>
                <w:sz w:val="18"/>
                <w:szCs w:val="18"/>
              </w:rPr>
              <w:t>Prepaid supply agreements balance as of March 27, 2021</w:t>
            </w:r>
          </w:p>
        </w:tc>
        <w:tc>
          <w:tcPr>
            <w:tcW w:w="0" w:type="auto"/>
            <w:gridSpan w:val="3"/>
            <w:shd w:val="clear" w:color="auto" w:fill="auto"/>
            <w:tcMar>
              <w:top w:w="0" w:type="dxa"/>
              <w:left w:w="20" w:type="dxa"/>
              <w:bottom w:w="0" w:type="dxa"/>
              <w:right w:w="20" w:type="dxa"/>
            </w:tcMar>
          </w:tcPr>
          <w:p w14:paraId="5C7C5ECD"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ECE"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ECF" w14:textId="77777777" w:rsidR="0008009C" w:rsidRDefault="00936FDF">
            <w:pPr>
              <w:jc w:val="right"/>
              <w:textAlignment w:val="bottom"/>
            </w:pPr>
            <w:r>
              <w:rPr>
                <w:rFonts w:ascii="Arial" w:eastAsia="宋体" w:hAnsi="Arial" w:cs="Arial"/>
                <w:b/>
                <w:bCs/>
                <w:color w:val="0068B5"/>
                <w:sz w:val="18"/>
                <w:szCs w:val="18"/>
              </w:rPr>
              <w:t>59</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ED0" w14:textId="77777777" w:rsidR="0008009C" w:rsidRDefault="0008009C">
            <w:pPr>
              <w:jc w:val="right"/>
              <w:rPr>
                <w:rFonts w:ascii="宋体"/>
              </w:rPr>
            </w:pPr>
          </w:p>
        </w:tc>
      </w:tr>
    </w:tbl>
    <w:p w14:paraId="5C7C5ED2" w14:textId="77777777" w:rsidR="0008009C" w:rsidRDefault="00936FDF">
      <w:pPr>
        <w:spacing w:after="180"/>
      </w:pPr>
      <w:r>
        <w:rPr>
          <w:rFonts w:ascii="Arial" w:eastAsia="宋体" w:hAnsi="Arial" w:cs="Arial"/>
          <w:color w:val="262626"/>
          <w:sz w:val="18"/>
          <w:szCs w:val="18"/>
        </w:rPr>
        <w:t>During the first quarter of 2021, we settled an agreement with our largest prepaid customer whose prepayment balance made up $1.6 billion of our contract liability balance as of December 26, 2020. We returned $950 million to the customer and recognized $58</w:t>
      </w:r>
      <w:r>
        <w:rPr>
          <w:rFonts w:ascii="Arial" w:eastAsia="宋体" w:hAnsi="Arial" w:cs="Arial"/>
          <w:color w:val="262626"/>
          <w:sz w:val="18"/>
          <w:szCs w:val="18"/>
        </w:rPr>
        <w:t>4 million in revenue during the quarter for having completed performance of the prepaid supply agreement. The prepaid supply agreement is excluded from the NAND memory business and is recorded as Corporate revenue in the "all other" category presented in "</w:t>
      </w:r>
      <w:r>
        <w:rPr>
          <w:rFonts w:ascii="Arial" w:eastAsia="宋体" w:hAnsi="Arial" w:cs="Arial"/>
          <w:color w:val="262626"/>
          <w:sz w:val="18"/>
          <w:szCs w:val="18"/>
        </w:rPr>
        <w:t xml:space="preserve">Note 2: Operating Segments" within Notes to Consolidated Condensed Financial Statements.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8009C" w14:paraId="5C7C5ED9" w14:textId="77777777">
        <w:tc>
          <w:tcPr>
            <w:tcW w:w="50" w:type="pct"/>
            <w:shd w:val="clear" w:color="auto" w:fill="auto"/>
          </w:tcPr>
          <w:p w14:paraId="5C7C5ED3" w14:textId="77777777" w:rsidR="0008009C" w:rsidRDefault="0008009C">
            <w:pPr>
              <w:rPr>
                <w:rFonts w:ascii="宋体"/>
              </w:rPr>
            </w:pPr>
          </w:p>
        </w:tc>
        <w:tc>
          <w:tcPr>
            <w:tcW w:w="511" w:type="pct"/>
            <w:shd w:val="clear" w:color="auto" w:fill="auto"/>
          </w:tcPr>
          <w:p w14:paraId="5C7C5ED4" w14:textId="77777777" w:rsidR="0008009C" w:rsidRDefault="0008009C">
            <w:pPr>
              <w:rPr>
                <w:rFonts w:ascii="宋体"/>
              </w:rPr>
            </w:pPr>
          </w:p>
        </w:tc>
        <w:tc>
          <w:tcPr>
            <w:tcW w:w="5" w:type="pct"/>
            <w:shd w:val="clear" w:color="auto" w:fill="auto"/>
          </w:tcPr>
          <w:p w14:paraId="5C7C5ED5" w14:textId="77777777" w:rsidR="0008009C" w:rsidRDefault="0008009C">
            <w:pPr>
              <w:rPr>
                <w:rFonts w:ascii="宋体"/>
              </w:rPr>
            </w:pPr>
          </w:p>
        </w:tc>
        <w:tc>
          <w:tcPr>
            <w:tcW w:w="50" w:type="pct"/>
            <w:shd w:val="clear" w:color="auto" w:fill="auto"/>
          </w:tcPr>
          <w:p w14:paraId="5C7C5ED6" w14:textId="77777777" w:rsidR="0008009C" w:rsidRDefault="0008009C">
            <w:pPr>
              <w:rPr>
                <w:rFonts w:ascii="宋体"/>
              </w:rPr>
            </w:pPr>
          </w:p>
        </w:tc>
        <w:tc>
          <w:tcPr>
            <w:tcW w:w="4378" w:type="pct"/>
            <w:shd w:val="clear" w:color="auto" w:fill="auto"/>
          </w:tcPr>
          <w:p w14:paraId="5C7C5ED7" w14:textId="77777777" w:rsidR="0008009C" w:rsidRDefault="0008009C">
            <w:pPr>
              <w:rPr>
                <w:rFonts w:ascii="宋体"/>
              </w:rPr>
            </w:pPr>
          </w:p>
        </w:tc>
        <w:tc>
          <w:tcPr>
            <w:tcW w:w="5" w:type="pct"/>
            <w:shd w:val="clear" w:color="auto" w:fill="auto"/>
          </w:tcPr>
          <w:p w14:paraId="5C7C5ED8" w14:textId="77777777" w:rsidR="0008009C" w:rsidRDefault="0008009C">
            <w:pPr>
              <w:rPr>
                <w:rFonts w:ascii="宋体"/>
              </w:rPr>
            </w:pPr>
          </w:p>
        </w:tc>
      </w:tr>
      <w:tr w:rsidR="0008009C" w14:paraId="5C7C5EDC"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C7C5EDA" w14:textId="77777777" w:rsidR="0008009C" w:rsidRDefault="00936FDF">
            <w:pPr>
              <w:textAlignment w:val="bottom"/>
            </w:pPr>
            <w:r>
              <w:rPr>
                <w:rFonts w:ascii="Arial" w:eastAsia="宋体" w:hAnsi="Arial" w:cs="Arial"/>
                <w:color w:val="FFFFFF"/>
                <w:sz w:val="28"/>
                <w:szCs w:val="28"/>
              </w:rPr>
              <w:t xml:space="preserve">Note 5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C7C5EDB" w14:textId="77777777" w:rsidR="0008009C" w:rsidRDefault="00936FDF">
            <w:pPr>
              <w:textAlignment w:val="bottom"/>
            </w:pPr>
            <w:r>
              <w:rPr>
                <w:rFonts w:ascii="Arial" w:eastAsia="宋体" w:hAnsi="Arial" w:cs="Arial"/>
                <w:color w:val="0068B5"/>
                <w:sz w:val="28"/>
                <w:szCs w:val="28"/>
              </w:rPr>
              <w:t>Other Financial Statement Details</w:t>
            </w:r>
          </w:p>
        </w:tc>
      </w:tr>
    </w:tbl>
    <w:p w14:paraId="5C7C5EDD" w14:textId="77777777" w:rsidR="0008009C" w:rsidRDefault="00936FDF">
      <w:pPr>
        <w:spacing w:before="300" w:after="180"/>
      </w:pPr>
      <w:r>
        <w:rPr>
          <w:rFonts w:ascii="Arial" w:eastAsia="宋体" w:hAnsi="Arial" w:cs="Arial"/>
          <w:color w:val="0068B5"/>
        </w:rPr>
        <w:t>Inventories</w:t>
      </w:r>
    </w:p>
    <w:tbl>
      <w:tblPr>
        <w:tblW w:w="5000" w:type="pct"/>
        <w:tblCellMar>
          <w:top w:w="15" w:type="dxa"/>
          <w:left w:w="15" w:type="dxa"/>
          <w:bottom w:w="15" w:type="dxa"/>
          <w:right w:w="15" w:type="dxa"/>
        </w:tblCellMar>
        <w:tblLook w:val="04A0" w:firstRow="1" w:lastRow="0" w:firstColumn="1" w:lastColumn="0" w:noHBand="0" w:noVBand="1"/>
      </w:tblPr>
      <w:tblGrid>
        <w:gridCol w:w="38"/>
        <w:gridCol w:w="6105"/>
        <w:gridCol w:w="37"/>
        <w:gridCol w:w="36"/>
        <w:gridCol w:w="36"/>
        <w:gridCol w:w="36"/>
        <w:gridCol w:w="121"/>
        <w:gridCol w:w="813"/>
        <w:gridCol w:w="36"/>
        <w:gridCol w:w="36"/>
        <w:gridCol w:w="36"/>
        <w:gridCol w:w="36"/>
        <w:gridCol w:w="121"/>
        <w:gridCol w:w="813"/>
        <w:gridCol w:w="36"/>
      </w:tblGrid>
      <w:tr w:rsidR="0008009C" w14:paraId="5C7C5EED" w14:textId="77777777">
        <w:tc>
          <w:tcPr>
            <w:tcW w:w="50" w:type="pct"/>
            <w:shd w:val="clear" w:color="auto" w:fill="auto"/>
          </w:tcPr>
          <w:p w14:paraId="5C7C5EDE" w14:textId="77777777" w:rsidR="0008009C" w:rsidRDefault="0008009C">
            <w:pPr>
              <w:rPr>
                <w:rFonts w:ascii="宋体"/>
              </w:rPr>
            </w:pPr>
          </w:p>
        </w:tc>
        <w:tc>
          <w:tcPr>
            <w:tcW w:w="3688" w:type="pct"/>
            <w:shd w:val="clear" w:color="auto" w:fill="auto"/>
          </w:tcPr>
          <w:p w14:paraId="5C7C5EDF" w14:textId="77777777" w:rsidR="0008009C" w:rsidRDefault="0008009C">
            <w:pPr>
              <w:rPr>
                <w:rFonts w:ascii="宋体"/>
              </w:rPr>
            </w:pPr>
          </w:p>
        </w:tc>
        <w:tc>
          <w:tcPr>
            <w:tcW w:w="5" w:type="pct"/>
            <w:shd w:val="clear" w:color="auto" w:fill="auto"/>
          </w:tcPr>
          <w:p w14:paraId="5C7C5EE0" w14:textId="77777777" w:rsidR="0008009C" w:rsidRDefault="0008009C">
            <w:pPr>
              <w:rPr>
                <w:rFonts w:ascii="宋体"/>
              </w:rPr>
            </w:pPr>
          </w:p>
        </w:tc>
        <w:tc>
          <w:tcPr>
            <w:tcW w:w="5" w:type="pct"/>
            <w:shd w:val="clear" w:color="auto" w:fill="auto"/>
          </w:tcPr>
          <w:p w14:paraId="5C7C5EE1" w14:textId="77777777" w:rsidR="0008009C" w:rsidRDefault="0008009C">
            <w:pPr>
              <w:rPr>
                <w:rFonts w:ascii="宋体"/>
              </w:rPr>
            </w:pPr>
          </w:p>
        </w:tc>
        <w:tc>
          <w:tcPr>
            <w:tcW w:w="24" w:type="pct"/>
            <w:shd w:val="clear" w:color="auto" w:fill="auto"/>
          </w:tcPr>
          <w:p w14:paraId="5C7C5EE2" w14:textId="77777777" w:rsidR="0008009C" w:rsidRDefault="0008009C">
            <w:pPr>
              <w:rPr>
                <w:rFonts w:ascii="宋体"/>
              </w:rPr>
            </w:pPr>
          </w:p>
        </w:tc>
        <w:tc>
          <w:tcPr>
            <w:tcW w:w="5" w:type="pct"/>
            <w:shd w:val="clear" w:color="auto" w:fill="auto"/>
          </w:tcPr>
          <w:p w14:paraId="5C7C5EE3" w14:textId="77777777" w:rsidR="0008009C" w:rsidRDefault="0008009C">
            <w:pPr>
              <w:rPr>
                <w:rFonts w:ascii="宋体"/>
              </w:rPr>
            </w:pPr>
          </w:p>
        </w:tc>
        <w:tc>
          <w:tcPr>
            <w:tcW w:w="50" w:type="pct"/>
            <w:shd w:val="clear" w:color="auto" w:fill="auto"/>
          </w:tcPr>
          <w:p w14:paraId="5C7C5EE4" w14:textId="77777777" w:rsidR="0008009C" w:rsidRDefault="0008009C">
            <w:pPr>
              <w:rPr>
                <w:rFonts w:ascii="宋体"/>
              </w:rPr>
            </w:pPr>
          </w:p>
        </w:tc>
        <w:tc>
          <w:tcPr>
            <w:tcW w:w="539" w:type="pct"/>
            <w:shd w:val="clear" w:color="auto" w:fill="auto"/>
          </w:tcPr>
          <w:p w14:paraId="5C7C5EE5" w14:textId="77777777" w:rsidR="0008009C" w:rsidRDefault="0008009C">
            <w:pPr>
              <w:rPr>
                <w:rFonts w:ascii="宋体"/>
              </w:rPr>
            </w:pPr>
          </w:p>
        </w:tc>
        <w:tc>
          <w:tcPr>
            <w:tcW w:w="5" w:type="pct"/>
            <w:shd w:val="clear" w:color="auto" w:fill="auto"/>
          </w:tcPr>
          <w:p w14:paraId="5C7C5EE6" w14:textId="77777777" w:rsidR="0008009C" w:rsidRDefault="0008009C">
            <w:pPr>
              <w:rPr>
                <w:rFonts w:ascii="宋体"/>
              </w:rPr>
            </w:pPr>
          </w:p>
        </w:tc>
        <w:tc>
          <w:tcPr>
            <w:tcW w:w="5" w:type="pct"/>
            <w:shd w:val="clear" w:color="auto" w:fill="auto"/>
          </w:tcPr>
          <w:p w14:paraId="5C7C5EE7" w14:textId="77777777" w:rsidR="0008009C" w:rsidRDefault="0008009C">
            <w:pPr>
              <w:rPr>
                <w:rFonts w:ascii="宋体"/>
              </w:rPr>
            </w:pPr>
          </w:p>
        </w:tc>
        <w:tc>
          <w:tcPr>
            <w:tcW w:w="24" w:type="pct"/>
            <w:shd w:val="clear" w:color="auto" w:fill="auto"/>
          </w:tcPr>
          <w:p w14:paraId="5C7C5EE8" w14:textId="77777777" w:rsidR="0008009C" w:rsidRDefault="0008009C">
            <w:pPr>
              <w:rPr>
                <w:rFonts w:ascii="宋体"/>
              </w:rPr>
            </w:pPr>
          </w:p>
        </w:tc>
        <w:tc>
          <w:tcPr>
            <w:tcW w:w="5" w:type="pct"/>
            <w:shd w:val="clear" w:color="auto" w:fill="auto"/>
          </w:tcPr>
          <w:p w14:paraId="5C7C5EE9" w14:textId="77777777" w:rsidR="0008009C" w:rsidRDefault="0008009C">
            <w:pPr>
              <w:rPr>
                <w:rFonts w:ascii="宋体"/>
              </w:rPr>
            </w:pPr>
          </w:p>
        </w:tc>
        <w:tc>
          <w:tcPr>
            <w:tcW w:w="50" w:type="pct"/>
            <w:shd w:val="clear" w:color="auto" w:fill="auto"/>
          </w:tcPr>
          <w:p w14:paraId="5C7C5EEA" w14:textId="77777777" w:rsidR="0008009C" w:rsidRDefault="0008009C">
            <w:pPr>
              <w:rPr>
                <w:rFonts w:ascii="宋体"/>
              </w:rPr>
            </w:pPr>
          </w:p>
        </w:tc>
        <w:tc>
          <w:tcPr>
            <w:tcW w:w="539" w:type="pct"/>
            <w:shd w:val="clear" w:color="auto" w:fill="auto"/>
          </w:tcPr>
          <w:p w14:paraId="5C7C5EEB" w14:textId="77777777" w:rsidR="0008009C" w:rsidRDefault="0008009C">
            <w:pPr>
              <w:rPr>
                <w:rFonts w:ascii="宋体"/>
              </w:rPr>
            </w:pPr>
          </w:p>
        </w:tc>
        <w:tc>
          <w:tcPr>
            <w:tcW w:w="5" w:type="pct"/>
            <w:shd w:val="clear" w:color="auto" w:fill="auto"/>
          </w:tcPr>
          <w:p w14:paraId="5C7C5EEC" w14:textId="77777777" w:rsidR="0008009C" w:rsidRDefault="0008009C">
            <w:pPr>
              <w:rPr>
                <w:rFonts w:ascii="宋体"/>
              </w:rPr>
            </w:pPr>
          </w:p>
        </w:tc>
      </w:tr>
      <w:tr w:rsidR="0008009C" w14:paraId="5C7C5EF3" w14:textId="77777777">
        <w:tc>
          <w:tcPr>
            <w:tcW w:w="0" w:type="auto"/>
            <w:gridSpan w:val="3"/>
            <w:shd w:val="clear" w:color="auto" w:fill="auto"/>
            <w:tcMar>
              <w:top w:w="40" w:type="dxa"/>
              <w:left w:w="20" w:type="dxa"/>
              <w:bottom w:w="40" w:type="dxa"/>
              <w:right w:w="20" w:type="dxa"/>
            </w:tcMar>
            <w:vAlign w:val="bottom"/>
          </w:tcPr>
          <w:p w14:paraId="5C7C5EEE" w14:textId="77777777" w:rsidR="0008009C" w:rsidRDefault="00936FDF">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5EE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5EF0"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shd w:val="clear" w:color="auto" w:fill="auto"/>
            <w:tcMar>
              <w:top w:w="0" w:type="dxa"/>
              <w:left w:w="20" w:type="dxa"/>
              <w:bottom w:w="0" w:type="dxa"/>
              <w:right w:w="20" w:type="dxa"/>
            </w:tcMar>
          </w:tcPr>
          <w:p w14:paraId="5C7C5EF1"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5EF2" w14:textId="77777777" w:rsidR="0008009C" w:rsidRDefault="00936FDF">
            <w:pPr>
              <w:jc w:val="center"/>
              <w:textAlignment w:val="bottom"/>
            </w:pPr>
            <w:r>
              <w:rPr>
                <w:rFonts w:ascii="Arial" w:eastAsia="宋体" w:hAnsi="Arial" w:cs="Arial"/>
                <w:b/>
                <w:bCs/>
                <w:color w:val="262626"/>
                <w:sz w:val="18"/>
                <w:szCs w:val="18"/>
              </w:rPr>
              <w:t>Dec 26, 2020</w:t>
            </w:r>
          </w:p>
        </w:tc>
      </w:tr>
      <w:tr w:rsidR="0008009C" w14:paraId="5C7C5EFD"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5EF4" w14:textId="77777777" w:rsidR="0008009C" w:rsidRDefault="00936FDF">
            <w:pPr>
              <w:ind w:hanging="180"/>
              <w:textAlignment w:val="top"/>
            </w:pPr>
            <w:r>
              <w:rPr>
                <w:rFonts w:ascii="Arial" w:eastAsia="宋体" w:hAnsi="Arial" w:cs="Arial"/>
                <w:color w:val="262626"/>
                <w:sz w:val="18"/>
                <w:szCs w:val="18"/>
              </w:rPr>
              <w:t>Raw materials</w:t>
            </w:r>
          </w:p>
        </w:tc>
        <w:tc>
          <w:tcPr>
            <w:tcW w:w="0" w:type="auto"/>
            <w:gridSpan w:val="3"/>
            <w:shd w:val="clear" w:color="auto" w:fill="auto"/>
            <w:tcMar>
              <w:top w:w="0" w:type="dxa"/>
              <w:left w:w="20" w:type="dxa"/>
              <w:bottom w:w="0" w:type="dxa"/>
              <w:right w:w="20" w:type="dxa"/>
            </w:tcMar>
          </w:tcPr>
          <w:p w14:paraId="5C7C5EF5"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5EF6"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5EF7" w14:textId="77777777" w:rsidR="0008009C" w:rsidRDefault="00936FDF">
            <w:pPr>
              <w:jc w:val="right"/>
              <w:textAlignment w:val="bottom"/>
            </w:pPr>
            <w:r>
              <w:rPr>
                <w:rFonts w:ascii="Arial" w:eastAsia="宋体" w:hAnsi="Arial" w:cs="Arial"/>
                <w:color w:val="0068B5"/>
                <w:sz w:val="18"/>
                <w:szCs w:val="18"/>
              </w:rPr>
              <w:t>926 </w:t>
            </w:r>
          </w:p>
        </w:tc>
        <w:tc>
          <w:tcPr>
            <w:tcW w:w="0" w:type="auto"/>
            <w:tcBorders>
              <w:top w:val="single" w:sz="8" w:space="0" w:color="0068B5"/>
            </w:tcBorders>
            <w:shd w:val="clear" w:color="auto" w:fill="auto"/>
            <w:tcMar>
              <w:top w:w="40" w:type="dxa"/>
              <w:left w:w="0" w:type="dxa"/>
              <w:bottom w:w="40" w:type="dxa"/>
              <w:right w:w="20" w:type="dxa"/>
            </w:tcMar>
            <w:vAlign w:val="bottom"/>
          </w:tcPr>
          <w:p w14:paraId="5C7C5EF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EF9"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5EFA" w14:textId="77777777" w:rsidR="0008009C" w:rsidRDefault="00936FDF">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5EFB" w14:textId="77777777" w:rsidR="0008009C" w:rsidRDefault="00936FDF">
            <w:pPr>
              <w:jc w:val="right"/>
              <w:textAlignment w:val="bottom"/>
            </w:pPr>
            <w:r>
              <w:rPr>
                <w:rFonts w:ascii="Arial" w:eastAsia="宋体" w:hAnsi="Arial" w:cs="Arial"/>
                <w:color w:val="262626"/>
                <w:sz w:val="18"/>
                <w:szCs w:val="18"/>
              </w:rPr>
              <w:t>908 </w:t>
            </w:r>
          </w:p>
        </w:tc>
        <w:tc>
          <w:tcPr>
            <w:tcW w:w="0" w:type="auto"/>
            <w:tcBorders>
              <w:top w:val="single" w:sz="8" w:space="0" w:color="0068B5"/>
            </w:tcBorders>
            <w:shd w:val="clear" w:color="auto" w:fill="auto"/>
            <w:tcMar>
              <w:top w:w="40" w:type="dxa"/>
              <w:left w:w="0" w:type="dxa"/>
              <w:bottom w:w="40" w:type="dxa"/>
              <w:right w:w="20" w:type="dxa"/>
            </w:tcMar>
            <w:vAlign w:val="bottom"/>
          </w:tcPr>
          <w:p w14:paraId="5C7C5EFC" w14:textId="77777777" w:rsidR="0008009C" w:rsidRDefault="0008009C">
            <w:pPr>
              <w:jc w:val="right"/>
              <w:rPr>
                <w:rFonts w:ascii="宋体"/>
              </w:rPr>
            </w:pPr>
          </w:p>
        </w:tc>
      </w:tr>
      <w:tr w:rsidR="0008009C" w14:paraId="5C7C5F05" w14:textId="77777777">
        <w:tc>
          <w:tcPr>
            <w:tcW w:w="0" w:type="auto"/>
            <w:gridSpan w:val="3"/>
            <w:shd w:val="clear" w:color="auto" w:fill="auto"/>
            <w:tcMar>
              <w:top w:w="40" w:type="dxa"/>
              <w:left w:w="20" w:type="dxa"/>
              <w:bottom w:w="40" w:type="dxa"/>
              <w:right w:w="20" w:type="dxa"/>
            </w:tcMar>
          </w:tcPr>
          <w:p w14:paraId="5C7C5EFE" w14:textId="77777777" w:rsidR="0008009C" w:rsidRDefault="00936FDF">
            <w:pPr>
              <w:ind w:hanging="180"/>
              <w:textAlignment w:val="top"/>
            </w:pPr>
            <w:r>
              <w:rPr>
                <w:rFonts w:ascii="Arial" w:eastAsia="宋体" w:hAnsi="Arial" w:cs="Arial"/>
                <w:color w:val="262626"/>
                <w:sz w:val="18"/>
                <w:szCs w:val="18"/>
              </w:rPr>
              <w:t xml:space="preserve">Work in </w:t>
            </w:r>
            <w:r>
              <w:rPr>
                <w:rFonts w:ascii="Arial" w:eastAsia="宋体" w:hAnsi="Arial" w:cs="Arial"/>
                <w:color w:val="262626"/>
                <w:sz w:val="18"/>
                <w:szCs w:val="18"/>
              </w:rPr>
              <w:t>process</w:t>
            </w:r>
          </w:p>
        </w:tc>
        <w:tc>
          <w:tcPr>
            <w:tcW w:w="0" w:type="auto"/>
            <w:gridSpan w:val="3"/>
            <w:shd w:val="clear" w:color="auto" w:fill="auto"/>
            <w:tcMar>
              <w:top w:w="0" w:type="dxa"/>
              <w:left w:w="20" w:type="dxa"/>
              <w:bottom w:w="0" w:type="dxa"/>
              <w:right w:w="20" w:type="dxa"/>
            </w:tcMar>
          </w:tcPr>
          <w:p w14:paraId="5C7C5EF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F00" w14:textId="77777777" w:rsidR="0008009C" w:rsidRDefault="00936FDF">
            <w:pPr>
              <w:jc w:val="right"/>
              <w:textAlignment w:val="bottom"/>
            </w:pPr>
            <w:r>
              <w:rPr>
                <w:rFonts w:ascii="Arial" w:eastAsia="宋体" w:hAnsi="Arial" w:cs="Arial"/>
                <w:color w:val="0068B5"/>
                <w:sz w:val="18"/>
                <w:szCs w:val="18"/>
              </w:rPr>
              <w:t>5,758 </w:t>
            </w:r>
          </w:p>
        </w:tc>
        <w:tc>
          <w:tcPr>
            <w:tcW w:w="0" w:type="auto"/>
            <w:shd w:val="clear" w:color="auto" w:fill="auto"/>
            <w:tcMar>
              <w:top w:w="40" w:type="dxa"/>
              <w:left w:w="0" w:type="dxa"/>
              <w:bottom w:w="40" w:type="dxa"/>
              <w:right w:w="20" w:type="dxa"/>
            </w:tcMar>
            <w:vAlign w:val="bottom"/>
          </w:tcPr>
          <w:p w14:paraId="5C7C5F0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F0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F03" w14:textId="77777777" w:rsidR="0008009C" w:rsidRDefault="00936FDF">
            <w:pPr>
              <w:jc w:val="right"/>
              <w:textAlignment w:val="bottom"/>
            </w:pPr>
            <w:r>
              <w:rPr>
                <w:rFonts w:ascii="Arial" w:eastAsia="宋体" w:hAnsi="Arial" w:cs="Arial"/>
                <w:color w:val="262626"/>
                <w:sz w:val="18"/>
                <w:szCs w:val="18"/>
              </w:rPr>
              <w:t>5,693 </w:t>
            </w:r>
          </w:p>
        </w:tc>
        <w:tc>
          <w:tcPr>
            <w:tcW w:w="0" w:type="auto"/>
            <w:shd w:val="clear" w:color="auto" w:fill="auto"/>
            <w:tcMar>
              <w:top w:w="40" w:type="dxa"/>
              <w:left w:w="0" w:type="dxa"/>
              <w:bottom w:w="40" w:type="dxa"/>
              <w:right w:w="20" w:type="dxa"/>
            </w:tcMar>
            <w:vAlign w:val="bottom"/>
          </w:tcPr>
          <w:p w14:paraId="5C7C5F04" w14:textId="77777777" w:rsidR="0008009C" w:rsidRDefault="0008009C">
            <w:pPr>
              <w:jc w:val="right"/>
              <w:rPr>
                <w:rFonts w:ascii="宋体"/>
              </w:rPr>
            </w:pPr>
          </w:p>
        </w:tc>
      </w:tr>
      <w:tr w:rsidR="0008009C" w14:paraId="5C7C5F0D" w14:textId="77777777">
        <w:tc>
          <w:tcPr>
            <w:tcW w:w="0" w:type="auto"/>
            <w:gridSpan w:val="3"/>
            <w:shd w:val="clear" w:color="auto" w:fill="auto"/>
            <w:tcMar>
              <w:top w:w="40" w:type="dxa"/>
              <w:left w:w="20" w:type="dxa"/>
              <w:bottom w:w="40" w:type="dxa"/>
              <w:right w:w="20" w:type="dxa"/>
            </w:tcMar>
          </w:tcPr>
          <w:p w14:paraId="5C7C5F06" w14:textId="77777777" w:rsidR="0008009C" w:rsidRDefault="00936FDF">
            <w:pPr>
              <w:ind w:hanging="180"/>
              <w:textAlignment w:val="top"/>
            </w:pPr>
            <w:r>
              <w:rPr>
                <w:rFonts w:ascii="Arial" w:eastAsia="宋体" w:hAnsi="Arial" w:cs="Arial"/>
                <w:color w:val="262626"/>
                <w:sz w:val="18"/>
                <w:szCs w:val="18"/>
              </w:rPr>
              <w:t>Finished goods</w:t>
            </w:r>
          </w:p>
        </w:tc>
        <w:tc>
          <w:tcPr>
            <w:tcW w:w="0" w:type="auto"/>
            <w:gridSpan w:val="3"/>
            <w:shd w:val="clear" w:color="auto" w:fill="auto"/>
            <w:tcMar>
              <w:top w:w="0" w:type="dxa"/>
              <w:left w:w="20" w:type="dxa"/>
              <w:bottom w:w="0" w:type="dxa"/>
              <w:right w:w="20" w:type="dxa"/>
            </w:tcMar>
          </w:tcPr>
          <w:p w14:paraId="5C7C5F0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F08" w14:textId="77777777" w:rsidR="0008009C" w:rsidRDefault="00936FDF">
            <w:pPr>
              <w:jc w:val="right"/>
              <w:textAlignment w:val="bottom"/>
            </w:pPr>
            <w:r>
              <w:rPr>
                <w:rFonts w:ascii="Arial" w:eastAsia="宋体" w:hAnsi="Arial" w:cs="Arial"/>
                <w:color w:val="0068B5"/>
                <w:sz w:val="18"/>
                <w:szCs w:val="18"/>
              </w:rPr>
              <w:t>1,803 </w:t>
            </w:r>
          </w:p>
        </w:tc>
        <w:tc>
          <w:tcPr>
            <w:tcW w:w="0" w:type="auto"/>
            <w:shd w:val="clear" w:color="auto" w:fill="auto"/>
            <w:tcMar>
              <w:top w:w="40" w:type="dxa"/>
              <w:left w:w="0" w:type="dxa"/>
              <w:bottom w:w="40" w:type="dxa"/>
              <w:right w:w="20" w:type="dxa"/>
            </w:tcMar>
            <w:vAlign w:val="bottom"/>
          </w:tcPr>
          <w:p w14:paraId="5C7C5F0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F0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F0B" w14:textId="77777777" w:rsidR="0008009C" w:rsidRDefault="00936FDF">
            <w:pPr>
              <w:jc w:val="right"/>
              <w:textAlignment w:val="bottom"/>
            </w:pPr>
            <w:r>
              <w:rPr>
                <w:rFonts w:ascii="Arial" w:eastAsia="宋体" w:hAnsi="Arial" w:cs="Arial"/>
                <w:color w:val="262626"/>
                <w:sz w:val="18"/>
                <w:szCs w:val="18"/>
              </w:rPr>
              <w:t>1,826 </w:t>
            </w:r>
          </w:p>
        </w:tc>
        <w:tc>
          <w:tcPr>
            <w:tcW w:w="0" w:type="auto"/>
            <w:shd w:val="clear" w:color="auto" w:fill="auto"/>
            <w:tcMar>
              <w:top w:w="40" w:type="dxa"/>
              <w:left w:w="0" w:type="dxa"/>
              <w:bottom w:w="40" w:type="dxa"/>
              <w:right w:w="20" w:type="dxa"/>
            </w:tcMar>
            <w:vAlign w:val="bottom"/>
          </w:tcPr>
          <w:p w14:paraId="5C7C5F0C" w14:textId="77777777" w:rsidR="0008009C" w:rsidRDefault="0008009C">
            <w:pPr>
              <w:jc w:val="right"/>
              <w:rPr>
                <w:rFonts w:ascii="宋体"/>
              </w:rPr>
            </w:pPr>
          </w:p>
        </w:tc>
      </w:tr>
      <w:tr w:rsidR="0008009C" w14:paraId="5C7C5F17" w14:textId="77777777">
        <w:tc>
          <w:tcPr>
            <w:tcW w:w="0" w:type="auto"/>
            <w:gridSpan w:val="3"/>
            <w:shd w:val="clear" w:color="auto" w:fill="auto"/>
            <w:tcMar>
              <w:top w:w="40" w:type="dxa"/>
              <w:left w:w="20" w:type="dxa"/>
              <w:bottom w:w="40" w:type="dxa"/>
              <w:right w:w="20" w:type="dxa"/>
            </w:tcMar>
          </w:tcPr>
          <w:p w14:paraId="5C7C5F0E" w14:textId="77777777" w:rsidR="0008009C" w:rsidRDefault="00936FDF">
            <w:pPr>
              <w:textAlignment w:val="top"/>
            </w:pPr>
            <w:r>
              <w:rPr>
                <w:rFonts w:ascii="Arial" w:eastAsia="宋体" w:hAnsi="Arial" w:cs="Arial"/>
                <w:b/>
                <w:bCs/>
                <w:color w:val="262626"/>
                <w:sz w:val="18"/>
                <w:szCs w:val="18"/>
              </w:rPr>
              <w:t>Total inventories</w:t>
            </w:r>
          </w:p>
        </w:tc>
        <w:tc>
          <w:tcPr>
            <w:tcW w:w="0" w:type="auto"/>
            <w:gridSpan w:val="3"/>
            <w:shd w:val="clear" w:color="auto" w:fill="auto"/>
            <w:tcMar>
              <w:top w:w="0" w:type="dxa"/>
              <w:left w:w="20" w:type="dxa"/>
              <w:bottom w:w="0" w:type="dxa"/>
              <w:right w:w="20" w:type="dxa"/>
            </w:tcMar>
          </w:tcPr>
          <w:p w14:paraId="5C7C5F0F"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F10"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F11" w14:textId="77777777" w:rsidR="0008009C" w:rsidRDefault="00936FDF">
            <w:pPr>
              <w:jc w:val="right"/>
              <w:textAlignment w:val="bottom"/>
            </w:pPr>
            <w:r>
              <w:rPr>
                <w:rFonts w:ascii="Arial" w:eastAsia="宋体" w:hAnsi="Arial" w:cs="Arial"/>
                <w:b/>
                <w:bCs/>
                <w:color w:val="0068B5"/>
                <w:sz w:val="18"/>
                <w:szCs w:val="18"/>
              </w:rPr>
              <w:t>8,487</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F1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F13"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F14"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F15" w14:textId="77777777" w:rsidR="0008009C" w:rsidRDefault="00936FDF">
            <w:pPr>
              <w:jc w:val="right"/>
              <w:textAlignment w:val="bottom"/>
            </w:pPr>
            <w:r>
              <w:rPr>
                <w:rFonts w:ascii="Arial" w:eastAsia="宋体" w:hAnsi="Arial" w:cs="Arial"/>
                <w:b/>
                <w:bCs/>
                <w:color w:val="262626"/>
                <w:sz w:val="18"/>
                <w:szCs w:val="18"/>
              </w:rPr>
              <w:t>8,427</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F16" w14:textId="77777777" w:rsidR="0008009C" w:rsidRDefault="0008009C">
            <w:pPr>
              <w:jc w:val="right"/>
              <w:rPr>
                <w:rFonts w:ascii="宋体"/>
              </w:rPr>
            </w:pPr>
          </w:p>
        </w:tc>
      </w:tr>
    </w:tbl>
    <w:p w14:paraId="5C7C5F18" w14:textId="77777777" w:rsidR="0008009C" w:rsidRDefault="0008009C">
      <w:pPr>
        <w:spacing w:after="180"/>
      </w:pPr>
    </w:p>
    <w:p w14:paraId="5C7C5F19" w14:textId="77777777" w:rsidR="0008009C" w:rsidRDefault="0008009C">
      <w:pPr>
        <w:spacing w:after="180"/>
      </w:pPr>
    </w:p>
    <w:p w14:paraId="5C7C5F1A" w14:textId="77777777" w:rsidR="0008009C" w:rsidRDefault="0008009C">
      <w:pPr>
        <w:spacing w:after="180"/>
      </w:pPr>
    </w:p>
    <w:p w14:paraId="5C7C5F1B" w14:textId="77777777" w:rsidR="0008009C" w:rsidRDefault="0008009C">
      <w:pPr>
        <w:spacing w:after="180"/>
      </w:pPr>
    </w:p>
    <w:p w14:paraId="5C7C5F1C" w14:textId="77777777" w:rsidR="0008009C" w:rsidRDefault="0008009C">
      <w:pPr>
        <w:spacing w:after="180"/>
      </w:pPr>
    </w:p>
    <w:p w14:paraId="5C7C5F1D" w14:textId="77777777" w:rsidR="0008009C" w:rsidRDefault="0008009C">
      <w:pPr>
        <w:spacing w:after="180"/>
      </w:pPr>
    </w:p>
    <w:p w14:paraId="5C7C5F1E" w14:textId="77777777" w:rsidR="0008009C" w:rsidRDefault="0008009C">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8009C" w14:paraId="5C7C5F2B" w14:textId="77777777">
        <w:tc>
          <w:tcPr>
            <w:tcW w:w="50" w:type="pct"/>
            <w:shd w:val="clear" w:color="auto" w:fill="auto"/>
            <w:vAlign w:val="bottom"/>
          </w:tcPr>
          <w:p w14:paraId="5C7C5F1F" w14:textId="77777777" w:rsidR="0008009C" w:rsidRDefault="0008009C">
            <w:pPr>
              <w:rPr>
                <w:rFonts w:ascii="宋体"/>
              </w:rPr>
            </w:pPr>
          </w:p>
        </w:tc>
        <w:tc>
          <w:tcPr>
            <w:tcW w:w="238" w:type="pct"/>
            <w:shd w:val="clear" w:color="auto" w:fill="auto"/>
            <w:vAlign w:val="bottom"/>
          </w:tcPr>
          <w:p w14:paraId="5C7C5F20" w14:textId="77777777" w:rsidR="0008009C" w:rsidRDefault="0008009C">
            <w:pPr>
              <w:rPr>
                <w:rFonts w:ascii="宋体"/>
              </w:rPr>
            </w:pPr>
          </w:p>
        </w:tc>
        <w:tc>
          <w:tcPr>
            <w:tcW w:w="5" w:type="pct"/>
            <w:shd w:val="clear" w:color="auto" w:fill="auto"/>
            <w:vAlign w:val="bottom"/>
          </w:tcPr>
          <w:p w14:paraId="5C7C5F21" w14:textId="77777777" w:rsidR="0008009C" w:rsidRDefault="0008009C">
            <w:pPr>
              <w:rPr>
                <w:rFonts w:ascii="宋体"/>
              </w:rPr>
            </w:pPr>
          </w:p>
        </w:tc>
        <w:tc>
          <w:tcPr>
            <w:tcW w:w="50" w:type="pct"/>
            <w:shd w:val="clear" w:color="auto" w:fill="auto"/>
            <w:vAlign w:val="bottom"/>
          </w:tcPr>
          <w:p w14:paraId="5C7C5F22" w14:textId="77777777" w:rsidR="0008009C" w:rsidRDefault="0008009C">
            <w:pPr>
              <w:rPr>
                <w:rFonts w:ascii="宋体"/>
              </w:rPr>
            </w:pPr>
          </w:p>
        </w:tc>
        <w:tc>
          <w:tcPr>
            <w:tcW w:w="983" w:type="pct"/>
            <w:shd w:val="clear" w:color="auto" w:fill="auto"/>
            <w:vAlign w:val="bottom"/>
          </w:tcPr>
          <w:p w14:paraId="5C7C5F23" w14:textId="77777777" w:rsidR="0008009C" w:rsidRDefault="0008009C">
            <w:pPr>
              <w:rPr>
                <w:rFonts w:ascii="宋体"/>
              </w:rPr>
            </w:pPr>
          </w:p>
        </w:tc>
        <w:tc>
          <w:tcPr>
            <w:tcW w:w="5" w:type="pct"/>
            <w:shd w:val="clear" w:color="auto" w:fill="auto"/>
            <w:vAlign w:val="bottom"/>
          </w:tcPr>
          <w:p w14:paraId="5C7C5F24" w14:textId="77777777" w:rsidR="0008009C" w:rsidRDefault="0008009C">
            <w:pPr>
              <w:rPr>
                <w:rFonts w:ascii="宋体"/>
              </w:rPr>
            </w:pPr>
          </w:p>
        </w:tc>
        <w:tc>
          <w:tcPr>
            <w:tcW w:w="50" w:type="pct"/>
            <w:shd w:val="clear" w:color="auto" w:fill="auto"/>
            <w:vAlign w:val="bottom"/>
          </w:tcPr>
          <w:p w14:paraId="5C7C5F25" w14:textId="77777777" w:rsidR="0008009C" w:rsidRDefault="0008009C">
            <w:pPr>
              <w:rPr>
                <w:rFonts w:ascii="宋体"/>
              </w:rPr>
            </w:pPr>
          </w:p>
        </w:tc>
        <w:tc>
          <w:tcPr>
            <w:tcW w:w="2035" w:type="pct"/>
            <w:shd w:val="clear" w:color="auto" w:fill="auto"/>
            <w:vAlign w:val="bottom"/>
          </w:tcPr>
          <w:p w14:paraId="5C7C5F26" w14:textId="77777777" w:rsidR="0008009C" w:rsidRDefault="0008009C">
            <w:pPr>
              <w:rPr>
                <w:rFonts w:ascii="宋体"/>
              </w:rPr>
            </w:pPr>
          </w:p>
        </w:tc>
        <w:tc>
          <w:tcPr>
            <w:tcW w:w="5" w:type="pct"/>
            <w:shd w:val="clear" w:color="auto" w:fill="auto"/>
            <w:vAlign w:val="bottom"/>
          </w:tcPr>
          <w:p w14:paraId="5C7C5F27" w14:textId="77777777" w:rsidR="0008009C" w:rsidRDefault="0008009C">
            <w:pPr>
              <w:rPr>
                <w:rFonts w:ascii="宋体"/>
              </w:rPr>
            </w:pPr>
          </w:p>
        </w:tc>
        <w:tc>
          <w:tcPr>
            <w:tcW w:w="50" w:type="pct"/>
            <w:shd w:val="clear" w:color="auto" w:fill="auto"/>
            <w:vAlign w:val="bottom"/>
          </w:tcPr>
          <w:p w14:paraId="5C7C5F28" w14:textId="77777777" w:rsidR="0008009C" w:rsidRDefault="0008009C">
            <w:pPr>
              <w:rPr>
                <w:rFonts w:ascii="宋体"/>
              </w:rPr>
            </w:pPr>
          </w:p>
        </w:tc>
        <w:tc>
          <w:tcPr>
            <w:tcW w:w="1522" w:type="pct"/>
            <w:shd w:val="clear" w:color="auto" w:fill="auto"/>
            <w:vAlign w:val="bottom"/>
          </w:tcPr>
          <w:p w14:paraId="5C7C5F29" w14:textId="77777777" w:rsidR="0008009C" w:rsidRDefault="0008009C">
            <w:pPr>
              <w:rPr>
                <w:rFonts w:ascii="宋体"/>
              </w:rPr>
            </w:pPr>
          </w:p>
        </w:tc>
        <w:tc>
          <w:tcPr>
            <w:tcW w:w="5" w:type="pct"/>
            <w:shd w:val="clear" w:color="auto" w:fill="auto"/>
            <w:vAlign w:val="bottom"/>
          </w:tcPr>
          <w:p w14:paraId="5C7C5F2A" w14:textId="77777777" w:rsidR="0008009C" w:rsidRDefault="0008009C">
            <w:pPr>
              <w:rPr>
                <w:rFonts w:ascii="宋体"/>
              </w:rPr>
            </w:pPr>
          </w:p>
        </w:tc>
      </w:tr>
      <w:tr w:rsidR="0008009C" w14:paraId="5C7C5F30"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5F2C"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08" wp14:editId="5C7C7D09">
                  <wp:extent cx="304800" cy="304800"/>
                  <wp:effectExtent l="0" t="0" r="0" b="0"/>
                  <wp:docPr id="89" name="图片 59"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9"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F2D"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5F2E" w14:textId="77777777" w:rsidR="0008009C" w:rsidRDefault="00936FDF">
            <w:pPr>
              <w:textAlignment w:val="center"/>
            </w:pPr>
            <w:r>
              <w:rPr>
                <w:rFonts w:ascii="Arial" w:eastAsia="宋体" w:hAnsi="Arial" w:cs="Arial"/>
                <w:color w:val="262626"/>
                <w:sz w:val="16"/>
                <w:szCs w:val="16"/>
              </w:rPr>
              <w:t> Notes to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5F2F" w14:textId="77777777" w:rsidR="0008009C" w:rsidRDefault="00936FDF">
            <w:pPr>
              <w:jc w:val="right"/>
              <w:textAlignment w:val="center"/>
            </w:pPr>
            <w:r>
              <w:rPr>
                <w:rFonts w:ascii="Arial" w:eastAsia="宋体" w:hAnsi="Arial" w:cs="Arial"/>
                <w:color w:val="262626"/>
                <w:sz w:val="16"/>
                <w:szCs w:val="16"/>
              </w:rPr>
              <w:t>10</w:t>
            </w:r>
          </w:p>
        </w:tc>
      </w:tr>
    </w:tbl>
    <w:p w14:paraId="5C7C5F31" w14:textId="77777777" w:rsidR="0008009C" w:rsidRDefault="00936FDF">
      <w:r>
        <w:pict w14:anchorId="5C7C7D0A">
          <v:rect id="_x0000_i1036" style="width:415.3pt;height:1.5pt" o:hralign="center" o:hrstd="t" o:hr="t" fillcolor="#a0a0a0" stroked="f"/>
        </w:pict>
      </w:r>
    </w:p>
    <w:p w14:paraId="5C7C5F32" w14:textId="77777777" w:rsidR="0008009C" w:rsidRDefault="00936FDF">
      <w:pPr>
        <w:spacing w:after="180"/>
        <w:jc w:val="right"/>
      </w:pPr>
      <w:hyperlink r:id="rId36" w:anchor="i3a00378f6cc84b1c9cfc83239548ad53_7" w:history="1">
        <w:r>
          <w:rPr>
            <w:rStyle w:val="a5"/>
            <w:rFonts w:ascii="Arial" w:eastAsia="宋体" w:hAnsi="Arial" w:cs="Arial"/>
            <w:b/>
            <w:bCs/>
            <w:sz w:val="16"/>
            <w:szCs w:val="16"/>
          </w:rPr>
          <w:t>Table of Contents</w:t>
        </w:r>
      </w:hyperlink>
    </w:p>
    <w:p w14:paraId="5C7C5F33" w14:textId="77777777" w:rsidR="0008009C" w:rsidRDefault="0008009C">
      <w:pPr>
        <w:spacing w:after="180"/>
        <w:jc w:val="right"/>
      </w:pPr>
    </w:p>
    <w:p w14:paraId="5C7C5F34" w14:textId="77777777" w:rsidR="0008009C" w:rsidRDefault="00936FDF">
      <w:pPr>
        <w:spacing w:before="300" w:after="180"/>
      </w:pPr>
      <w:r>
        <w:rPr>
          <w:rFonts w:ascii="Arial" w:eastAsia="宋体" w:hAnsi="Arial" w:cs="Arial"/>
          <w:color w:val="0068B5"/>
        </w:rPr>
        <w:t>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39"/>
        <w:gridCol w:w="5886"/>
        <w:gridCol w:w="37"/>
        <w:gridCol w:w="36"/>
        <w:gridCol w:w="36"/>
        <w:gridCol w:w="36"/>
        <w:gridCol w:w="121"/>
        <w:gridCol w:w="777"/>
        <w:gridCol w:w="36"/>
        <w:gridCol w:w="36"/>
        <w:gridCol w:w="36"/>
        <w:gridCol w:w="36"/>
        <w:gridCol w:w="121"/>
        <w:gridCol w:w="779"/>
        <w:gridCol w:w="36"/>
        <w:gridCol w:w="36"/>
        <w:gridCol w:w="36"/>
        <w:gridCol w:w="36"/>
        <w:gridCol w:w="36"/>
        <w:gridCol w:w="36"/>
        <w:gridCol w:w="36"/>
        <w:gridCol w:w="36"/>
        <w:gridCol w:w="36"/>
      </w:tblGrid>
      <w:tr w:rsidR="0008009C" w14:paraId="5C7C5F48" w14:textId="77777777">
        <w:tc>
          <w:tcPr>
            <w:tcW w:w="50" w:type="pct"/>
            <w:shd w:val="clear" w:color="auto" w:fill="auto"/>
          </w:tcPr>
          <w:p w14:paraId="5C7C5F35" w14:textId="77777777" w:rsidR="0008009C" w:rsidRDefault="0008009C">
            <w:pPr>
              <w:rPr>
                <w:rFonts w:ascii="宋体"/>
              </w:rPr>
            </w:pPr>
          </w:p>
        </w:tc>
        <w:tc>
          <w:tcPr>
            <w:tcW w:w="3688" w:type="pct"/>
            <w:shd w:val="clear" w:color="auto" w:fill="auto"/>
          </w:tcPr>
          <w:p w14:paraId="5C7C5F36" w14:textId="77777777" w:rsidR="0008009C" w:rsidRDefault="0008009C">
            <w:pPr>
              <w:rPr>
                <w:rFonts w:ascii="宋体"/>
              </w:rPr>
            </w:pPr>
          </w:p>
        </w:tc>
        <w:tc>
          <w:tcPr>
            <w:tcW w:w="5" w:type="pct"/>
            <w:shd w:val="clear" w:color="auto" w:fill="auto"/>
          </w:tcPr>
          <w:p w14:paraId="5C7C5F37" w14:textId="77777777" w:rsidR="0008009C" w:rsidRDefault="0008009C">
            <w:pPr>
              <w:rPr>
                <w:rFonts w:ascii="宋体"/>
              </w:rPr>
            </w:pPr>
          </w:p>
        </w:tc>
        <w:tc>
          <w:tcPr>
            <w:tcW w:w="5" w:type="pct"/>
            <w:shd w:val="clear" w:color="auto" w:fill="auto"/>
          </w:tcPr>
          <w:p w14:paraId="5C7C5F38" w14:textId="77777777" w:rsidR="0008009C" w:rsidRDefault="0008009C">
            <w:pPr>
              <w:rPr>
                <w:rFonts w:ascii="宋体"/>
              </w:rPr>
            </w:pPr>
          </w:p>
        </w:tc>
        <w:tc>
          <w:tcPr>
            <w:tcW w:w="24" w:type="pct"/>
            <w:shd w:val="clear" w:color="auto" w:fill="auto"/>
          </w:tcPr>
          <w:p w14:paraId="5C7C5F39" w14:textId="77777777" w:rsidR="0008009C" w:rsidRDefault="0008009C">
            <w:pPr>
              <w:rPr>
                <w:rFonts w:ascii="宋体"/>
              </w:rPr>
            </w:pPr>
          </w:p>
        </w:tc>
        <w:tc>
          <w:tcPr>
            <w:tcW w:w="5" w:type="pct"/>
            <w:shd w:val="clear" w:color="auto" w:fill="auto"/>
          </w:tcPr>
          <w:p w14:paraId="5C7C5F3A" w14:textId="77777777" w:rsidR="0008009C" w:rsidRDefault="0008009C">
            <w:pPr>
              <w:rPr>
                <w:rFonts w:ascii="宋体"/>
              </w:rPr>
            </w:pPr>
          </w:p>
        </w:tc>
        <w:tc>
          <w:tcPr>
            <w:tcW w:w="50" w:type="pct"/>
            <w:shd w:val="clear" w:color="auto" w:fill="auto"/>
          </w:tcPr>
          <w:p w14:paraId="5C7C5F3B" w14:textId="77777777" w:rsidR="0008009C" w:rsidRDefault="0008009C">
            <w:pPr>
              <w:rPr>
                <w:rFonts w:ascii="宋体"/>
              </w:rPr>
            </w:pPr>
          </w:p>
        </w:tc>
        <w:tc>
          <w:tcPr>
            <w:tcW w:w="539" w:type="pct"/>
            <w:shd w:val="clear" w:color="auto" w:fill="auto"/>
          </w:tcPr>
          <w:p w14:paraId="5C7C5F3C" w14:textId="77777777" w:rsidR="0008009C" w:rsidRDefault="0008009C">
            <w:pPr>
              <w:rPr>
                <w:rFonts w:ascii="宋体"/>
              </w:rPr>
            </w:pPr>
          </w:p>
        </w:tc>
        <w:tc>
          <w:tcPr>
            <w:tcW w:w="5" w:type="pct"/>
            <w:shd w:val="clear" w:color="auto" w:fill="auto"/>
          </w:tcPr>
          <w:p w14:paraId="5C7C5F3D" w14:textId="77777777" w:rsidR="0008009C" w:rsidRDefault="0008009C">
            <w:pPr>
              <w:rPr>
                <w:rFonts w:ascii="宋体"/>
              </w:rPr>
            </w:pPr>
          </w:p>
        </w:tc>
        <w:tc>
          <w:tcPr>
            <w:tcW w:w="5" w:type="pct"/>
            <w:shd w:val="clear" w:color="auto" w:fill="auto"/>
          </w:tcPr>
          <w:p w14:paraId="5C7C5F3E" w14:textId="77777777" w:rsidR="0008009C" w:rsidRDefault="0008009C">
            <w:pPr>
              <w:rPr>
                <w:rFonts w:ascii="宋体"/>
              </w:rPr>
            </w:pPr>
          </w:p>
        </w:tc>
        <w:tc>
          <w:tcPr>
            <w:tcW w:w="24" w:type="pct"/>
            <w:shd w:val="clear" w:color="auto" w:fill="auto"/>
          </w:tcPr>
          <w:p w14:paraId="5C7C5F3F" w14:textId="77777777" w:rsidR="0008009C" w:rsidRDefault="0008009C">
            <w:pPr>
              <w:rPr>
                <w:rFonts w:ascii="宋体"/>
              </w:rPr>
            </w:pPr>
          </w:p>
        </w:tc>
        <w:tc>
          <w:tcPr>
            <w:tcW w:w="5" w:type="pct"/>
            <w:shd w:val="clear" w:color="auto" w:fill="auto"/>
          </w:tcPr>
          <w:p w14:paraId="5C7C5F40" w14:textId="77777777" w:rsidR="0008009C" w:rsidRDefault="0008009C">
            <w:pPr>
              <w:rPr>
                <w:rFonts w:ascii="宋体"/>
              </w:rPr>
            </w:pPr>
          </w:p>
        </w:tc>
        <w:tc>
          <w:tcPr>
            <w:tcW w:w="50" w:type="pct"/>
            <w:shd w:val="clear" w:color="auto" w:fill="auto"/>
          </w:tcPr>
          <w:p w14:paraId="5C7C5F41" w14:textId="77777777" w:rsidR="0008009C" w:rsidRDefault="0008009C">
            <w:pPr>
              <w:rPr>
                <w:rFonts w:ascii="宋体"/>
              </w:rPr>
            </w:pPr>
          </w:p>
        </w:tc>
        <w:tc>
          <w:tcPr>
            <w:tcW w:w="539" w:type="pct"/>
            <w:shd w:val="clear" w:color="auto" w:fill="auto"/>
          </w:tcPr>
          <w:p w14:paraId="5C7C5F42" w14:textId="77777777" w:rsidR="0008009C" w:rsidRDefault="0008009C">
            <w:pPr>
              <w:rPr>
                <w:rFonts w:ascii="宋体"/>
              </w:rPr>
            </w:pPr>
          </w:p>
        </w:tc>
        <w:tc>
          <w:tcPr>
            <w:tcW w:w="5" w:type="pct"/>
            <w:shd w:val="clear" w:color="auto" w:fill="auto"/>
          </w:tcPr>
          <w:p w14:paraId="5C7C5F43" w14:textId="77777777" w:rsidR="0008009C" w:rsidRDefault="0008009C">
            <w:pPr>
              <w:rPr>
                <w:rFonts w:ascii="宋体"/>
              </w:rPr>
            </w:pPr>
          </w:p>
        </w:tc>
        <w:tc>
          <w:tcPr>
            <w:tcW w:w="0" w:type="auto"/>
            <w:shd w:val="clear" w:color="auto" w:fill="auto"/>
          </w:tcPr>
          <w:p w14:paraId="5C7C5F44" w14:textId="77777777" w:rsidR="0008009C" w:rsidRDefault="0008009C">
            <w:pPr>
              <w:rPr>
                <w:rFonts w:ascii="宋体"/>
                <w:vanish/>
              </w:rPr>
            </w:pPr>
          </w:p>
        </w:tc>
        <w:tc>
          <w:tcPr>
            <w:tcW w:w="0" w:type="auto"/>
            <w:shd w:val="clear" w:color="auto" w:fill="auto"/>
          </w:tcPr>
          <w:p w14:paraId="5C7C5F45" w14:textId="77777777" w:rsidR="0008009C" w:rsidRDefault="0008009C">
            <w:pPr>
              <w:rPr>
                <w:rFonts w:ascii="宋体"/>
                <w:vanish/>
              </w:rPr>
            </w:pPr>
          </w:p>
        </w:tc>
        <w:tc>
          <w:tcPr>
            <w:tcW w:w="0" w:type="auto"/>
            <w:gridSpan w:val="3"/>
            <w:shd w:val="clear" w:color="auto" w:fill="auto"/>
          </w:tcPr>
          <w:p w14:paraId="5C7C5F46" w14:textId="77777777" w:rsidR="0008009C" w:rsidRDefault="0008009C">
            <w:pPr>
              <w:rPr>
                <w:rFonts w:ascii="宋体"/>
                <w:vanish/>
              </w:rPr>
            </w:pPr>
          </w:p>
        </w:tc>
        <w:tc>
          <w:tcPr>
            <w:tcW w:w="0" w:type="auto"/>
            <w:gridSpan w:val="3"/>
            <w:shd w:val="clear" w:color="auto" w:fill="auto"/>
          </w:tcPr>
          <w:p w14:paraId="5C7C5F47" w14:textId="77777777" w:rsidR="0008009C" w:rsidRDefault="0008009C">
            <w:pPr>
              <w:rPr>
                <w:rFonts w:ascii="宋体"/>
                <w:vanish/>
              </w:rPr>
            </w:pPr>
          </w:p>
        </w:tc>
      </w:tr>
      <w:tr w:rsidR="0008009C" w14:paraId="5C7C5F54" w14:textId="77777777">
        <w:tc>
          <w:tcPr>
            <w:tcW w:w="0" w:type="auto"/>
            <w:gridSpan w:val="3"/>
            <w:shd w:val="clear" w:color="auto" w:fill="auto"/>
            <w:tcMar>
              <w:top w:w="40" w:type="dxa"/>
              <w:left w:w="200" w:type="dxa"/>
              <w:bottom w:w="40" w:type="dxa"/>
              <w:right w:w="20" w:type="dxa"/>
            </w:tcMar>
            <w:vAlign w:val="bottom"/>
          </w:tcPr>
          <w:p w14:paraId="5C7C5F49" w14:textId="77777777" w:rsidR="0008009C" w:rsidRDefault="00936FDF">
            <w:pPr>
              <w:textAlignment w:val="bottom"/>
            </w:pPr>
            <w:r>
              <w:rPr>
                <w:rFonts w:ascii="Arial" w:eastAsia="宋体" w:hAnsi="Arial" w:cs="Arial"/>
                <w:b/>
                <w:bCs/>
                <w:color w:val="262626"/>
                <w:sz w:val="16"/>
                <w:szCs w:val="16"/>
              </w:rPr>
              <w:t> </w:t>
            </w:r>
          </w:p>
        </w:tc>
        <w:tc>
          <w:tcPr>
            <w:tcW w:w="0" w:type="auto"/>
            <w:gridSpan w:val="3"/>
            <w:shd w:val="clear" w:color="auto" w:fill="auto"/>
            <w:tcMar>
              <w:top w:w="0" w:type="dxa"/>
              <w:left w:w="20" w:type="dxa"/>
              <w:bottom w:w="0" w:type="dxa"/>
              <w:right w:w="20" w:type="dxa"/>
            </w:tcMar>
          </w:tcPr>
          <w:p w14:paraId="5C7C5F4A"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bottom"/>
          </w:tcPr>
          <w:p w14:paraId="5C7C5F4B" w14:textId="77777777" w:rsidR="0008009C" w:rsidRDefault="00936FDF">
            <w:pPr>
              <w:jc w:val="center"/>
              <w:textAlignment w:val="bottom"/>
            </w:pPr>
            <w:r>
              <w:rPr>
                <w:rFonts w:ascii="Arial" w:eastAsia="宋体" w:hAnsi="Arial" w:cs="Arial"/>
                <w:b/>
                <w:bCs/>
                <w:color w:val="262626"/>
                <w:sz w:val="18"/>
                <w:szCs w:val="18"/>
              </w:rPr>
              <w:t>Three Months Ended</w:t>
            </w:r>
          </w:p>
        </w:tc>
        <w:tc>
          <w:tcPr>
            <w:tcW w:w="0" w:type="auto"/>
            <w:shd w:val="clear" w:color="auto" w:fill="auto"/>
          </w:tcPr>
          <w:p w14:paraId="5C7C5F4C" w14:textId="77777777" w:rsidR="0008009C" w:rsidRDefault="0008009C">
            <w:pPr>
              <w:rPr>
                <w:rFonts w:ascii="宋体"/>
                <w:vanish/>
              </w:rPr>
            </w:pPr>
          </w:p>
        </w:tc>
        <w:tc>
          <w:tcPr>
            <w:tcW w:w="0" w:type="auto"/>
            <w:shd w:val="clear" w:color="auto" w:fill="auto"/>
          </w:tcPr>
          <w:p w14:paraId="5C7C5F4D" w14:textId="77777777" w:rsidR="0008009C" w:rsidRDefault="0008009C">
            <w:pPr>
              <w:rPr>
                <w:rFonts w:ascii="宋体"/>
                <w:vanish/>
              </w:rPr>
            </w:pPr>
          </w:p>
        </w:tc>
        <w:tc>
          <w:tcPr>
            <w:tcW w:w="0" w:type="auto"/>
            <w:shd w:val="clear" w:color="auto" w:fill="auto"/>
          </w:tcPr>
          <w:p w14:paraId="5C7C5F4E" w14:textId="77777777" w:rsidR="0008009C" w:rsidRDefault="0008009C">
            <w:pPr>
              <w:rPr>
                <w:rFonts w:ascii="宋体"/>
              </w:rPr>
            </w:pPr>
          </w:p>
        </w:tc>
        <w:tc>
          <w:tcPr>
            <w:tcW w:w="0" w:type="auto"/>
            <w:shd w:val="clear" w:color="auto" w:fill="auto"/>
          </w:tcPr>
          <w:p w14:paraId="5C7C5F4F" w14:textId="77777777" w:rsidR="0008009C" w:rsidRDefault="0008009C">
            <w:pPr>
              <w:rPr>
                <w:rFonts w:ascii="宋体"/>
              </w:rPr>
            </w:pPr>
          </w:p>
        </w:tc>
        <w:tc>
          <w:tcPr>
            <w:tcW w:w="0" w:type="auto"/>
            <w:shd w:val="clear" w:color="auto" w:fill="auto"/>
          </w:tcPr>
          <w:p w14:paraId="5C7C5F50" w14:textId="77777777" w:rsidR="0008009C" w:rsidRDefault="0008009C">
            <w:pPr>
              <w:rPr>
                <w:rFonts w:ascii="宋体"/>
              </w:rPr>
            </w:pPr>
          </w:p>
        </w:tc>
        <w:tc>
          <w:tcPr>
            <w:tcW w:w="0" w:type="auto"/>
            <w:shd w:val="clear" w:color="auto" w:fill="auto"/>
          </w:tcPr>
          <w:p w14:paraId="5C7C5F51" w14:textId="77777777" w:rsidR="0008009C" w:rsidRDefault="0008009C">
            <w:pPr>
              <w:rPr>
                <w:rFonts w:ascii="宋体"/>
              </w:rPr>
            </w:pPr>
          </w:p>
        </w:tc>
        <w:tc>
          <w:tcPr>
            <w:tcW w:w="0" w:type="auto"/>
            <w:shd w:val="clear" w:color="auto" w:fill="auto"/>
          </w:tcPr>
          <w:p w14:paraId="5C7C5F52" w14:textId="77777777" w:rsidR="0008009C" w:rsidRDefault="0008009C">
            <w:pPr>
              <w:rPr>
                <w:rFonts w:ascii="宋体"/>
              </w:rPr>
            </w:pPr>
          </w:p>
        </w:tc>
        <w:tc>
          <w:tcPr>
            <w:tcW w:w="0" w:type="auto"/>
            <w:shd w:val="clear" w:color="auto" w:fill="auto"/>
          </w:tcPr>
          <w:p w14:paraId="5C7C5F53" w14:textId="77777777" w:rsidR="0008009C" w:rsidRDefault="0008009C">
            <w:pPr>
              <w:rPr>
                <w:rFonts w:ascii="宋体"/>
              </w:rPr>
            </w:pPr>
          </w:p>
        </w:tc>
      </w:tr>
      <w:tr w:rsidR="0008009C" w14:paraId="5C7C5F5E" w14:textId="77777777">
        <w:tc>
          <w:tcPr>
            <w:tcW w:w="0" w:type="auto"/>
            <w:gridSpan w:val="3"/>
            <w:shd w:val="clear" w:color="auto" w:fill="auto"/>
            <w:tcMar>
              <w:top w:w="40" w:type="dxa"/>
              <w:left w:w="20" w:type="dxa"/>
              <w:bottom w:w="40" w:type="dxa"/>
              <w:right w:w="20" w:type="dxa"/>
            </w:tcMar>
            <w:vAlign w:val="bottom"/>
          </w:tcPr>
          <w:p w14:paraId="5C7C5F55" w14:textId="77777777" w:rsidR="0008009C" w:rsidRDefault="00936FDF">
            <w:pPr>
              <w:ind w:hanging="180"/>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tcPr>
          <w:p w14:paraId="5C7C5F56"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F57"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tcBorders>
              <w:top w:val="single" w:sz="8" w:space="0" w:color="0068B5"/>
            </w:tcBorders>
            <w:shd w:val="clear" w:color="auto" w:fill="auto"/>
            <w:tcMar>
              <w:top w:w="0" w:type="dxa"/>
              <w:left w:w="20" w:type="dxa"/>
              <w:bottom w:w="0" w:type="dxa"/>
              <w:right w:w="20" w:type="dxa"/>
            </w:tcMar>
          </w:tcPr>
          <w:p w14:paraId="5C7C5F58"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F59" w14:textId="77777777" w:rsidR="0008009C" w:rsidRDefault="00936FDF">
            <w:pPr>
              <w:jc w:val="center"/>
              <w:textAlignment w:val="bottom"/>
            </w:pPr>
            <w:r>
              <w:rPr>
                <w:rFonts w:ascii="Arial" w:eastAsia="宋体" w:hAnsi="Arial" w:cs="Arial"/>
                <w:b/>
                <w:bCs/>
                <w:color w:val="262626"/>
                <w:sz w:val="18"/>
                <w:szCs w:val="18"/>
              </w:rPr>
              <w:t>Mar 28, 2020</w:t>
            </w:r>
          </w:p>
        </w:tc>
        <w:tc>
          <w:tcPr>
            <w:tcW w:w="0" w:type="auto"/>
            <w:shd w:val="clear" w:color="auto" w:fill="auto"/>
          </w:tcPr>
          <w:p w14:paraId="5C7C5F5A" w14:textId="77777777" w:rsidR="0008009C" w:rsidRDefault="0008009C">
            <w:pPr>
              <w:rPr>
                <w:rFonts w:ascii="宋体"/>
                <w:vanish/>
              </w:rPr>
            </w:pPr>
          </w:p>
        </w:tc>
        <w:tc>
          <w:tcPr>
            <w:tcW w:w="0" w:type="auto"/>
            <w:shd w:val="clear" w:color="auto" w:fill="auto"/>
          </w:tcPr>
          <w:p w14:paraId="5C7C5F5B" w14:textId="77777777" w:rsidR="0008009C" w:rsidRDefault="0008009C">
            <w:pPr>
              <w:rPr>
                <w:rFonts w:ascii="宋体"/>
                <w:vanish/>
              </w:rPr>
            </w:pPr>
          </w:p>
        </w:tc>
        <w:tc>
          <w:tcPr>
            <w:tcW w:w="0" w:type="auto"/>
            <w:gridSpan w:val="3"/>
            <w:shd w:val="clear" w:color="auto" w:fill="auto"/>
          </w:tcPr>
          <w:p w14:paraId="5C7C5F5C" w14:textId="77777777" w:rsidR="0008009C" w:rsidRDefault="0008009C">
            <w:pPr>
              <w:rPr>
                <w:rFonts w:ascii="宋体"/>
                <w:vanish/>
              </w:rPr>
            </w:pPr>
          </w:p>
        </w:tc>
        <w:tc>
          <w:tcPr>
            <w:tcW w:w="0" w:type="auto"/>
            <w:gridSpan w:val="3"/>
            <w:shd w:val="clear" w:color="auto" w:fill="auto"/>
          </w:tcPr>
          <w:p w14:paraId="5C7C5F5D" w14:textId="77777777" w:rsidR="0008009C" w:rsidRDefault="0008009C">
            <w:pPr>
              <w:rPr>
                <w:rFonts w:ascii="宋体"/>
                <w:vanish/>
              </w:rPr>
            </w:pPr>
          </w:p>
        </w:tc>
      </w:tr>
      <w:tr w:rsidR="0008009C" w14:paraId="5C7C5F6C"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5F5F" w14:textId="77777777" w:rsidR="0008009C" w:rsidRDefault="00936FDF">
            <w:pPr>
              <w:ind w:hanging="180"/>
              <w:textAlignment w:val="top"/>
            </w:pPr>
            <w:r>
              <w:rPr>
                <w:rFonts w:ascii="Arial" w:eastAsia="宋体" w:hAnsi="Arial" w:cs="Arial"/>
                <w:color w:val="262626"/>
                <w:sz w:val="18"/>
                <w:szCs w:val="18"/>
              </w:rPr>
              <w:t>Interest income</w:t>
            </w:r>
          </w:p>
        </w:tc>
        <w:tc>
          <w:tcPr>
            <w:tcW w:w="0" w:type="auto"/>
            <w:gridSpan w:val="3"/>
            <w:shd w:val="clear" w:color="auto" w:fill="auto"/>
            <w:tcMar>
              <w:top w:w="0" w:type="dxa"/>
              <w:left w:w="20" w:type="dxa"/>
              <w:bottom w:w="0" w:type="dxa"/>
              <w:right w:w="20" w:type="dxa"/>
            </w:tcMar>
          </w:tcPr>
          <w:p w14:paraId="5C7C5F60"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5F61"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5F62" w14:textId="77777777" w:rsidR="0008009C" w:rsidRDefault="00936FDF">
            <w:pPr>
              <w:jc w:val="right"/>
              <w:textAlignment w:val="bottom"/>
            </w:pPr>
            <w:r>
              <w:rPr>
                <w:rFonts w:ascii="Arial" w:eastAsia="宋体" w:hAnsi="Arial" w:cs="Arial"/>
                <w:color w:val="0068B5"/>
                <w:sz w:val="18"/>
                <w:szCs w:val="18"/>
              </w:rPr>
              <w:t>37 </w:t>
            </w:r>
          </w:p>
        </w:tc>
        <w:tc>
          <w:tcPr>
            <w:tcW w:w="0" w:type="auto"/>
            <w:tcBorders>
              <w:top w:val="single" w:sz="8" w:space="0" w:color="0068B5"/>
            </w:tcBorders>
            <w:shd w:val="clear" w:color="auto" w:fill="auto"/>
            <w:tcMar>
              <w:top w:w="40" w:type="dxa"/>
              <w:left w:w="0" w:type="dxa"/>
              <w:bottom w:w="40" w:type="dxa"/>
              <w:right w:w="20" w:type="dxa"/>
            </w:tcMar>
            <w:vAlign w:val="bottom"/>
          </w:tcPr>
          <w:p w14:paraId="5C7C5F6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F64"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5F65" w14:textId="77777777" w:rsidR="0008009C" w:rsidRDefault="00936FDF">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5F66" w14:textId="77777777" w:rsidR="0008009C" w:rsidRDefault="00936FDF">
            <w:pPr>
              <w:jc w:val="right"/>
              <w:textAlignment w:val="bottom"/>
            </w:pPr>
            <w:r>
              <w:rPr>
                <w:rFonts w:ascii="Arial" w:eastAsia="宋体" w:hAnsi="Arial" w:cs="Arial"/>
                <w:color w:val="262626"/>
                <w:sz w:val="18"/>
                <w:szCs w:val="18"/>
              </w:rPr>
              <w:t>93 </w:t>
            </w:r>
          </w:p>
        </w:tc>
        <w:tc>
          <w:tcPr>
            <w:tcW w:w="0" w:type="auto"/>
            <w:tcBorders>
              <w:top w:val="single" w:sz="8" w:space="0" w:color="0068B5"/>
            </w:tcBorders>
            <w:shd w:val="clear" w:color="auto" w:fill="auto"/>
            <w:tcMar>
              <w:top w:w="40" w:type="dxa"/>
              <w:left w:w="0" w:type="dxa"/>
              <w:bottom w:w="40" w:type="dxa"/>
              <w:right w:w="20" w:type="dxa"/>
            </w:tcMar>
            <w:vAlign w:val="bottom"/>
          </w:tcPr>
          <w:p w14:paraId="5C7C5F67" w14:textId="77777777" w:rsidR="0008009C" w:rsidRDefault="0008009C">
            <w:pPr>
              <w:jc w:val="right"/>
              <w:rPr>
                <w:rFonts w:ascii="宋体"/>
              </w:rPr>
            </w:pPr>
          </w:p>
        </w:tc>
        <w:tc>
          <w:tcPr>
            <w:tcW w:w="0" w:type="auto"/>
            <w:shd w:val="clear" w:color="auto" w:fill="auto"/>
          </w:tcPr>
          <w:p w14:paraId="5C7C5F68" w14:textId="77777777" w:rsidR="0008009C" w:rsidRDefault="0008009C">
            <w:pPr>
              <w:rPr>
                <w:rFonts w:ascii="宋体"/>
                <w:vanish/>
              </w:rPr>
            </w:pPr>
          </w:p>
        </w:tc>
        <w:tc>
          <w:tcPr>
            <w:tcW w:w="0" w:type="auto"/>
            <w:shd w:val="clear" w:color="auto" w:fill="auto"/>
          </w:tcPr>
          <w:p w14:paraId="5C7C5F69" w14:textId="77777777" w:rsidR="0008009C" w:rsidRDefault="0008009C">
            <w:pPr>
              <w:rPr>
                <w:rFonts w:ascii="宋体"/>
                <w:vanish/>
              </w:rPr>
            </w:pPr>
          </w:p>
        </w:tc>
        <w:tc>
          <w:tcPr>
            <w:tcW w:w="0" w:type="auto"/>
            <w:gridSpan w:val="3"/>
            <w:shd w:val="clear" w:color="auto" w:fill="auto"/>
          </w:tcPr>
          <w:p w14:paraId="5C7C5F6A" w14:textId="77777777" w:rsidR="0008009C" w:rsidRDefault="0008009C">
            <w:pPr>
              <w:rPr>
                <w:rFonts w:ascii="宋体"/>
                <w:vanish/>
              </w:rPr>
            </w:pPr>
          </w:p>
        </w:tc>
        <w:tc>
          <w:tcPr>
            <w:tcW w:w="0" w:type="auto"/>
            <w:gridSpan w:val="3"/>
            <w:shd w:val="clear" w:color="auto" w:fill="auto"/>
          </w:tcPr>
          <w:p w14:paraId="5C7C5F6B" w14:textId="77777777" w:rsidR="0008009C" w:rsidRDefault="0008009C">
            <w:pPr>
              <w:rPr>
                <w:rFonts w:ascii="宋体"/>
                <w:vanish/>
              </w:rPr>
            </w:pPr>
          </w:p>
        </w:tc>
      </w:tr>
      <w:tr w:rsidR="0008009C" w14:paraId="5C7C5F78" w14:textId="77777777">
        <w:tc>
          <w:tcPr>
            <w:tcW w:w="0" w:type="auto"/>
            <w:gridSpan w:val="3"/>
            <w:shd w:val="clear" w:color="auto" w:fill="auto"/>
            <w:tcMar>
              <w:top w:w="40" w:type="dxa"/>
              <w:left w:w="20" w:type="dxa"/>
              <w:bottom w:w="40" w:type="dxa"/>
              <w:right w:w="20" w:type="dxa"/>
            </w:tcMar>
          </w:tcPr>
          <w:p w14:paraId="5C7C5F6D" w14:textId="77777777" w:rsidR="0008009C" w:rsidRDefault="00936FDF">
            <w:pPr>
              <w:ind w:hanging="180"/>
              <w:textAlignment w:val="top"/>
            </w:pPr>
            <w:r>
              <w:rPr>
                <w:rFonts w:ascii="Arial" w:eastAsia="宋体" w:hAnsi="Arial" w:cs="Arial"/>
                <w:color w:val="262626"/>
                <w:sz w:val="18"/>
                <w:szCs w:val="18"/>
              </w:rPr>
              <w:t>I</w:t>
            </w:r>
            <w:r>
              <w:rPr>
                <w:rFonts w:ascii="Arial" w:eastAsia="宋体" w:hAnsi="Arial" w:cs="Arial"/>
                <w:color w:val="262626"/>
                <w:sz w:val="18"/>
                <w:szCs w:val="18"/>
              </w:rPr>
              <w:t>nterest expense</w:t>
            </w:r>
          </w:p>
        </w:tc>
        <w:tc>
          <w:tcPr>
            <w:tcW w:w="0" w:type="auto"/>
            <w:gridSpan w:val="3"/>
            <w:shd w:val="clear" w:color="auto" w:fill="auto"/>
            <w:tcMar>
              <w:top w:w="0" w:type="dxa"/>
              <w:left w:w="20" w:type="dxa"/>
              <w:bottom w:w="0" w:type="dxa"/>
              <w:right w:w="20" w:type="dxa"/>
            </w:tcMar>
          </w:tcPr>
          <w:p w14:paraId="5C7C5F6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F6F" w14:textId="77777777" w:rsidR="0008009C" w:rsidRDefault="00936FDF">
            <w:pPr>
              <w:jc w:val="right"/>
              <w:textAlignment w:val="bottom"/>
            </w:pPr>
            <w:r>
              <w:rPr>
                <w:rFonts w:ascii="Arial" w:eastAsia="宋体" w:hAnsi="Arial" w:cs="Arial"/>
                <w:color w:val="0068B5"/>
                <w:sz w:val="18"/>
                <w:szCs w:val="18"/>
              </w:rPr>
              <w:t>(190)</w:t>
            </w:r>
          </w:p>
        </w:tc>
        <w:tc>
          <w:tcPr>
            <w:tcW w:w="0" w:type="auto"/>
            <w:shd w:val="clear" w:color="auto" w:fill="auto"/>
            <w:tcMar>
              <w:top w:w="40" w:type="dxa"/>
              <w:left w:w="0" w:type="dxa"/>
              <w:bottom w:w="40" w:type="dxa"/>
              <w:right w:w="20" w:type="dxa"/>
            </w:tcMar>
            <w:vAlign w:val="bottom"/>
          </w:tcPr>
          <w:p w14:paraId="5C7C5F7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F7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F72" w14:textId="77777777" w:rsidR="0008009C" w:rsidRDefault="00936FDF">
            <w:pPr>
              <w:jc w:val="right"/>
              <w:textAlignment w:val="bottom"/>
            </w:pPr>
            <w:r>
              <w:rPr>
                <w:rFonts w:ascii="Arial" w:eastAsia="宋体" w:hAnsi="Arial" w:cs="Arial"/>
                <w:color w:val="262626"/>
                <w:sz w:val="18"/>
                <w:szCs w:val="18"/>
              </w:rPr>
              <w:t>(135)</w:t>
            </w:r>
          </w:p>
        </w:tc>
        <w:tc>
          <w:tcPr>
            <w:tcW w:w="0" w:type="auto"/>
            <w:shd w:val="clear" w:color="auto" w:fill="auto"/>
            <w:tcMar>
              <w:top w:w="40" w:type="dxa"/>
              <w:left w:w="0" w:type="dxa"/>
              <w:bottom w:w="40" w:type="dxa"/>
              <w:right w:w="20" w:type="dxa"/>
            </w:tcMar>
            <w:vAlign w:val="bottom"/>
          </w:tcPr>
          <w:p w14:paraId="5C7C5F73" w14:textId="77777777" w:rsidR="0008009C" w:rsidRDefault="0008009C">
            <w:pPr>
              <w:jc w:val="right"/>
              <w:rPr>
                <w:rFonts w:ascii="宋体"/>
              </w:rPr>
            </w:pPr>
          </w:p>
        </w:tc>
        <w:tc>
          <w:tcPr>
            <w:tcW w:w="0" w:type="auto"/>
            <w:shd w:val="clear" w:color="auto" w:fill="auto"/>
          </w:tcPr>
          <w:p w14:paraId="5C7C5F74" w14:textId="77777777" w:rsidR="0008009C" w:rsidRDefault="0008009C">
            <w:pPr>
              <w:rPr>
                <w:rFonts w:ascii="宋体"/>
                <w:vanish/>
              </w:rPr>
            </w:pPr>
          </w:p>
        </w:tc>
        <w:tc>
          <w:tcPr>
            <w:tcW w:w="0" w:type="auto"/>
            <w:shd w:val="clear" w:color="auto" w:fill="auto"/>
          </w:tcPr>
          <w:p w14:paraId="5C7C5F75" w14:textId="77777777" w:rsidR="0008009C" w:rsidRDefault="0008009C">
            <w:pPr>
              <w:rPr>
                <w:rFonts w:ascii="宋体"/>
                <w:vanish/>
              </w:rPr>
            </w:pPr>
          </w:p>
        </w:tc>
        <w:tc>
          <w:tcPr>
            <w:tcW w:w="0" w:type="auto"/>
            <w:gridSpan w:val="3"/>
            <w:shd w:val="clear" w:color="auto" w:fill="auto"/>
          </w:tcPr>
          <w:p w14:paraId="5C7C5F76" w14:textId="77777777" w:rsidR="0008009C" w:rsidRDefault="0008009C">
            <w:pPr>
              <w:rPr>
                <w:rFonts w:ascii="宋体"/>
                <w:vanish/>
              </w:rPr>
            </w:pPr>
          </w:p>
        </w:tc>
        <w:tc>
          <w:tcPr>
            <w:tcW w:w="0" w:type="auto"/>
            <w:gridSpan w:val="3"/>
            <w:shd w:val="clear" w:color="auto" w:fill="auto"/>
          </w:tcPr>
          <w:p w14:paraId="5C7C5F77" w14:textId="77777777" w:rsidR="0008009C" w:rsidRDefault="0008009C">
            <w:pPr>
              <w:rPr>
                <w:rFonts w:ascii="宋体"/>
                <w:vanish/>
              </w:rPr>
            </w:pPr>
          </w:p>
        </w:tc>
      </w:tr>
      <w:tr w:rsidR="0008009C" w14:paraId="5C7C5F84" w14:textId="77777777">
        <w:tc>
          <w:tcPr>
            <w:tcW w:w="0" w:type="auto"/>
            <w:gridSpan w:val="3"/>
            <w:shd w:val="clear" w:color="auto" w:fill="auto"/>
            <w:tcMar>
              <w:top w:w="40" w:type="dxa"/>
              <w:left w:w="20" w:type="dxa"/>
              <w:bottom w:w="40" w:type="dxa"/>
              <w:right w:w="20" w:type="dxa"/>
            </w:tcMar>
          </w:tcPr>
          <w:p w14:paraId="5C7C5F79" w14:textId="77777777" w:rsidR="0008009C" w:rsidRDefault="00936FDF">
            <w:pPr>
              <w:ind w:hanging="180"/>
              <w:textAlignment w:val="top"/>
            </w:pP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tcPr>
          <w:p w14:paraId="5C7C5F7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F7B" w14:textId="77777777" w:rsidR="0008009C" w:rsidRDefault="00936FDF">
            <w:pPr>
              <w:jc w:val="right"/>
              <w:textAlignment w:val="bottom"/>
            </w:pPr>
            <w:r>
              <w:rPr>
                <w:rFonts w:ascii="Arial" w:eastAsia="宋体" w:hAnsi="Arial" w:cs="Arial"/>
                <w:color w:val="0068B5"/>
                <w:sz w:val="18"/>
                <w:szCs w:val="18"/>
              </w:rPr>
              <w:t>(3)</w:t>
            </w:r>
          </w:p>
        </w:tc>
        <w:tc>
          <w:tcPr>
            <w:tcW w:w="0" w:type="auto"/>
            <w:shd w:val="clear" w:color="auto" w:fill="auto"/>
            <w:tcMar>
              <w:top w:w="40" w:type="dxa"/>
              <w:left w:w="0" w:type="dxa"/>
              <w:bottom w:w="40" w:type="dxa"/>
              <w:right w:w="20" w:type="dxa"/>
            </w:tcMar>
            <w:vAlign w:val="bottom"/>
          </w:tcPr>
          <w:p w14:paraId="5C7C5F7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F7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F7E" w14:textId="77777777" w:rsidR="0008009C" w:rsidRDefault="00936FDF">
            <w:pPr>
              <w:jc w:val="right"/>
              <w:textAlignment w:val="bottom"/>
            </w:pPr>
            <w:r>
              <w:rPr>
                <w:rFonts w:ascii="Arial" w:eastAsia="宋体" w:hAnsi="Arial" w:cs="Arial"/>
                <w:color w:val="262626"/>
                <w:sz w:val="18"/>
                <w:szCs w:val="18"/>
              </w:rPr>
              <w:t>(271)</w:t>
            </w:r>
          </w:p>
        </w:tc>
        <w:tc>
          <w:tcPr>
            <w:tcW w:w="0" w:type="auto"/>
            <w:shd w:val="clear" w:color="auto" w:fill="auto"/>
            <w:tcMar>
              <w:top w:w="40" w:type="dxa"/>
              <w:left w:w="0" w:type="dxa"/>
              <w:bottom w:w="40" w:type="dxa"/>
              <w:right w:w="20" w:type="dxa"/>
            </w:tcMar>
            <w:vAlign w:val="bottom"/>
          </w:tcPr>
          <w:p w14:paraId="5C7C5F7F" w14:textId="77777777" w:rsidR="0008009C" w:rsidRDefault="0008009C">
            <w:pPr>
              <w:jc w:val="right"/>
              <w:rPr>
                <w:rFonts w:ascii="宋体"/>
              </w:rPr>
            </w:pPr>
          </w:p>
        </w:tc>
        <w:tc>
          <w:tcPr>
            <w:tcW w:w="0" w:type="auto"/>
            <w:shd w:val="clear" w:color="auto" w:fill="auto"/>
          </w:tcPr>
          <w:p w14:paraId="5C7C5F80" w14:textId="77777777" w:rsidR="0008009C" w:rsidRDefault="0008009C">
            <w:pPr>
              <w:rPr>
                <w:rFonts w:ascii="宋体"/>
                <w:vanish/>
              </w:rPr>
            </w:pPr>
          </w:p>
        </w:tc>
        <w:tc>
          <w:tcPr>
            <w:tcW w:w="0" w:type="auto"/>
            <w:shd w:val="clear" w:color="auto" w:fill="auto"/>
          </w:tcPr>
          <w:p w14:paraId="5C7C5F81" w14:textId="77777777" w:rsidR="0008009C" w:rsidRDefault="0008009C">
            <w:pPr>
              <w:rPr>
                <w:rFonts w:ascii="宋体"/>
                <w:vanish/>
              </w:rPr>
            </w:pPr>
          </w:p>
        </w:tc>
        <w:tc>
          <w:tcPr>
            <w:tcW w:w="0" w:type="auto"/>
            <w:gridSpan w:val="3"/>
            <w:shd w:val="clear" w:color="auto" w:fill="auto"/>
          </w:tcPr>
          <w:p w14:paraId="5C7C5F82" w14:textId="77777777" w:rsidR="0008009C" w:rsidRDefault="0008009C">
            <w:pPr>
              <w:rPr>
                <w:rFonts w:ascii="宋体"/>
                <w:vanish/>
              </w:rPr>
            </w:pPr>
          </w:p>
        </w:tc>
        <w:tc>
          <w:tcPr>
            <w:tcW w:w="0" w:type="auto"/>
            <w:gridSpan w:val="3"/>
            <w:shd w:val="clear" w:color="auto" w:fill="auto"/>
          </w:tcPr>
          <w:p w14:paraId="5C7C5F83" w14:textId="77777777" w:rsidR="0008009C" w:rsidRDefault="0008009C">
            <w:pPr>
              <w:rPr>
                <w:rFonts w:ascii="宋体"/>
                <w:vanish/>
              </w:rPr>
            </w:pPr>
          </w:p>
        </w:tc>
      </w:tr>
      <w:tr w:rsidR="0008009C" w14:paraId="5C7C5F92" w14:textId="77777777">
        <w:tc>
          <w:tcPr>
            <w:tcW w:w="0" w:type="auto"/>
            <w:gridSpan w:val="3"/>
            <w:shd w:val="clear" w:color="auto" w:fill="auto"/>
            <w:tcMar>
              <w:top w:w="40" w:type="dxa"/>
              <w:left w:w="20" w:type="dxa"/>
              <w:bottom w:w="40" w:type="dxa"/>
              <w:right w:w="20" w:type="dxa"/>
            </w:tcMar>
          </w:tcPr>
          <w:p w14:paraId="5C7C5F85" w14:textId="77777777" w:rsidR="0008009C" w:rsidRDefault="00936FDF">
            <w:pPr>
              <w:textAlignment w:val="top"/>
            </w:pPr>
            <w:r>
              <w:rPr>
                <w:rFonts w:ascii="Arial" w:eastAsia="宋体" w:hAnsi="Arial" w:cs="Arial"/>
                <w:b/>
                <w:bCs/>
                <w:color w:val="262626"/>
                <w:sz w:val="18"/>
                <w:szCs w:val="18"/>
              </w:rPr>
              <w:t>Total interest and other, net</w:t>
            </w:r>
          </w:p>
        </w:tc>
        <w:tc>
          <w:tcPr>
            <w:tcW w:w="0" w:type="auto"/>
            <w:gridSpan w:val="3"/>
            <w:shd w:val="clear" w:color="auto" w:fill="auto"/>
            <w:tcMar>
              <w:top w:w="0" w:type="dxa"/>
              <w:left w:w="20" w:type="dxa"/>
              <w:bottom w:w="0" w:type="dxa"/>
              <w:right w:w="20" w:type="dxa"/>
            </w:tcMar>
          </w:tcPr>
          <w:p w14:paraId="5C7C5F86"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F87"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F88" w14:textId="77777777" w:rsidR="0008009C" w:rsidRDefault="00936FDF">
            <w:pPr>
              <w:jc w:val="right"/>
              <w:textAlignment w:val="bottom"/>
            </w:pPr>
            <w:r>
              <w:rPr>
                <w:rFonts w:ascii="Arial" w:eastAsia="宋体" w:hAnsi="Arial" w:cs="Arial"/>
                <w:b/>
                <w:bCs/>
                <w:color w:val="0068B5"/>
                <w:sz w:val="18"/>
                <w:szCs w:val="18"/>
              </w:rPr>
              <w:t>(156)</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F8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F8A"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F8B"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F8C" w14:textId="77777777" w:rsidR="0008009C" w:rsidRDefault="00936FDF">
            <w:pPr>
              <w:jc w:val="right"/>
              <w:textAlignment w:val="bottom"/>
            </w:pPr>
            <w:r>
              <w:rPr>
                <w:rFonts w:ascii="Arial" w:eastAsia="宋体" w:hAnsi="Arial" w:cs="Arial"/>
                <w:b/>
                <w:bCs/>
                <w:color w:val="262626"/>
                <w:sz w:val="18"/>
                <w:szCs w:val="18"/>
              </w:rPr>
              <w:t>(313)</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F8D" w14:textId="77777777" w:rsidR="0008009C" w:rsidRDefault="0008009C">
            <w:pPr>
              <w:jc w:val="right"/>
              <w:rPr>
                <w:rFonts w:ascii="宋体"/>
              </w:rPr>
            </w:pPr>
          </w:p>
        </w:tc>
        <w:tc>
          <w:tcPr>
            <w:tcW w:w="0" w:type="auto"/>
            <w:shd w:val="clear" w:color="auto" w:fill="auto"/>
          </w:tcPr>
          <w:p w14:paraId="5C7C5F8E" w14:textId="77777777" w:rsidR="0008009C" w:rsidRDefault="0008009C">
            <w:pPr>
              <w:rPr>
                <w:rFonts w:ascii="宋体"/>
                <w:vanish/>
              </w:rPr>
            </w:pPr>
          </w:p>
        </w:tc>
        <w:tc>
          <w:tcPr>
            <w:tcW w:w="0" w:type="auto"/>
            <w:shd w:val="clear" w:color="auto" w:fill="auto"/>
          </w:tcPr>
          <w:p w14:paraId="5C7C5F8F" w14:textId="77777777" w:rsidR="0008009C" w:rsidRDefault="0008009C">
            <w:pPr>
              <w:rPr>
                <w:rFonts w:ascii="宋体"/>
                <w:vanish/>
              </w:rPr>
            </w:pPr>
          </w:p>
        </w:tc>
        <w:tc>
          <w:tcPr>
            <w:tcW w:w="0" w:type="auto"/>
            <w:gridSpan w:val="3"/>
            <w:shd w:val="clear" w:color="auto" w:fill="auto"/>
          </w:tcPr>
          <w:p w14:paraId="5C7C5F90" w14:textId="77777777" w:rsidR="0008009C" w:rsidRDefault="0008009C">
            <w:pPr>
              <w:rPr>
                <w:rFonts w:ascii="宋体"/>
                <w:vanish/>
              </w:rPr>
            </w:pPr>
          </w:p>
        </w:tc>
        <w:tc>
          <w:tcPr>
            <w:tcW w:w="0" w:type="auto"/>
            <w:gridSpan w:val="3"/>
            <w:shd w:val="clear" w:color="auto" w:fill="auto"/>
          </w:tcPr>
          <w:p w14:paraId="5C7C5F91" w14:textId="77777777" w:rsidR="0008009C" w:rsidRDefault="0008009C">
            <w:pPr>
              <w:rPr>
                <w:rFonts w:ascii="宋体"/>
                <w:vanish/>
              </w:rPr>
            </w:pPr>
          </w:p>
        </w:tc>
      </w:tr>
    </w:tbl>
    <w:p w14:paraId="5C7C5F93" w14:textId="77777777" w:rsidR="0008009C" w:rsidRDefault="00936FDF">
      <w:pPr>
        <w:spacing w:before="180" w:after="180"/>
      </w:pPr>
      <w:r>
        <w:rPr>
          <w:rFonts w:ascii="Arial" w:eastAsia="宋体" w:hAnsi="Arial" w:cs="Arial"/>
          <w:color w:val="262626"/>
          <w:sz w:val="18"/>
          <w:szCs w:val="18"/>
        </w:rPr>
        <w:t>Interest expense in the preceding table is net of $97 million of interest capitalized in the first three months of 2021 ($83 million in the first three months of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8009C" w14:paraId="5C7C5F9A" w14:textId="77777777">
        <w:tc>
          <w:tcPr>
            <w:tcW w:w="50" w:type="pct"/>
            <w:shd w:val="clear" w:color="auto" w:fill="auto"/>
          </w:tcPr>
          <w:p w14:paraId="5C7C5F94" w14:textId="77777777" w:rsidR="0008009C" w:rsidRDefault="0008009C">
            <w:pPr>
              <w:rPr>
                <w:rFonts w:ascii="宋体"/>
              </w:rPr>
            </w:pPr>
          </w:p>
        </w:tc>
        <w:tc>
          <w:tcPr>
            <w:tcW w:w="511" w:type="pct"/>
            <w:shd w:val="clear" w:color="auto" w:fill="auto"/>
          </w:tcPr>
          <w:p w14:paraId="5C7C5F95" w14:textId="77777777" w:rsidR="0008009C" w:rsidRDefault="0008009C">
            <w:pPr>
              <w:rPr>
                <w:rFonts w:ascii="宋体"/>
              </w:rPr>
            </w:pPr>
          </w:p>
        </w:tc>
        <w:tc>
          <w:tcPr>
            <w:tcW w:w="5" w:type="pct"/>
            <w:shd w:val="clear" w:color="auto" w:fill="auto"/>
          </w:tcPr>
          <w:p w14:paraId="5C7C5F96" w14:textId="77777777" w:rsidR="0008009C" w:rsidRDefault="0008009C">
            <w:pPr>
              <w:rPr>
                <w:rFonts w:ascii="宋体"/>
              </w:rPr>
            </w:pPr>
          </w:p>
        </w:tc>
        <w:tc>
          <w:tcPr>
            <w:tcW w:w="50" w:type="pct"/>
            <w:shd w:val="clear" w:color="auto" w:fill="auto"/>
          </w:tcPr>
          <w:p w14:paraId="5C7C5F97" w14:textId="77777777" w:rsidR="0008009C" w:rsidRDefault="0008009C">
            <w:pPr>
              <w:rPr>
                <w:rFonts w:ascii="宋体"/>
              </w:rPr>
            </w:pPr>
          </w:p>
        </w:tc>
        <w:tc>
          <w:tcPr>
            <w:tcW w:w="4378" w:type="pct"/>
            <w:shd w:val="clear" w:color="auto" w:fill="auto"/>
          </w:tcPr>
          <w:p w14:paraId="5C7C5F98" w14:textId="77777777" w:rsidR="0008009C" w:rsidRDefault="0008009C">
            <w:pPr>
              <w:rPr>
                <w:rFonts w:ascii="宋体"/>
              </w:rPr>
            </w:pPr>
          </w:p>
        </w:tc>
        <w:tc>
          <w:tcPr>
            <w:tcW w:w="5" w:type="pct"/>
            <w:shd w:val="clear" w:color="auto" w:fill="auto"/>
          </w:tcPr>
          <w:p w14:paraId="5C7C5F99" w14:textId="77777777" w:rsidR="0008009C" w:rsidRDefault="0008009C">
            <w:pPr>
              <w:rPr>
                <w:rFonts w:ascii="宋体"/>
              </w:rPr>
            </w:pPr>
          </w:p>
        </w:tc>
      </w:tr>
      <w:tr w:rsidR="0008009C" w14:paraId="5C7C5F9D"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C7C5F9B" w14:textId="77777777" w:rsidR="0008009C" w:rsidRDefault="00936FDF">
            <w:pPr>
              <w:textAlignment w:val="bottom"/>
            </w:pPr>
            <w:r>
              <w:rPr>
                <w:rFonts w:ascii="Arial" w:eastAsia="宋体" w:hAnsi="Arial" w:cs="Arial"/>
                <w:color w:val="FFFFFF"/>
                <w:sz w:val="28"/>
                <w:szCs w:val="28"/>
              </w:rPr>
              <w:t xml:space="preserve">Note 6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C7C5F9C" w14:textId="77777777" w:rsidR="0008009C" w:rsidRDefault="00936FDF">
            <w:pPr>
              <w:textAlignment w:val="bottom"/>
            </w:pPr>
            <w:r>
              <w:rPr>
                <w:rFonts w:ascii="Arial" w:eastAsia="宋体" w:hAnsi="Arial" w:cs="Arial"/>
                <w:color w:val="0068B5"/>
                <w:sz w:val="28"/>
                <w:szCs w:val="28"/>
              </w:rPr>
              <w:t>Restructuring and Other Charges</w:t>
            </w:r>
          </w:p>
        </w:tc>
      </w:tr>
    </w:tbl>
    <w:p w14:paraId="5C7C5F9E" w14:textId="77777777" w:rsidR="0008009C" w:rsidRDefault="00936FDF">
      <w:pPr>
        <w:spacing w:before="180" w:after="180"/>
      </w:pPr>
      <w:r>
        <w:rPr>
          <w:rFonts w:ascii="Arial" w:eastAsia="宋体" w:hAnsi="Arial" w:cs="Arial"/>
          <w:color w:val="262626"/>
          <w:sz w:val="18"/>
          <w:szCs w:val="18"/>
        </w:rPr>
        <w:t>A restructuring program, which is ongoing, was approved in the first quarter of 2020 to further align our workforce with our continuing investments in the business and to execute the planned divestiture of Home Gateway Platform, a division of CCG. These ac</w:t>
      </w:r>
      <w:r>
        <w:rPr>
          <w:rFonts w:ascii="Arial" w:eastAsia="宋体" w:hAnsi="Arial" w:cs="Arial"/>
          <w:color w:val="262626"/>
          <w:sz w:val="18"/>
          <w:szCs w:val="18"/>
        </w:rPr>
        <w:t xml:space="preserve">tions are expected to be substantially completed in 2021. </w:t>
      </w:r>
    </w:p>
    <w:tbl>
      <w:tblPr>
        <w:tblW w:w="5000" w:type="pct"/>
        <w:tblCellMar>
          <w:top w:w="15" w:type="dxa"/>
          <w:left w:w="15" w:type="dxa"/>
          <w:bottom w:w="15" w:type="dxa"/>
          <w:right w:w="15" w:type="dxa"/>
        </w:tblCellMar>
        <w:tblLook w:val="04A0" w:firstRow="1" w:lastRow="0" w:firstColumn="1" w:lastColumn="0" w:noHBand="0" w:noVBand="1"/>
      </w:tblPr>
      <w:tblGrid>
        <w:gridCol w:w="38"/>
        <w:gridCol w:w="5849"/>
        <w:gridCol w:w="36"/>
        <w:gridCol w:w="36"/>
        <w:gridCol w:w="36"/>
        <w:gridCol w:w="36"/>
        <w:gridCol w:w="121"/>
        <w:gridCol w:w="752"/>
        <w:gridCol w:w="36"/>
        <w:gridCol w:w="36"/>
        <w:gridCol w:w="36"/>
        <w:gridCol w:w="36"/>
        <w:gridCol w:w="121"/>
        <w:gridCol w:w="807"/>
        <w:gridCol w:w="36"/>
        <w:gridCol w:w="36"/>
        <w:gridCol w:w="36"/>
        <w:gridCol w:w="36"/>
        <w:gridCol w:w="36"/>
        <w:gridCol w:w="36"/>
        <w:gridCol w:w="36"/>
        <w:gridCol w:w="36"/>
        <w:gridCol w:w="36"/>
        <w:gridCol w:w="36"/>
      </w:tblGrid>
      <w:tr w:rsidR="0008009C" w14:paraId="5C7C5FB3" w14:textId="77777777">
        <w:tc>
          <w:tcPr>
            <w:tcW w:w="50" w:type="pct"/>
            <w:shd w:val="clear" w:color="auto" w:fill="auto"/>
          </w:tcPr>
          <w:p w14:paraId="5C7C5F9F" w14:textId="77777777" w:rsidR="0008009C" w:rsidRDefault="0008009C">
            <w:pPr>
              <w:rPr>
                <w:rFonts w:ascii="宋体"/>
              </w:rPr>
            </w:pPr>
          </w:p>
        </w:tc>
        <w:tc>
          <w:tcPr>
            <w:tcW w:w="3695" w:type="pct"/>
            <w:shd w:val="clear" w:color="auto" w:fill="auto"/>
          </w:tcPr>
          <w:p w14:paraId="5C7C5FA0" w14:textId="77777777" w:rsidR="0008009C" w:rsidRDefault="0008009C">
            <w:pPr>
              <w:rPr>
                <w:rFonts w:ascii="宋体"/>
              </w:rPr>
            </w:pPr>
          </w:p>
        </w:tc>
        <w:tc>
          <w:tcPr>
            <w:tcW w:w="5" w:type="pct"/>
            <w:shd w:val="clear" w:color="auto" w:fill="auto"/>
          </w:tcPr>
          <w:p w14:paraId="5C7C5FA1" w14:textId="77777777" w:rsidR="0008009C" w:rsidRDefault="0008009C">
            <w:pPr>
              <w:rPr>
                <w:rFonts w:ascii="宋体"/>
              </w:rPr>
            </w:pPr>
          </w:p>
        </w:tc>
        <w:tc>
          <w:tcPr>
            <w:tcW w:w="5" w:type="pct"/>
            <w:shd w:val="clear" w:color="auto" w:fill="auto"/>
          </w:tcPr>
          <w:p w14:paraId="5C7C5FA2" w14:textId="77777777" w:rsidR="0008009C" w:rsidRDefault="0008009C">
            <w:pPr>
              <w:rPr>
                <w:rFonts w:ascii="宋体"/>
              </w:rPr>
            </w:pPr>
          </w:p>
        </w:tc>
        <w:tc>
          <w:tcPr>
            <w:tcW w:w="24" w:type="pct"/>
            <w:shd w:val="clear" w:color="auto" w:fill="auto"/>
          </w:tcPr>
          <w:p w14:paraId="5C7C5FA3" w14:textId="77777777" w:rsidR="0008009C" w:rsidRDefault="0008009C">
            <w:pPr>
              <w:rPr>
                <w:rFonts w:ascii="宋体"/>
              </w:rPr>
            </w:pPr>
          </w:p>
        </w:tc>
        <w:tc>
          <w:tcPr>
            <w:tcW w:w="5" w:type="pct"/>
            <w:shd w:val="clear" w:color="auto" w:fill="auto"/>
          </w:tcPr>
          <w:p w14:paraId="5C7C5FA4" w14:textId="77777777" w:rsidR="0008009C" w:rsidRDefault="0008009C">
            <w:pPr>
              <w:rPr>
                <w:rFonts w:ascii="宋体"/>
              </w:rPr>
            </w:pPr>
          </w:p>
        </w:tc>
        <w:tc>
          <w:tcPr>
            <w:tcW w:w="50" w:type="pct"/>
            <w:shd w:val="clear" w:color="auto" w:fill="auto"/>
          </w:tcPr>
          <w:p w14:paraId="5C7C5FA5" w14:textId="77777777" w:rsidR="0008009C" w:rsidRDefault="0008009C">
            <w:pPr>
              <w:rPr>
                <w:rFonts w:ascii="宋体"/>
              </w:rPr>
            </w:pPr>
          </w:p>
        </w:tc>
        <w:tc>
          <w:tcPr>
            <w:tcW w:w="539" w:type="pct"/>
            <w:shd w:val="clear" w:color="auto" w:fill="auto"/>
          </w:tcPr>
          <w:p w14:paraId="5C7C5FA6" w14:textId="77777777" w:rsidR="0008009C" w:rsidRDefault="0008009C">
            <w:pPr>
              <w:rPr>
                <w:rFonts w:ascii="宋体"/>
              </w:rPr>
            </w:pPr>
          </w:p>
        </w:tc>
        <w:tc>
          <w:tcPr>
            <w:tcW w:w="5" w:type="pct"/>
            <w:shd w:val="clear" w:color="auto" w:fill="auto"/>
          </w:tcPr>
          <w:p w14:paraId="5C7C5FA7" w14:textId="77777777" w:rsidR="0008009C" w:rsidRDefault="0008009C">
            <w:pPr>
              <w:rPr>
                <w:rFonts w:ascii="宋体"/>
              </w:rPr>
            </w:pPr>
          </w:p>
        </w:tc>
        <w:tc>
          <w:tcPr>
            <w:tcW w:w="5" w:type="pct"/>
            <w:shd w:val="clear" w:color="auto" w:fill="auto"/>
          </w:tcPr>
          <w:p w14:paraId="5C7C5FA8" w14:textId="77777777" w:rsidR="0008009C" w:rsidRDefault="0008009C">
            <w:pPr>
              <w:rPr>
                <w:rFonts w:ascii="宋体"/>
              </w:rPr>
            </w:pPr>
          </w:p>
        </w:tc>
        <w:tc>
          <w:tcPr>
            <w:tcW w:w="17" w:type="pct"/>
            <w:shd w:val="clear" w:color="auto" w:fill="auto"/>
          </w:tcPr>
          <w:p w14:paraId="5C7C5FA9" w14:textId="77777777" w:rsidR="0008009C" w:rsidRDefault="0008009C">
            <w:pPr>
              <w:rPr>
                <w:rFonts w:ascii="宋体"/>
              </w:rPr>
            </w:pPr>
          </w:p>
        </w:tc>
        <w:tc>
          <w:tcPr>
            <w:tcW w:w="5" w:type="pct"/>
            <w:shd w:val="clear" w:color="auto" w:fill="auto"/>
          </w:tcPr>
          <w:p w14:paraId="5C7C5FAA" w14:textId="77777777" w:rsidR="0008009C" w:rsidRDefault="0008009C">
            <w:pPr>
              <w:rPr>
                <w:rFonts w:ascii="宋体"/>
              </w:rPr>
            </w:pPr>
          </w:p>
        </w:tc>
        <w:tc>
          <w:tcPr>
            <w:tcW w:w="50" w:type="pct"/>
            <w:shd w:val="clear" w:color="auto" w:fill="auto"/>
          </w:tcPr>
          <w:p w14:paraId="5C7C5FAB" w14:textId="77777777" w:rsidR="0008009C" w:rsidRDefault="0008009C">
            <w:pPr>
              <w:rPr>
                <w:rFonts w:ascii="宋体"/>
              </w:rPr>
            </w:pPr>
          </w:p>
        </w:tc>
        <w:tc>
          <w:tcPr>
            <w:tcW w:w="539" w:type="pct"/>
            <w:shd w:val="clear" w:color="auto" w:fill="auto"/>
          </w:tcPr>
          <w:p w14:paraId="5C7C5FAC" w14:textId="77777777" w:rsidR="0008009C" w:rsidRDefault="0008009C">
            <w:pPr>
              <w:rPr>
                <w:rFonts w:ascii="宋体"/>
              </w:rPr>
            </w:pPr>
          </w:p>
        </w:tc>
        <w:tc>
          <w:tcPr>
            <w:tcW w:w="5" w:type="pct"/>
            <w:shd w:val="clear" w:color="auto" w:fill="auto"/>
          </w:tcPr>
          <w:p w14:paraId="5C7C5FAD" w14:textId="77777777" w:rsidR="0008009C" w:rsidRDefault="0008009C">
            <w:pPr>
              <w:rPr>
                <w:rFonts w:ascii="宋体"/>
              </w:rPr>
            </w:pPr>
          </w:p>
        </w:tc>
        <w:tc>
          <w:tcPr>
            <w:tcW w:w="0" w:type="auto"/>
            <w:shd w:val="clear" w:color="auto" w:fill="auto"/>
          </w:tcPr>
          <w:p w14:paraId="5C7C5FAE" w14:textId="77777777" w:rsidR="0008009C" w:rsidRDefault="0008009C">
            <w:pPr>
              <w:rPr>
                <w:rFonts w:ascii="宋体"/>
                <w:vanish/>
              </w:rPr>
            </w:pPr>
          </w:p>
        </w:tc>
        <w:tc>
          <w:tcPr>
            <w:tcW w:w="0" w:type="auto"/>
            <w:shd w:val="clear" w:color="auto" w:fill="auto"/>
          </w:tcPr>
          <w:p w14:paraId="5C7C5FAF" w14:textId="77777777" w:rsidR="0008009C" w:rsidRDefault="0008009C">
            <w:pPr>
              <w:rPr>
                <w:rFonts w:ascii="宋体"/>
                <w:vanish/>
              </w:rPr>
            </w:pPr>
          </w:p>
        </w:tc>
        <w:tc>
          <w:tcPr>
            <w:tcW w:w="0" w:type="auto"/>
            <w:shd w:val="clear" w:color="auto" w:fill="auto"/>
          </w:tcPr>
          <w:p w14:paraId="5C7C5FB0" w14:textId="77777777" w:rsidR="0008009C" w:rsidRDefault="0008009C">
            <w:pPr>
              <w:rPr>
                <w:rFonts w:ascii="宋体"/>
                <w:vanish/>
              </w:rPr>
            </w:pPr>
          </w:p>
        </w:tc>
        <w:tc>
          <w:tcPr>
            <w:tcW w:w="0" w:type="auto"/>
            <w:gridSpan w:val="3"/>
            <w:shd w:val="clear" w:color="auto" w:fill="auto"/>
          </w:tcPr>
          <w:p w14:paraId="5C7C5FB1" w14:textId="77777777" w:rsidR="0008009C" w:rsidRDefault="0008009C">
            <w:pPr>
              <w:rPr>
                <w:rFonts w:ascii="宋体"/>
                <w:vanish/>
              </w:rPr>
            </w:pPr>
          </w:p>
        </w:tc>
        <w:tc>
          <w:tcPr>
            <w:tcW w:w="0" w:type="auto"/>
            <w:gridSpan w:val="3"/>
            <w:shd w:val="clear" w:color="auto" w:fill="auto"/>
          </w:tcPr>
          <w:p w14:paraId="5C7C5FB2" w14:textId="77777777" w:rsidR="0008009C" w:rsidRDefault="0008009C">
            <w:pPr>
              <w:rPr>
                <w:rFonts w:ascii="宋体"/>
                <w:vanish/>
              </w:rPr>
            </w:pPr>
          </w:p>
        </w:tc>
      </w:tr>
      <w:tr w:rsidR="0008009C" w14:paraId="5C7C5FC0" w14:textId="77777777">
        <w:tc>
          <w:tcPr>
            <w:tcW w:w="0" w:type="auto"/>
            <w:gridSpan w:val="3"/>
            <w:shd w:val="clear" w:color="auto" w:fill="auto"/>
            <w:tcMar>
              <w:top w:w="0" w:type="dxa"/>
              <w:left w:w="20" w:type="dxa"/>
              <w:bottom w:w="0" w:type="dxa"/>
              <w:right w:w="20" w:type="dxa"/>
            </w:tcMar>
          </w:tcPr>
          <w:p w14:paraId="5C7C5FB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5FB5"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bottom"/>
          </w:tcPr>
          <w:p w14:paraId="5C7C5FB6" w14:textId="77777777" w:rsidR="0008009C" w:rsidRDefault="00936FDF">
            <w:pPr>
              <w:jc w:val="center"/>
              <w:textAlignment w:val="bottom"/>
            </w:pPr>
            <w:r>
              <w:rPr>
                <w:rFonts w:ascii="Arial" w:eastAsia="宋体" w:hAnsi="Arial" w:cs="Arial"/>
                <w:b/>
                <w:bCs/>
                <w:color w:val="262626"/>
                <w:sz w:val="18"/>
                <w:szCs w:val="18"/>
              </w:rPr>
              <w:t>Three Months Ended</w:t>
            </w:r>
          </w:p>
        </w:tc>
        <w:tc>
          <w:tcPr>
            <w:tcW w:w="0" w:type="auto"/>
            <w:shd w:val="clear" w:color="auto" w:fill="auto"/>
          </w:tcPr>
          <w:p w14:paraId="5C7C5FB7" w14:textId="77777777" w:rsidR="0008009C" w:rsidRDefault="0008009C">
            <w:pPr>
              <w:rPr>
                <w:rFonts w:ascii="宋体"/>
                <w:vanish/>
              </w:rPr>
            </w:pPr>
          </w:p>
        </w:tc>
        <w:tc>
          <w:tcPr>
            <w:tcW w:w="0" w:type="auto"/>
            <w:shd w:val="clear" w:color="auto" w:fill="auto"/>
          </w:tcPr>
          <w:p w14:paraId="5C7C5FB8" w14:textId="77777777" w:rsidR="0008009C" w:rsidRDefault="0008009C">
            <w:pPr>
              <w:rPr>
                <w:rFonts w:ascii="宋体"/>
                <w:vanish/>
              </w:rPr>
            </w:pPr>
          </w:p>
        </w:tc>
        <w:tc>
          <w:tcPr>
            <w:tcW w:w="0" w:type="auto"/>
            <w:shd w:val="clear" w:color="auto" w:fill="auto"/>
          </w:tcPr>
          <w:p w14:paraId="5C7C5FB9" w14:textId="77777777" w:rsidR="0008009C" w:rsidRDefault="0008009C">
            <w:pPr>
              <w:rPr>
                <w:rFonts w:ascii="宋体"/>
                <w:vanish/>
              </w:rPr>
            </w:pPr>
          </w:p>
        </w:tc>
        <w:tc>
          <w:tcPr>
            <w:tcW w:w="0" w:type="auto"/>
            <w:shd w:val="clear" w:color="auto" w:fill="auto"/>
          </w:tcPr>
          <w:p w14:paraId="5C7C5FBA" w14:textId="77777777" w:rsidR="0008009C" w:rsidRDefault="0008009C">
            <w:pPr>
              <w:rPr>
                <w:rFonts w:ascii="宋体"/>
              </w:rPr>
            </w:pPr>
          </w:p>
        </w:tc>
        <w:tc>
          <w:tcPr>
            <w:tcW w:w="0" w:type="auto"/>
            <w:shd w:val="clear" w:color="auto" w:fill="auto"/>
          </w:tcPr>
          <w:p w14:paraId="5C7C5FBB" w14:textId="77777777" w:rsidR="0008009C" w:rsidRDefault="0008009C">
            <w:pPr>
              <w:rPr>
                <w:rFonts w:ascii="宋体"/>
              </w:rPr>
            </w:pPr>
          </w:p>
        </w:tc>
        <w:tc>
          <w:tcPr>
            <w:tcW w:w="0" w:type="auto"/>
            <w:shd w:val="clear" w:color="auto" w:fill="auto"/>
          </w:tcPr>
          <w:p w14:paraId="5C7C5FBC" w14:textId="77777777" w:rsidR="0008009C" w:rsidRDefault="0008009C">
            <w:pPr>
              <w:rPr>
                <w:rFonts w:ascii="宋体"/>
              </w:rPr>
            </w:pPr>
          </w:p>
        </w:tc>
        <w:tc>
          <w:tcPr>
            <w:tcW w:w="0" w:type="auto"/>
            <w:shd w:val="clear" w:color="auto" w:fill="auto"/>
          </w:tcPr>
          <w:p w14:paraId="5C7C5FBD" w14:textId="77777777" w:rsidR="0008009C" w:rsidRDefault="0008009C">
            <w:pPr>
              <w:rPr>
                <w:rFonts w:ascii="宋体"/>
              </w:rPr>
            </w:pPr>
          </w:p>
        </w:tc>
        <w:tc>
          <w:tcPr>
            <w:tcW w:w="0" w:type="auto"/>
            <w:shd w:val="clear" w:color="auto" w:fill="auto"/>
          </w:tcPr>
          <w:p w14:paraId="5C7C5FBE" w14:textId="77777777" w:rsidR="0008009C" w:rsidRDefault="0008009C">
            <w:pPr>
              <w:rPr>
                <w:rFonts w:ascii="宋体"/>
              </w:rPr>
            </w:pPr>
          </w:p>
        </w:tc>
        <w:tc>
          <w:tcPr>
            <w:tcW w:w="0" w:type="auto"/>
            <w:shd w:val="clear" w:color="auto" w:fill="auto"/>
          </w:tcPr>
          <w:p w14:paraId="5C7C5FBF" w14:textId="77777777" w:rsidR="0008009C" w:rsidRDefault="0008009C">
            <w:pPr>
              <w:rPr>
                <w:rFonts w:ascii="宋体"/>
              </w:rPr>
            </w:pPr>
          </w:p>
        </w:tc>
      </w:tr>
      <w:tr w:rsidR="0008009C" w14:paraId="5C7C5FCB" w14:textId="77777777">
        <w:tc>
          <w:tcPr>
            <w:tcW w:w="0" w:type="auto"/>
            <w:gridSpan w:val="3"/>
            <w:shd w:val="clear" w:color="auto" w:fill="auto"/>
            <w:tcMar>
              <w:top w:w="40" w:type="dxa"/>
              <w:left w:w="20" w:type="dxa"/>
              <w:bottom w:w="40" w:type="dxa"/>
              <w:right w:w="20" w:type="dxa"/>
            </w:tcMar>
            <w:vAlign w:val="bottom"/>
          </w:tcPr>
          <w:p w14:paraId="5C7C5FC1"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5FC2"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FC3"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tcBorders>
              <w:top w:val="single" w:sz="8" w:space="0" w:color="0068B5"/>
            </w:tcBorders>
            <w:shd w:val="clear" w:color="auto" w:fill="auto"/>
            <w:tcMar>
              <w:top w:w="0" w:type="dxa"/>
              <w:left w:w="20" w:type="dxa"/>
              <w:bottom w:w="0" w:type="dxa"/>
              <w:right w:w="20" w:type="dxa"/>
            </w:tcMar>
          </w:tcPr>
          <w:p w14:paraId="5C7C5FC4"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5FC5" w14:textId="77777777" w:rsidR="0008009C" w:rsidRDefault="00936FDF">
            <w:pPr>
              <w:jc w:val="center"/>
              <w:textAlignment w:val="bottom"/>
            </w:pPr>
            <w:r>
              <w:rPr>
                <w:rFonts w:ascii="Arial" w:eastAsia="宋体" w:hAnsi="Arial" w:cs="Arial"/>
                <w:b/>
                <w:bCs/>
                <w:color w:val="262626"/>
                <w:sz w:val="18"/>
                <w:szCs w:val="18"/>
              </w:rPr>
              <w:t>Mar 28, 2020</w:t>
            </w:r>
          </w:p>
        </w:tc>
        <w:tc>
          <w:tcPr>
            <w:tcW w:w="0" w:type="auto"/>
            <w:shd w:val="clear" w:color="auto" w:fill="auto"/>
          </w:tcPr>
          <w:p w14:paraId="5C7C5FC6" w14:textId="77777777" w:rsidR="0008009C" w:rsidRDefault="0008009C">
            <w:pPr>
              <w:rPr>
                <w:rFonts w:ascii="宋体"/>
                <w:vanish/>
              </w:rPr>
            </w:pPr>
          </w:p>
        </w:tc>
        <w:tc>
          <w:tcPr>
            <w:tcW w:w="0" w:type="auto"/>
            <w:shd w:val="clear" w:color="auto" w:fill="auto"/>
          </w:tcPr>
          <w:p w14:paraId="5C7C5FC7" w14:textId="77777777" w:rsidR="0008009C" w:rsidRDefault="0008009C">
            <w:pPr>
              <w:rPr>
                <w:rFonts w:ascii="宋体"/>
                <w:vanish/>
              </w:rPr>
            </w:pPr>
          </w:p>
        </w:tc>
        <w:tc>
          <w:tcPr>
            <w:tcW w:w="0" w:type="auto"/>
            <w:shd w:val="clear" w:color="auto" w:fill="auto"/>
          </w:tcPr>
          <w:p w14:paraId="5C7C5FC8" w14:textId="77777777" w:rsidR="0008009C" w:rsidRDefault="0008009C">
            <w:pPr>
              <w:rPr>
                <w:rFonts w:ascii="宋体"/>
                <w:vanish/>
              </w:rPr>
            </w:pPr>
          </w:p>
        </w:tc>
        <w:tc>
          <w:tcPr>
            <w:tcW w:w="0" w:type="auto"/>
            <w:gridSpan w:val="3"/>
            <w:shd w:val="clear" w:color="auto" w:fill="auto"/>
          </w:tcPr>
          <w:p w14:paraId="5C7C5FC9" w14:textId="77777777" w:rsidR="0008009C" w:rsidRDefault="0008009C">
            <w:pPr>
              <w:rPr>
                <w:rFonts w:ascii="宋体"/>
                <w:vanish/>
              </w:rPr>
            </w:pPr>
          </w:p>
        </w:tc>
        <w:tc>
          <w:tcPr>
            <w:tcW w:w="0" w:type="auto"/>
            <w:gridSpan w:val="3"/>
            <w:shd w:val="clear" w:color="auto" w:fill="auto"/>
          </w:tcPr>
          <w:p w14:paraId="5C7C5FCA" w14:textId="77777777" w:rsidR="0008009C" w:rsidRDefault="0008009C">
            <w:pPr>
              <w:rPr>
                <w:rFonts w:ascii="宋体"/>
                <w:vanish/>
              </w:rPr>
            </w:pPr>
          </w:p>
        </w:tc>
      </w:tr>
      <w:tr w:rsidR="0008009C" w14:paraId="5C7C5FDA"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5FCC" w14:textId="77777777" w:rsidR="0008009C" w:rsidRDefault="00936FDF">
            <w:pPr>
              <w:textAlignment w:val="top"/>
            </w:pPr>
            <w:r>
              <w:rPr>
                <w:rFonts w:ascii="Arial" w:eastAsia="宋体" w:hAnsi="Arial" w:cs="Arial"/>
                <w:color w:val="262626"/>
                <w:sz w:val="18"/>
                <w:szCs w:val="18"/>
              </w:rPr>
              <w:t>Employee severance and benefit arrangements</w:t>
            </w:r>
          </w:p>
        </w:tc>
        <w:tc>
          <w:tcPr>
            <w:tcW w:w="0" w:type="auto"/>
            <w:gridSpan w:val="3"/>
            <w:shd w:val="clear" w:color="auto" w:fill="auto"/>
            <w:tcMar>
              <w:top w:w="0" w:type="dxa"/>
              <w:left w:w="20" w:type="dxa"/>
              <w:bottom w:w="0" w:type="dxa"/>
              <w:right w:w="20" w:type="dxa"/>
            </w:tcMar>
          </w:tcPr>
          <w:p w14:paraId="5C7C5FCD"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5FCE"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5FCF" w14:textId="77777777" w:rsidR="0008009C" w:rsidRDefault="00936FDF">
            <w:pPr>
              <w:jc w:val="right"/>
              <w:textAlignment w:val="bottom"/>
            </w:pPr>
            <w:r>
              <w:rPr>
                <w:rFonts w:ascii="Arial" w:eastAsia="宋体" w:hAnsi="Arial" w:cs="Arial"/>
                <w:color w:val="0068B5"/>
                <w:sz w:val="18"/>
                <w:szCs w:val="18"/>
              </w:rPr>
              <w:t>6 </w:t>
            </w:r>
          </w:p>
        </w:tc>
        <w:tc>
          <w:tcPr>
            <w:tcW w:w="0" w:type="auto"/>
            <w:tcBorders>
              <w:top w:val="single" w:sz="8" w:space="0" w:color="0068B5"/>
            </w:tcBorders>
            <w:shd w:val="clear" w:color="auto" w:fill="auto"/>
            <w:tcMar>
              <w:top w:w="40" w:type="dxa"/>
              <w:left w:w="0" w:type="dxa"/>
              <w:bottom w:w="40" w:type="dxa"/>
              <w:right w:w="20" w:type="dxa"/>
            </w:tcMar>
            <w:vAlign w:val="bottom"/>
          </w:tcPr>
          <w:p w14:paraId="5C7C5FD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FD1"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5FD2" w14:textId="77777777" w:rsidR="0008009C" w:rsidRDefault="00936FDF">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5FD3" w14:textId="77777777" w:rsidR="0008009C" w:rsidRDefault="00936FDF">
            <w:pPr>
              <w:jc w:val="right"/>
              <w:textAlignment w:val="bottom"/>
            </w:pPr>
            <w:r>
              <w:rPr>
                <w:rFonts w:ascii="Arial" w:eastAsia="宋体" w:hAnsi="Arial" w:cs="Arial"/>
                <w:color w:val="262626"/>
                <w:sz w:val="18"/>
                <w:szCs w:val="18"/>
              </w:rPr>
              <w:t>105 </w:t>
            </w:r>
          </w:p>
        </w:tc>
        <w:tc>
          <w:tcPr>
            <w:tcW w:w="0" w:type="auto"/>
            <w:tcBorders>
              <w:top w:val="single" w:sz="8" w:space="0" w:color="0068B5"/>
            </w:tcBorders>
            <w:shd w:val="clear" w:color="auto" w:fill="auto"/>
            <w:tcMar>
              <w:top w:w="40" w:type="dxa"/>
              <w:left w:w="0" w:type="dxa"/>
              <w:bottom w:w="40" w:type="dxa"/>
              <w:right w:w="20" w:type="dxa"/>
            </w:tcMar>
            <w:vAlign w:val="bottom"/>
          </w:tcPr>
          <w:p w14:paraId="5C7C5FD4" w14:textId="77777777" w:rsidR="0008009C" w:rsidRDefault="0008009C">
            <w:pPr>
              <w:jc w:val="right"/>
              <w:rPr>
                <w:rFonts w:ascii="宋体"/>
              </w:rPr>
            </w:pPr>
          </w:p>
        </w:tc>
        <w:tc>
          <w:tcPr>
            <w:tcW w:w="0" w:type="auto"/>
            <w:shd w:val="clear" w:color="auto" w:fill="auto"/>
          </w:tcPr>
          <w:p w14:paraId="5C7C5FD5" w14:textId="77777777" w:rsidR="0008009C" w:rsidRDefault="0008009C">
            <w:pPr>
              <w:rPr>
                <w:rFonts w:ascii="宋体"/>
                <w:vanish/>
              </w:rPr>
            </w:pPr>
          </w:p>
        </w:tc>
        <w:tc>
          <w:tcPr>
            <w:tcW w:w="0" w:type="auto"/>
            <w:shd w:val="clear" w:color="auto" w:fill="auto"/>
          </w:tcPr>
          <w:p w14:paraId="5C7C5FD6" w14:textId="77777777" w:rsidR="0008009C" w:rsidRDefault="0008009C">
            <w:pPr>
              <w:rPr>
                <w:rFonts w:ascii="宋体"/>
                <w:vanish/>
              </w:rPr>
            </w:pPr>
          </w:p>
        </w:tc>
        <w:tc>
          <w:tcPr>
            <w:tcW w:w="0" w:type="auto"/>
            <w:shd w:val="clear" w:color="auto" w:fill="auto"/>
          </w:tcPr>
          <w:p w14:paraId="5C7C5FD7" w14:textId="77777777" w:rsidR="0008009C" w:rsidRDefault="0008009C">
            <w:pPr>
              <w:rPr>
                <w:rFonts w:ascii="宋体"/>
                <w:vanish/>
              </w:rPr>
            </w:pPr>
          </w:p>
        </w:tc>
        <w:tc>
          <w:tcPr>
            <w:tcW w:w="0" w:type="auto"/>
            <w:gridSpan w:val="3"/>
            <w:shd w:val="clear" w:color="auto" w:fill="auto"/>
          </w:tcPr>
          <w:p w14:paraId="5C7C5FD8" w14:textId="77777777" w:rsidR="0008009C" w:rsidRDefault="0008009C">
            <w:pPr>
              <w:rPr>
                <w:rFonts w:ascii="宋体"/>
                <w:vanish/>
              </w:rPr>
            </w:pPr>
          </w:p>
        </w:tc>
        <w:tc>
          <w:tcPr>
            <w:tcW w:w="0" w:type="auto"/>
            <w:gridSpan w:val="3"/>
            <w:shd w:val="clear" w:color="auto" w:fill="auto"/>
          </w:tcPr>
          <w:p w14:paraId="5C7C5FD9" w14:textId="77777777" w:rsidR="0008009C" w:rsidRDefault="0008009C">
            <w:pPr>
              <w:rPr>
                <w:rFonts w:ascii="宋体"/>
                <w:vanish/>
              </w:rPr>
            </w:pPr>
          </w:p>
        </w:tc>
      </w:tr>
      <w:tr w:rsidR="0008009C" w14:paraId="5C7C5FE5" w14:textId="77777777">
        <w:trPr>
          <w:hidden/>
        </w:trPr>
        <w:tc>
          <w:tcPr>
            <w:tcW w:w="0" w:type="auto"/>
            <w:gridSpan w:val="3"/>
            <w:shd w:val="clear" w:color="auto" w:fill="auto"/>
          </w:tcPr>
          <w:p w14:paraId="5C7C5FDB" w14:textId="77777777" w:rsidR="0008009C" w:rsidRDefault="0008009C">
            <w:pPr>
              <w:rPr>
                <w:rFonts w:ascii="宋体"/>
                <w:vanish/>
              </w:rPr>
            </w:pPr>
          </w:p>
        </w:tc>
        <w:tc>
          <w:tcPr>
            <w:tcW w:w="0" w:type="auto"/>
            <w:gridSpan w:val="3"/>
            <w:shd w:val="clear" w:color="auto" w:fill="auto"/>
          </w:tcPr>
          <w:p w14:paraId="5C7C5FDC" w14:textId="77777777" w:rsidR="0008009C" w:rsidRDefault="0008009C">
            <w:pPr>
              <w:rPr>
                <w:rFonts w:ascii="宋体"/>
                <w:vanish/>
              </w:rPr>
            </w:pPr>
          </w:p>
        </w:tc>
        <w:tc>
          <w:tcPr>
            <w:tcW w:w="0" w:type="auto"/>
            <w:gridSpan w:val="3"/>
            <w:shd w:val="clear" w:color="auto" w:fill="auto"/>
          </w:tcPr>
          <w:p w14:paraId="5C7C5FDD" w14:textId="77777777" w:rsidR="0008009C" w:rsidRDefault="0008009C">
            <w:pPr>
              <w:rPr>
                <w:rFonts w:ascii="宋体"/>
                <w:vanish/>
              </w:rPr>
            </w:pPr>
          </w:p>
        </w:tc>
        <w:tc>
          <w:tcPr>
            <w:tcW w:w="0" w:type="auto"/>
            <w:gridSpan w:val="3"/>
            <w:shd w:val="clear" w:color="auto" w:fill="auto"/>
          </w:tcPr>
          <w:p w14:paraId="5C7C5FDE" w14:textId="77777777" w:rsidR="0008009C" w:rsidRDefault="0008009C">
            <w:pPr>
              <w:rPr>
                <w:rFonts w:ascii="宋体"/>
                <w:vanish/>
              </w:rPr>
            </w:pPr>
          </w:p>
        </w:tc>
        <w:tc>
          <w:tcPr>
            <w:tcW w:w="0" w:type="auto"/>
            <w:gridSpan w:val="3"/>
            <w:shd w:val="clear" w:color="auto" w:fill="auto"/>
          </w:tcPr>
          <w:p w14:paraId="5C7C5FDF" w14:textId="77777777" w:rsidR="0008009C" w:rsidRDefault="0008009C">
            <w:pPr>
              <w:rPr>
                <w:rFonts w:ascii="宋体"/>
                <w:vanish/>
              </w:rPr>
            </w:pPr>
          </w:p>
        </w:tc>
        <w:tc>
          <w:tcPr>
            <w:tcW w:w="0" w:type="auto"/>
            <w:shd w:val="clear" w:color="auto" w:fill="auto"/>
          </w:tcPr>
          <w:p w14:paraId="5C7C5FE0" w14:textId="77777777" w:rsidR="0008009C" w:rsidRDefault="0008009C">
            <w:pPr>
              <w:rPr>
                <w:rFonts w:ascii="宋体"/>
                <w:vanish/>
              </w:rPr>
            </w:pPr>
          </w:p>
        </w:tc>
        <w:tc>
          <w:tcPr>
            <w:tcW w:w="0" w:type="auto"/>
            <w:shd w:val="clear" w:color="auto" w:fill="auto"/>
          </w:tcPr>
          <w:p w14:paraId="5C7C5FE1" w14:textId="77777777" w:rsidR="0008009C" w:rsidRDefault="0008009C">
            <w:pPr>
              <w:rPr>
                <w:rFonts w:ascii="宋体"/>
                <w:vanish/>
              </w:rPr>
            </w:pPr>
          </w:p>
        </w:tc>
        <w:tc>
          <w:tcPr>
            <w:tcW w:w="0" w:type="auto"/>
            <w:shd w:val="clear" w:color="auto" w:fill="auto"/>
          </w:tcPr>
          <w:p w14:paraId="5C7C5FE2" w14:textId="77777777" w:rsidR="0008009C" w:rsidRDefault="0008009C">
            <w:pPr>
              <w:rPr>
                <w:rFonts w:ascii="宋体"/>
                <w:vanish/>
              </w:rPr>
            </w:pPr>
          </w:p>
        </w:tc>
        <w:tc>
          <w:tcPr>
            <w:tcW w:w="0" w:type="auto"/>
            <w:gridSpan w:val="3"/>
            <w:shd w:val="clear" w:color="auto" w:fill="auto"/>
          </w:tcPr>
          <w:p w14:paraId="5C7C5FE3" w14:textId="77777777" w:rsidR="0008009C" w:rsidRDefault="0008009C">
            <w:pPr>
              <w:rPr>
                <w:rFonts w:ascii="宋体"/>
                <w:vanish/>
              </w:rPr>
            </w:pPr>
          </w:p>
        </w:tc>
        <w:tc>
          <w:tcPr>
            <w:tcW w:w="0" w:type="auto"/>
            <w:gridSpan w:val="3"/>
            <w:shd w:val="clear" w:color="auto" w:fill="auto"/>
          </w:tcPr>
          <w:p w14:paraId="5C7C5FE4" w14:textId="77777777" w:rsidR="0008009C" w:rsidRDefault="0008009C">
            <w:pPr>
              <w:rPr>
                <w:rFonts w:ascii="宋体"/>
                <w:vanish/>
              </w:rPr>
            </w:pPr>
          </w:p>
        </w:tc>
      </w:tr>
      <w:tr w:rsidR="0008009C" w14:paraId="5C7C5FF2" w14:textId="77777777">
        <w:tc>
          <w:tcPr>
            <w:tcW w:w="0" w:type="auto"/>
            <w:gridSpan w:val="3"/>
            <w:shd w:val="clear" w:color="auto" w:fill="auto"/>
            <w:tcMar>
              <w:top w:w="40" w:type="dxa"/>
              <w:left w:w="20" w:type="dxa"/>
              <w:bottom w:w="40" w:type="dxa"/>
              <w:right w:w="20" w:type="dxa"/>
            </w:tcMar>
          </w:tcPr>
          <w:p w14:paraId="5C7C5FE6" w14:textId="77777777" w:rsidR="0008009C" w:rsidRDefault="00936FDF">
            <w:pPr>
              <w:textAlignment w:val="top"/>
            </w:pPr>
            <w:r>
              <w:rPr>
                <w:rFonts w:ascii="Arial" w:eastAsia="宋体" w:hAnsi="Arial" w:cs="Arial"/>
                <w:color w:val="262626"/>
                <w:sz w:val="18"/>
                <w:szCs w:val="18"/>
              </w:rPr>
              <w:t>Litigation charges and other</w:t>
            </w:r>
          </w:p>
        </w:tc>
        <w:tc>
          <w:tcPr>
            <w:tcW w:w="0" w:type="auto"/>
            <w:gridSpan w:val="3"/>
            <w:shd w:val="clear" w:color="auto" w:fill="auto"/>
            <w:tcMar>
              <w:top w:w="0" w:type="dxa"/>
              <w:left w:w="20" w:type="dxa"/>
              <w:bottom w:w="0" w:type="dxa"/>
              <w:right w:w="20" w:type="dxa"/>
            </w:tcMar>
          </w:tcPr>
          <w:p w14:paraId="5C7C5FE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FE8" w14:textId="77777777" w:rsidR="0008009C" w:rsidRDefault="00936FDF">
            <w:pPr>
              <w:jc w:val="right"/>
              <w:textAlignment w:val="bottom"/>
            </w:pPr>
            <w:r>
              <w:rPr>
                <w:rFonts w:ascii="Arial" w:eastAsia="宋体" w:hAnsi="Arial" w:cs="Arial"/>
                <w:color w:val="0068B5"/>
                <w:sz w:val="18"/>
                <w:szCs w:val="18"/>
              </w:rPr>
              <w:t>2,203 </w:t>
            </w:r>
          </w:p>
        </w:tc>
        <w:tc>
          <w:tcPr>
            <w:tcW w:w="0" w:type="auto"/>
            <w:shd w:val="clear" w:color="auto" w:fill="auto"/>
            <w:tcMar>
              <w:top w:w="40" w:type="dxa"/>
              <w:left w:w="0" w:type="dxa"/>
              <w:bottom w:w="40" w:type="dxa"/>
              <w:right w:w="20" w:type="dxa"/>
            </w:tcMar>
            <w:vAlign w:val="bottom"/>
          </w:tcPr>
          <w:p w14:paraId="5C7C5FE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FE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5FEB" w14:textId="77777777" w:rsidR="0008009C" w:rsidRDefault="00936FDF">
            <w:pPr>
              <w:jc w:val="right"/>
              <w:textAlignment w:val="bottom"/>
            </w:pPr>
            <w:r>
              <w:rPr>
                <w:rFonts w:ascii="Arial" w:eastAsia="宋体" w:hAnsi="Arial" w:cs="Arial"/>
                <w:color w:val="262626"/>
                <w:sz w:val="18"/>
                <w:szCs w:val="18"/>
              </w:rPr>
              <w:t>57 </w:t>
            </w:r>
          </w:p>
        </w:tc>
        <w:tc>
          <w:tcPr>
            <w:tcW w:w="0" w:type="auto"/>
            <w:shd w:val="clear" w:color="auto" w:fill="auto"/>
            <w:tcMar>
              <w:top w:w="40" w:type="dxa"/>
              <w:left w:w="0" w:type="dxa"/>
              <w:bottom w:w="40" w:type="dxa"/>
              <w:right w:w="20" w:type="dxa"/>
            </w:tcMar>
            <w:vAlign w:val="bottom"/>
          </w:tcPr>
          <w:p w14:paraId="5C7C5FEC" w14:textId="77777777" w:rsidR="0008009C" w:rsidRDefault="0008009C">
            <w:pPr>
              <w:jc w:val="right"/>
              <w:rPr>
                <w:rFonts w:ascii="宋体"/>
              </w:rPr>
            </w:pPr>
          </w:p>
        </w:tc>
        <w:tc>
          <w:tcPr>
            <w:tcW w:w="0" w:type="auto"/>
            <w:shd w:val="clear" w:color="auto" w:fill="auto"/>
          </w:tcPr>
          <w:p w14:paraId="5C7C5FED" w14:textId="77777777" w:rsidR="0008009C" w:rsidRDefault="0008009C">
            <w:pPr>
              <w:rPr>
                <w:rFonts w:ascii="宋体"/>
                <w:vanish/>
              </w:rPr>
            </w:pPr>
          </w:p>
        </w:tc>
        <w:tc>
          <w:tcPr>
            <w:tcW w:w="0" w:type="auto"/>
            <w:shd w:val="clear" w:color="auto" w:fill="auto"/>
          </w:tcPr>
          <w:p w14:paraId="5C7C5FEE" w14:textId="77777777" w:rsidR="0008009C" w:rsidRDefault="0008009C">
            <w:pPr>
              <w:rPr>
                <w:rFonts w:ascii="宋体"/>
                <w:vanish/>
              </w:rPr>
            </w:pPr>
          </w:p>
        </w:tc>
        <w:tc>
          <w:tcPr>
            <w:tcW w:w="0" w:type="auto"/>
            <w:shd w:val="clear" w:color="auto" w:fill="auto"/>
          </w:tcPr>
          <w:p w14:paraId="5C7C5FEF" w14:textId="77777777" w:rsidR="0008009C" w:rsidRDefault="0008009C">
            <w:pPr>
              <w:rPr>
                <w:rFonts w:ascii="宋体"/>
                <w:vanish/>
              </w:rPr>
            </w:pPr>
          </w:p>
        </w:tc>
        <w:tc>
          <w:tcPr>
            <w:tcW w:w="0" w:type="auto"/>
            <w:gridSpan w:val="3"/>
            <w:shd w:val="clear" w:color="auto" w:fill="auto"/>
          </w:tcPr>
          <w:p w14:paraId="5C7C5FF0" w14:textId="77777777" w:rsidR="0008009C" w:rsidRDefault="0008009C">
            <w:pPr>
              <w:rPr>
                <w:rFonts w:ascii="宋体"/>
                <w:vanish/>
              </w:rPr>
            </w:pPr>
          </w:p>
        </w:tc>
        <w:tc>
          <w:tcPr>
            <w:tcW w:w="0" w:type="auto"/>
            <w:gridSpan w:val="3"/>
            <w:shd w:val="clear" w:color="auto" w:fill="auto"/>
          </w:tcPr>
          <w:p w14:paraId="5C7C5FF1" w14:textId="77777777" w:rsidR="0008009C" w:rsidRDefault="0008009C">
            <w:pPr>
              <w:rPr>
                <w:rFonts w:ascii="宋体"/>
                <w:vanish/>
              </w:rPr>
            </w:pPr>
          </w:p>
        </w:tc>
      </w:tr>
      <w:tr w:rsidR="0008009C" w14:paraId="5C7C6001" w14:textId="77777777">
        <w:tc>
          <w:tcPr>
            <w:tcW w:w="0" w:type="auto"/>
            <w:gridSpan w:val="3"/>
            <w:shd w:val="clear" w:color="auto" w:fill="auto"/>
            <w:tcMar>
              <w:top w:w="40" w:type="dxa"/>
              <w:left w:w="20" w:type="dxa"/>
              <w:bottom w:w="40" w:type="dxa"/>
              <w:right w:w="20" w:type="dxa"/>
            </w:tcMar>
          </w:tcPr>
          <w:p w14:paraId="5C7C5FF3" w14:textId="77777777" w:rsidR="0008009C" w:rsidRDefault="00936FDF">
            <w:pPr>
              <w:textAlignment w:val="top"/>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tcPr>
          <w:p w14:paraId="5C7C5FF4"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FF5"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FF6" w14:textId="77777777" w:rsidR="0008009C" w:rsidRDefault="00936FDF">
            <w:pPr>
              <w:jc w:val="right"/>
              <w:textAlignment w:val="bottom"/>
            </w:pPr>
            <w:r>
              <w:rPr>
                <w:rFonts w:ascii="Arial" w:eastAsia="宋体" w:hAnsi="Arial" w:cs="Arial"/>
                <w:b/>
                <w:bCs/>
                <w:color w:val="0068B5"/>
                <w:sz w:val="18"/>
                <w:szCs w:val="18"/>
              </w:rPr>
              <w:t>2,209</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FF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5FF8"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5FF9"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5FFA" w14:textId="77777777" w:rsidR="0008009C" w:rsidRDefault="00936FDF">
            <w:pPr>
              <w:jc w:val="right"/>
              <w:textAlignment w:val="bottom"/>
            </w:pPr>
            <w:r>
              <w:rPr>
                <w:rFonts w:ascii="Arial" w:eastAsia="宋体" w:hAnsi="Arial" w:cs="Arial"/>
                <w:b/>
                <w:bCs/>
                <w:color w:val="262626"/>
                <w:sz w:val="18"/>
                <w:szCs w:val="18"/>
              </w:rPr>
              <w:t>162</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5FFB" w14:textId="77777777" w:rsidR="0008009C" w:rsidRDefault="0008009C">
            <w:pPr>
              <w:jc w:val="right"/>
              <w:rPr>
                <w:rFonts w:ascii="宋体"/>
              </w:rPr>
            </w:pPr>
          </w:p>
        </w:tc>
        <w:tc>
          <w:tcPr>
            <w:tcW w:w="0" w:type="auto"/>
            <w:shd w:val="clear" w:color="auto" w:fill="auto"/>
          </w:tcPr>
          <w:p w14:paraId="5C7C5FFC" w14:textId="77777777" w:rsidR="0008009C" w:rsidRDefault="0008009C">
            <w:pPr>
              <w:rPr>
                <w:rFonts w:ascii="宋体"/>
                <w:vanish/>
              </w:rPr>
            </w:pPr>
          </w:p>
        </w:tc>
        <w:tc>
          <w:tcPr>
            <w:tcW w:w="0" w:type="auto"/>
            <w:shd w:val="clear" w:color="auto" w:fill="auto"/>
          </w:tcPr>
          <w:p w14:paraId="5C7C5FFD" w14:textId="77777777" w:rsidR="0008009C" w:rsidRDefault="0008009C">
            <w:pPr>
              <w:rPr>
                <w:rFonts w:ascii="宋体"/>
                <w:vanish/>
              </w:rPr>
            </w:pPr>
          </w:p>
        </w:tc>
        <w:tc>
          <w:tcPr>
            <w:tcW w:w="0" w:type="auto"/>
            <w:shd w:val="clear" w:color="auto" w:fill="auto"/>
          </w:tcPr>
          <w:p w14:paraId="5C7C5FFE" w14:textId="77777777" w:rsidR="0008009C" w:rsidRDefault="0008009C">
            <w:pPr>
              <w:rPr>
                <w:rFonts w:ascii="宋体"/>
                <w:vanish/>
              </w:rPr>
            </w:pPr>
          </w:p>
        </w:tc>
        <w:tc>
          <w:tcPr>
            <w:tcW w:w="0" w:type="auto"/>
            <w:gridSpan w:val="3"/>
            <w:shd w:val="clear" w:color="auto" w:fill="auto"/>
          </w:tcPr>
          <w:p w14:paraId="5C7C5FFF" w14:textId="77777777" w:rsidR="0008009C" w:rsidRDefault="0008009C">
            <w:pPr>
              <w:rPr>
                <w:rFonts w:ascii="宋体"/>
                <w:vanish/>
              </w:rPr>
            </w:pPr>
          </w:p>
        </w:tc>
        <w:tc>
          <w:tcPr>
            <w:tcW w:w="0" w:type="auto"/>
            <w:gridSpan w:val="3"/>
            <w:shd w:val="clear" w:color="auto" w:fill="auto"/>
          </w:tcPr>
          <w:p w14:paraId="5C7C6000" w14:textId="77777777" w:rsidR="0008009C" w:rsidRDefault="0008009C">
            <w:pPr>
              <w:rPr>
                <w:rFonts w:ascii="宋体"/>
                <w:vanish/>
              </w:rPr>
            </w:pPr>
          </w:p>
        </w:tc>
      </w:tr>
    </w:tbl>
    <w:p w14:paraId="5C7C6002" w14:textId="77777777" w:rsidR="0008009C" w:rsidRDefault="00936FDF">
      <w:pPr>
        <w:spacing w:before="180" w:after="180"/>
      </w:pPr>
      <w:r>
        <w:rPr>
          <w:rFonts w:ascii="Arial" w:eastAsia="宋体" w:hAnsi="Arial" w:cs="Arial"/>
          <w:color w:val="262626"/>
          <w:sz w:val="18"/>
          <w:szCs w:val="18"/>
        </w:rPr>
        <w:t>Litigation charges and other includes a charge of $2.2 billion in the first three months of 2021 related to the VLSI litigation, which is recorded as a Corporate charge in the "all other" category presented in "Note 2: Operating Segments" within</w:t>
      </w:r>
      <w:r>
        <w:rPr>
          <w:rFonts w:ascii="Arial" w:eastAsia="宋体" w:hAnsi="Arial" w:cs="Arial"/>
          <w:color w:val="262626"/>
          <w:sz w:val="18"/>
          <w:szCs w:val="18"/>
        </w:rPr>
        <w:t xml:space="preserve"> Notes to Consolidated Condensed Financial Statements. Refer to "Note 13: Contingencies" within Notes to Consolidated Condensed Financial Statements for further information on legal proceedings related to the VLSI litigation.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8009C" w14:paraId="5C7C6009" w14:textId="77777777">
        <w:tc>
          <w:tcPr>
            <w:tcW w:w="50" w:type="pct"/>
            <w:shd w:val="clear" w:color="auto" w:fill="auto"/>
          </w:tcPr>
          <w:p w14:paraId="5C7C6003" w14:textId="77777777" w:rsidR="0008009C" w:rsidRDefault="0008009C">
            <w:pPr>
              <w:rPr>
                <w:rFonts w:ascii="宋体"/>
              </w:rPr>
            </w:pPr>
          </w:p>
        </w:tc>
        <w:tc>
          <w:tcPr>
            <w:tcW w:w="511" w:type="pct"/>
            <w:shd w:val="clear" w:color="auto" w:fill="auto"/>
          </w:tcPr>
          <w:p w14:paraId="5C7C6004" w14:textId="77777777" w:rsidR="0008009C" w:rsidRDefault="0008009C">
            <w:pPr>
              <w:rPr>
                <w:rFonts w:ascii="宋体"/>
              </w:rPr>
            </w:pPr>
          </w:p>
        </w:tc>
        <w:tc>
          <w:tcPr>
            <w:tcW w:w="5" w:type="pct"/>
            <w:shd w:val="clear" w:color="auto" w:fill="auto"/>
          </w:tcPr>
          <w:p w14:paraId="5C7C6005" w14:textId="77777777" w:rsidR="0008009C" w:rsidRDefault="0008009C">
            <w:pPr>
              <w:rPr>
                <w:rFonts w:ascii="宋体"/>
              </w:rPr>
            </w:pPr>
          </w:p>
        </w:tc>
        <w:tc>
          <w:tcPr>
            <w:tcW w:w="50" w:type="pct"/>
            <w:shd w:val="clear" w:color="auto" w:fill="auto"/>
          </w:tcPr>
          <w:p w14:paraId="5C7C6006" w14:textId="77777777" w:rsidR="0008009C" w:rsidRDefault="0008009C">
            <w:pPr>
              <w:rPr>
                <w:rFonts w:ascii="宋体"/>
              </w:rPr>
            </w:pPr>
          </w:p>
        </w:tc>
        <w:tc>
          <w:tcPr>
            <w:tcW w:w="4378" w:type="pct"/>
            <w:shd w:val="clear" w:color="auto" w:fill="auto"/>
          </w:tcPr>
          <w:p w14:paraId="5C7C6007" w14:textId="77777777" w:rsidR="0008009C" w:rsidRDefault="0008009C">
            <w:pPr>
              <w:rPr>
                <w:rFonts w:ascii="宋体"/>
              </w:rPr>
            </w:pPr>
          </w:p>
        </w:tc>
        <w:tc>
          <w:tcPr>
            <w:tcW w:w="5" w:type="pct"/>
            <w:shd w:val="clear" w:color="auto" w:fill="auto"/>
          </w:tcPr>
          <w:p w14:paraId="5C7C6008" w14:textId="77777777" w:rsidR="0008009C" w:rsidRDefault="0008009C">
            <w:pPr>
              <w:rPr>
                <w:rFonts w:ascii="宋体"/>
              </w:rPr>
            </w:pPr>
          </w:p>
        </w:tc>
      </w:tr>
      <w:tr w:rsidR="0008009C" w14:paraId="5C7C600C"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C7C600A" w14:textId="77777777" w:rsidR="0008009C" w:rsidRDefault="00936FDF">
            <w:pPr>
              <w:textAlignment w:val="bottom"/>
            </w:pPr>
            <w:r>
              <w:rPr>
                <w:rFonts w:ascii="Arial" w:eastAsia="宋体" w:hAnsi="Arial" w:cs="Arial"/>
                <w:color w:val="FFFFFF"/>
                <w:sz w:val="28"/>
                <w:szCs w:val="28"/>
              </w:rPr>
              <w:t xml:space="preserve">Note 7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C7C600B" w14:textId="77777777" w:rsidR="0008009C" w:rsidRDefault="00936FDF">
            <w:pPr>
              <w:textAlignment w:val="bottom"/>
            </w:pPr>
            <w:r>
              <w:rPr>
                <w:rFonts w:ascii="Arial" w:eastAsia="宋体" w:hAnsi="Arial" w:cs="Arial"/>
                <w:color w:val="0068B5"/>
                <w:sz w:val="28"/>
                <w:szCs w:val="28"/>
              </w:rPr>
              <w:t>Investments</w:t>
            </w:r>
          </w:p>
        </w:tc>
      </w:tr>
    </w:tbl>
    <w:p w14:paraId="5C7C600D" w14:textId="77777777" w:rsidR="0008009C" w:rsidRDefault="00936FDF">
      <w:pPr>
        <w:spacing w:before="180" w:after="180"/>
      </w:pPr>
      <w:r>
        <w:rPr>
          <w:rFonts w:ascii="Arial" w:eastAsia="宋体" w:hAnsi="Arial" w:cs="Arial"/>
          <w:color w:val="0068B5"/>
        </w:rPr>
        <w:t>Debt Investments</w:t>
      </w:r>
    </w:p>
    <w:p w14:paraId="5C7C600E" w14:textId="77777777" w:rsidR="0008009C" w:rsidRDefault="00936FDF">
      <w:pPr>
        <w:spacing w:after="120"/>
      </w:pPr>
      <w:r>
        <w:rPr>
          <w:rFonts w:ascii="Arial" w:eastAsia="宋体" w:hAnsi="Arial" w:cs="Arial"/>
          <w:color w:val="0068B5"/>
          <w:sz w:val="20"/>
          <w:szCs w:val="20"/>
        </w:rPr>
        <w:t>Trading Assets</w:t>
      </w:r>
    </w:p>
    <w:p w14:paraId="5C7C600F" w14:textId="77777777" w:rsidR="0008009C" w:rsidRDefault="00936FDF">
      <w:pPr>
        <w:spacing w:after="180"/>
      </w:pPr>
      <w:r>
        <w:rPr>
          <w:rFonts w:ascii="Arial" w:eastAsia="宋体" w:hAnsi="Arial" w:cs="Arial"/>
          <w:color w:val="262626"/>
          <w:sz w:val="18"/>
          <w:szCs w:val="18"/>
        </w:rPr>
        <w:t xml:space="preserve">Net losses recorded for trading assets still held at the reporting date were $372 million in the first three months of 2021 ($231 million of net losses in the first three months of 2020). Net gains on the related derivatives were $366 million in the first </w:t>
      </w:r>
      <w:r>
        <w:rPr>
          <w:rFonts w:ascii="Arial" w:eastAsia="宋体" w:hAnsi="Arial" w:cs="Arial"/>
          <w:color w:val="262626"/>
          <w:sz w:val="18"/>
          <w:szCs w:val="18"/>
        </w:rPr>
        <w:t xml:space="preserve">three months of 2021 ($100 million of net gains in the first three months of 2020). </w:t>
      </w:r>
    </w:p>
    <w:p w14:paraId="5C7C6010" w14:textId="77777777" w:rsidR="0008009C" w:rsidRDefault="00936FDF">
      <w:pPr>
        <w:spacing w:after="120"/>
      </w:pPr>
      <w:r>
        <w:rPr>
          <w:rFonts w:ascii="Arial" w:eastAsia="宋体" w:hAnsi="Arial" w:cs="Arial"/>
          <w:color w:val="0068B5"/>
          <w:sz w:val="20"/>
          <w:szCs w:val="20"/>
        </w:rPr>
        <w:t>Available-for-Sale Debt Investments</w:t>
      </w:r>
    </w:p>
    <w:p w14:paraId="5C7C6011" w14:textId="77777777" w:rsidR="0008009C" w:rsidRDefault="00936FDF">
      <w:pPr>
        <w:spacing w:after="180"/>
      </w:pPr>
      <w:r>
        <w:rPr>
          <w:rFonts w:ascii="Arial" w:eastAsia="宋体" w:hAnsi="Arial" w:cs="Arial"/>
          <w:color w:val="262626"/>
          <w:sz w:val="18"/>
          <w:szCs w:val="18"/>
        </w:rPr>
        <w:t>Available-for-sale investments include corporate debt, government debt, and financial institution instruments. Government debt includes</w:t>
      </w:r>
      <w:r>
        <w:rPr>
          <w:rFonts w:ascii="Arial" w:eastAsia="宋体" w:hAnsi="Arial" w:cs="Arial"/>
          <w:color w:val="262626"/>
          <w:sz w:val="18"/>
          <w:szCs w:val="18"/>
        </w:rPr>
        <w:t xml:space="preserve"> instruments such as non-U.S. government bonds and U.S. agency securities. Financial institution instruments include instruments issued or managed by financial institutions in various forms, such as commercial paper, fixed- and floating-rate bonds, money m</w:t>
      </w:r>
      <w:r>
        <w:rPr>
          <w:rFonts w:ascii="Arial" w:eastAsia="宋体" w:hAnsi="Arial" w:cs="Arial"/>
          <w:color w:val="262626"/>
          <w:sz w:val="18"/>
          <w:szCs w:val="18"/>
        </w:rPr>
        <w:t xml:space="preserve">arket fund deposits, and time deposits. As of March 27, 2021 and December 26, 2020, substantially all time deposits were issued by institutions outside the U.S. </w:t>
      </w:r>
      <w:r>
        <w:rPr>
          <w:rFonts w:ascii="sans-serif" w:eastAsia="宋体" w:hAnsi="sans-serif" w:cs="sans-serif"/>
          <w:color w:val="262626"/>
          <w:sz w:val="22"/>
          <w:szCs w:val="22"/>
        </w:rPr>
        <w:t>T</w:t>
      </w:r>
      <w:r>
        <w:rPr>
          <w:rFonts w:ascii="Arial" w:eastAsia="宋体" w:hAnsi="Arial" w:cs="Arial"/>
          <w:color w:val="262626"/>
          <w:sz w:val="18"/>
          <w:szCs w:val="18"/>
        </w:rPr>
        <w:t xml:space="preserve">he adjusted cost of our available-for-sale investments was $7.0 billion as of </w:t>
      </w:r>
      <w:r>
        <w:rPr>
          <w:rFonts w:ascii="Arial" w:eastAsia="宋体" w:hAnsi="Arial" w:cs="Arial"/>
          <w:color w:val="262626"/>
          <w:sz w:val="18"/>
          <w:szCs w:val="18"/>
        </w:rPr>
        <w:t>March 27, 2021 and $7.8 billion as of December 26, 2020. The adjusted cost of our available-for-sale investments approximated the fair value for these periods.</w:t>
      </w:r>
    </w:p>
    <w:p w14:paraId="5C7C6012" w14:textId="77777777" w:rsidR="0008009C" w:rsidRDefault="00936FDF">
      <w:pPr>
        <w:spacing w:after="120"/>
      </w:pPr>
      <w:r>
        <w:rPr>
          <w:rFonts w:ascii="Arial" w:eastAsia="宋体" w:hAnsi="Arial" w:cs="Arial"/>
          <w:color w:val="262626"/>
          <w:sz w:val="18"/>
          <w:szCs w:val="18"/>
        </w:rPr>
        <w:t xml:space="preserve">The fair value of available-for-sale debt investments, by contractual maturity, as of March 27, </w:t>
      </w:r>
      <w:r>
        <w:rPr>
          <w:rFonts w:ascii="Arial" w:eastAsia="宋体" w:hAnsi="Arial" w:cs="Arial"/>
          <w:color w:val="262626"/>
          <w:sz w:val="18"/>
          <w:szCs w:val="18"/>
        </w:rPr>
        <w:t>2021, was as follows:</w:t>
      </w:r>
    </w:p>
    <w:tbl>
      <w:tblPr>
        <w:tblW w:w="5000" w:type="pct"/>
        <w:tblCellMar>
          <w:top w:w="15" w:type="dxa"/>
          <w:left w:w="15" w:type="dxa"/>
          <w:bottom w:w="15" w:type="dxa"/>
          <w:right w:w="15" w:type="dxa"/>
        </w:tblCellMar>
        <w:tblLook w:val="04A0" w:firstRow="1" w:lastRow="0" w:firstColumn="1" w:lastColumn="0" w:noHBand="0" w:noVBand="1"/>
      </w:tblPr>
      <w:tblGrid>
        <w:gridCol w:w="45"/>
        <w:gridCol w:w="7159"/>
        <w:gridCol w:w="37"/>
        <w:gridCol w:w="36"/>
        <w:gridCol w:w="36"/>
        <w:gridCol w:w="36"/>
        <w:gridCol w:w="122"/>
        <w:gridCol w:w="829"/>
        <w:gridCol w:w="36"/>
      </w:tblGrid>
      <w:tr w:rsidR="0008009C" w14:paraId="5C7C601C" w14:textId="77777777">
        <w:tc>
          <w:tcPr>
            <w:tcW w:w="50" w:type="pct"/>
            <w:shd w:val="clear" w:color="auto" w:fill="auto"/>
          </w:tcPr>
          <w:p w14:paraId="5C7C6013" w14:textId="77777777" w:rsidR="0008009C" w:rsidRDefault="0008009C">
            <w:pPr>
              <w:rPr>
                <w:rFonts w:ascii="宋体"/>
              </w:rPr>
            </w:pPr>
          </w:p>
        </w:tc>
        <w:tc>
          <w:tcPr>
            <w:tcW w:w="4316" w:type="pct"/>
            <w:shd w:val="clear" w:color="auto" w:fill="auto"/>
          </w:tcPr>
          <w:p w14:paraId="5C7C6014" w14:textId="77777777" w:rsidR="0008009C" w:rsidRDefault="0008009C">
            <w:pPr>
              <w:rPr>
                <w:rFonts w:ascii="宋体"/>
              </w:rPr>
            </w:pPr>
          </w:p>
        </w:tc>
        <w:tc>
          <w:tcPr>
            <w:tcW w:w="5" w:type="pct"/>
            <w:shd w:val="clear" w:color="auto" w:fill="auto"/>
          </w:tcPr>
          <w:p w14:paraId="5C7C6015" w14:textId="77777777" w:rsidR="0008009C" w:rsidRDefault="0008009C">
            <w:pPr>
              <w:rPr>
                <w:rFonts w:ascii="宋体"/>
              </w:rPr>
            </w:pPr>
          </w:p>
        </w:tc>
        <w:tc>
          <w:tcPr>
            <w:tcW w:w="5" w:type="pct"/>
            <w:shd w:val="clear" w:color="auto" w:fill="auto"/>
          </w:tcPr>
          <w:p w14:paraId="5C7C6016" w14:textId="77777777" w:rsidR="0008009C" w:rsidRDefault="0008009C">
            <w:pPr>
              <w:rPr>
                <w:rFonts w:ascii="宋体"/>
              </w:rPr>
            </w:pPr>
          </w:p>
        </w:tc>
        <w:tc>
          <w:tcPr>
            <w:tcW w:w="24" w:type="pct"/>
            <w:shd w:val="clear" w:color="auto" w:fill="auto"/>
          </w:tcPr>
          <w:p w14:paraId="5C7C6017" w14:textId="77777777" w:rsidR="0008009C" w:rsidRDefault="0008009C">
            <w:pPr>
              <w:rPr>
                <w:rFonts w:ascii="宋体"/>
              </w:rPr>
            </w:pPr>
          </w:p>
        </w:tc>
        <w:tc>
          <w:tcPr>
            <w:tcW w:w="5" w:type="pct"/>
            <w:shd w:val="clear" w:color="auto" w:fill="auto"/>
          </w:tcPr>
          <w:p w14:paraId="5C7C6018" w14:textId="77777777" w:rsidR="0008009C" w:rsidRDefault="0008009C">
            <w:pPr>
              <w:rPr>
                <w:rFonts w:ascii="宋体"/>
              </w:rPr>
            </w:pPr>
          </w:p>
        </w:tc>
        <w:tc>
          <w:tcPr>
            <w:tcW w:w="50" w:type="pct"/>
            <w:shd w:val="clear" w:color="auto" w:fill="auto"/>
          </w:tcPr>
          <w:p w14:paraId="5C7C6019" w14:textId="77777777" w:rsidR="0008009C" w:rsidRDefault="0008009C">
            <w:pPr>
              <w:rPr>
                <w:rFonts w:ascii="宋体"/>
              </w:rPr>
            </w:pPr>
          </w:p>
        </w:tc>
        <w:tc>
          <w:tcPr>
            <w:tcW w:w="539" w:type="pct"/>
            <w:shd w:val="clear" w:color="auto" w:fill="auto"/>
          </w:tcPr>
          <w:p w14:paraId="5C7C601A" w14:textId="77777777" w:rsidR="0008009C" w:rsidRDefault="0008009C">
            <w:pPr>
              <w:rPr>
                <w:rFonts w:ascii="宋体"/>
              </w:rPr>
            </w:pPr>
          </w:p>
        </w:tc>
        <w:tc>
          <w:tcPr>
            <w:tcW w:w="5" w:type="pct"/>
            <w:shd w:val="clear" w:color="auto" w:fill="auto"/>
          </w:tcPr>
          <w:p w14:paraId="5C7C601B" w14:textId="77777777" w:rsidR="0008009C" w:rsidRDefault="0008009C">
            <w:pPr>
              <w:rPr>
                <w:rFonts w:ascii="宋体"/>
              </w:rPr>
            </w:pPr>
          </w:p>
        </w:tc>
      </w:tr>
      <w:tr w:rsidR="0008009C" w14:paraId="5C7C6020" w14:textId="77777777">
        <w:tc>
          <w:tcPr>
            <w:tcW w:w="0" w:type="auto"/>
            <w:gridSpan w:val="3"/>
            <w:shd w:val="clear" w:color="auto" w:fill="auto"/>
            <w:tcMar>
              <w:top w:w="40" w:type="dxa"/>
              <w:left w:w="20" w:type="dxa"/>
              <w:bottom w:w="40" w:type="dxa"/>
              <w:right w:w="20" w:type="dxa"/>
            </w:tcMar>
            <w:vAlign w:val="bottom"/>
          </w:tcPr>
          <w:p w14:paraId="5C7C601D" w14:textId="77777777" w:rsidR="0008009C" w:rsidRDefault="00936FDF">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601E"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01F" w14:textId="77777777" w:rsidR="0008009C" w:rsidRDefault="00936FDF">
            <w:pPr>
              <w:jc w:val="center"/>
              <w:textAlignment w:val="bottom"/>
            </w:pPr>
            <w:r>
              <w:rPr>
                <w:rFonts w:ascii="Arial" w:eastAsia="宋体" w:hAnsi="Arial" w:cs="Arial"/>
                <w:b/>
                <w:bCs/>
                <w:color w:val="262626"/>
                <w:sz w:val="18"/>
                <w:szCs w:val="18"/>
              </w:rPr>
              <w:t>Fair Value</w:t>
            </w:r>
          </w:p>
        </w:tc>
      </w:tr>
      <w:tr w:rsidR="0008009C" w14:paraId="5C7C6026"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6021" w14:textId="77777777" w:rsidR="0008009C" w:rsidRDefault="00936FDF">
            <w:pPr>
              <w:ind w:hanging="180"/>
              <w:textAlignment w:val="top"/>
            </w:pPr>
            <w:r>
              <w:rPr>
                <w:rFonts w:ascii="Arial" w:eastAsia="宋体" w:hAnsi="Arial" w:cs="Arial"/>
                <w:color w:val="262626"/>
                <w:sz w:val="18"/>
                <w:szCs w:val="18"/>
              </w:rPr>
              <w:t>Due in 1 year or less</w:t>
            </w:r>
          </w:p>
        </w:tc>
        <w:tc>
          <w:tcPr>
            <w:tcW w:w="0" w:type="auto"/>
            <w:gridSpan w:val="3"/>
            <w:shd w:val="clear" w:color="auto" w:fill="auto"/>
            <w:tcMar>
              <w:top w:w="0" w:type="dxa"/>
              <w:left w:w="20" w:type="dxa"/>
              <w:bottom w:w="0" w:type="dxa"/>
              <w:right w:w="20" w:type="dxa"/>
            </w:tcMar>
          </w:tcPr>
          <w:p w14:paraId="5C7C6022"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023"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024" w14:textId="77777777" w:rsidR="0008009C" w:rsidRDefault="00936FDF">
            <w:pPr>
              <w:jc w:val="right"/>
              <w:textAlignment w:val="bottom"/>
            </w:pPr>
            <w:r>
              <w:rPr>
                <w:rFonts w:ascii="Arial" w:eastAsia="宋体" w:hAnsi="Arial" w:cs="Arial"/>
                <w:color w:val="0068B5"/>
                <w:sz w:val="18"/>
                <w:szCs w:val="18"/>
              </w:rPr>
              <w:t>3,596 </w:t>
            </w:r>
          </w:p>
        </w:tc>
        <w:tc>
          <w:tcPr>
            <w:tcW w:w="0" w:type="auto"/>
            <w:tcBorders>
              <w:top w:val="single" w:sz="8" w:space="0" w:color="0068B5"/>
            </w:tcBorders>
            <w:shd w:val="clear" w:color="auto" w:fill="auto"/>
            <w:tcMar>
              <w:top w:w="40" w:type="dxa"/>
              <w:left w:w="0" w:type="dxa"/>
              <w:bottom w:w="40" w:type="dxa"/>
              <w:right w:w="20" w:type="dxa"/>
            </w:tcMar>
            <w:vAlign w:val="bottom"/>
          </w:tcPr>
          <w:p w14:paraId="5C7C6025" w14:textId="77777777" w:rsidR="0008009C" w:rsidRDefault="0008009C">
            <w:pPr>
              <w:jc w:val="right"/>
              <w:rPr>
                <w:rFonts w:ascii="宋体"/>
              </w:rPr>
            </w:pPr>
          </w:p>
        </w:tc>
      </w:tr>
      <w:tr w:rsidR="0008009C" w14:paraId="5C7C602B" w14:textId="77777777">
        <w:tc>
          <w:tcPr>
            <w:tcW w:w="0" w:type="auto"/>
            <w:gridSpan w:val="3"/>
            <w:shd w:val="clear" w:color="auto" w:fill="auto"/>
            <w:tcMar>
              <w:top w:w="40" w:type="dxa"/>
              <w:left w:w="20" w:type="dxa"/>
              <w:bottom w:w="40" w:type="dxa"/>
              <w:right w:w="20" w:type="dxa"/>
            </w:tcMar>
          </w:tcPr>
          <w:p w14:paraId="5C7C6027" w14:textId="77777777" w:rsidR="0008009C" w:rsidRDefault="00936FDF">
            <w:pPr>
              <w:ind w:hanging="180"/>
              <w:textAlignment w:val="top"/>
            </w:pPr>
            <w:r>
              <w:rPr>
                <w:rFonts w:ascii="Arial" w:eastAsia="宋体" w:hAnsi="Arial" w:cs="Arial"/>
                <w:color w:val="262626"/>
                <w:sz w:val="18"/>
                <w:szCs w:val="18"/>
              </w:rPr>
              <w:t>Due in 1–2 years</w:t>
            </w:r>
          </w:p>
        </w:tc>
        <w:tc>
          <w:tcPr>
            <w:tcW w:w="0" w:type="auto"/>
            <w:gridSpan w:val="3"/>
            <w:shd w:val="clear" w:color="auto" w:fill="auto"/>
            <w:tcMar>
              <w:top w:w="0" w:type="dxa"/>
              <w:left w:w="20" w:type="dxa"/>
              <w:bottom w:w="0" w:type="dxa"/>
              <w:right w:w="20" w:type="dxa"/>
            </w:tcMar>
          </w:tcPr>
          <w:p w14:paraId="5C7C602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029" w14:textId="77777777" w:rsidR="0008009C" w:rsidRDefault="00936FDF">
            <w:pPr>
              <w:jc w:val="right"/>
              <w:textAlignment w:val="bottom"/>
            </w:pPr>
            <w:r>
              <w:rPr>
                <w:rFonts w:ascii="Arial" w:eastAsia="宋体" w:hAnsi="Arial" w:cs="Arial"/>
                <w:color w:val="0068B5"/>
                <w:sz w:val="18"/>
                <w:szCs w:val="18"/>
              </w:rPr>
              <w:t>341 </w:t>
            </w:r>
          </w:p>
        </w:tc>
        <w:tc>
          <w:tcPr>
            <w:tcW w:w="0" w:type="auto"/>
            <w:shd w:val="clear" w:color="auto" w:fill="auto"/>
            <w:tcMar>
              <w:top w:w="40" w:type="dxa"/>
              <w:left w:w="0" w:type="dxa"/>
              <w:bottom w:w="40" w:type="dxa"/>
              <w:right w:w="20" w:type="dxa"/>
            </w:tcMar>
            <w:vAlign w:val="bottom"/>
          </w:tcPr>
          <w:p w14:paraId="5C7C602A" w14:textId="77777777" w:rsidR="0008009C" w:rsidRDefault="0008009C">
            <w:pPr>
              <w:jc w:val="right"/>
              <w:rPr>
                <w:rFonts w:ascii="宋体"/>
              </w:rPr>
            </w:pPr>
          </w:p>
        </w:tc>
      </w:tr>
      <w:tr w:rsidR="0008009C" w14:paraId="5C7C6030" w14:textId="77777777">
        <w:tc>
          <w:tcPr>
            <w:tcW w:w="0" w:type="auto"/>
            <w:gridSpan w:val="3"/>
            <w:shd w:val="clear" w:color="auto" w:fill="auto"/>
            <w:tcMar>
              <w:top w:w="40" w:type="dxa"/>
              <w:left w:w="20" w:type="dxa"/>
              <w:bottom w:w="40" w:type="dxa"/>
              <w:right w:w="20" w:type="dxa"/>
            </w:tcMar>
          </w:tcPr>
          <w:p w14:paraId="5C7C602C" w14:textId="77777777" w:rsidR="0008009C" w:rsidRDefault="00936FDF">
            <w:pPr>
              <w:ind w:hanging="180"/>
              <w:textAlignment w:val="top"/>
            </w:pPr>
            <w:r>
              <w:rPr>
                <w:rFonts w:ascii="Arial" w:eastAsia="宋体" w:hAnsi="Arial" w:cs="Arial"/>
                <w:color w:val="262626"/>
                <w:sz w:val="18"/>
                <w:szCs w:val="18"/>
              </w:rPr>
              <w:t>Due in 2–5 years</w:t>
            </w:r>
          </w:p>
        </w:tc>
        <w:tc>
          <w:tcPr>
            <w:tcW w:w="0" w:type="auto"/>
            <w:gridSpan w:val="3"/>
            <w:shd w:val="clear" w:color="auto" w:fill="auto"/>
            <w:tcMar>
              <w:top w:w="0" w:type="dxa"/>
              <w:left w:w="20" w:type="dxa"/>
              <w:bottom w:w="0" w:type="dxa"/>
              <w:right w:w="20" w:type="dxa"/>
            </w:tcMar>
          </w:tcPr>
          <w:p w14:paraId="5C7C602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02E" w14:textId="77777777" w:rsidR="0008009C" w:rsidRDefault="00936FDF">
            <w:pPr>
              <w:jc w:val="right"/>
              <w:textAlignment w:val="bottom"/>
            </w:pPr>
            <w:r>
              <w:rPr>
                <w:rFonts w:ascii="Arial" w:eastAsia="宋体" w:hAnsi="Arial" w:cs="Arial"/>
                <w:color w:val="0068B5"/>
                <w:sz w:val="18"/>
                <w:szCs w:val="18"/>
              </w:rPr>
              <w:t>1,068 </w:t>
            </w:r>
          </w:p>
        </w:tc>
        <w:tc>
          <w:tcPr>
            <w:tcW w:w="0" w:type="auto"/>
            <w:shd w:val="clear" w:color="auto" w:fill="auto"/>
            <w:tcMar>
              <w:top w:w="40" w:type="dxa"/>
              <w:left w:w="0" w:type="dxa"/>
              <w:bottom w:w="40" w:type="dxa"/>
              <w:right w:w="20" w:type="dxa"/>
            </w:tcMar>
            <w:vAlign w:val="bottom"/>
          </w:tcPr>
          <w:p w14:paraId="5C7C602F" w14:textId="77777777" w:rsidR="0008009C" w:rsidRDefault="0008009C">
            <w:pPr>
              <w:jc w:val="right"/>
              <w:rPr>
                <w:rFonts w:ascii="宋体"/>
              </w:rPr>
            </w:pPr>
          </w:p>
        </w:tc>
      </w:tr>
      <w:tr w:rsidR="0008009C" w14:paraId="5C7C6035" w14:textId="77777777">
        <w:tc>
          <w:tcPr>
            <w:tcW w:w="0" w:type="auto"/>
            <w:gridSpan w:val="3"/>
            <w:shd w:val="clear" w:color="auto" w:fill="auto"/>
            <w:tcMar>
              <w:top w:w="40" w:type="dxa"/>
              <w:left w:w="20" w:type="dxa"/>
              <w:bottom w:w="40" w:type="dxa"/>
              <w:right w:w="20" w:type="dxa"/>
            </w:tcMar>
          </w:tcPr>
          <w:p w14:paraId="5C7C6031" w14:textId="77777777" w:rsidR="0008009C" w:rsidRDefault="00936FDF">
            <w:pPr>
              <w:ind w:hanging="180"/>
              <w:textAlignment w:val="top"/>
            </w:pPr>
            <w:r>
              <w:rPr>
                <w:rFonts w:ascii="Arial" w:eastAsia="宋体" w:hAnsi="Arial" w:cs="Arial"/>
                <w:color w:val="262626"/>
                <w:sz w:val="18"/>
                <w:szCs w:val="18"/>
              </w:rPr>
              <w:t>Due after 5 years</w:t>
            </w:r>
          </w:p>
        </w:tc>
        <w:tc>
          <w:tcPr>
            <w:tcW w:w="0" w:type="auto"/>
            <w:gridSpan w:val="3"/>
            <w:shd w:val="clear" w:color="auto" w:fill="auto"/>
            <w:tcMar>
              <w:top w:w="0" w:type="dxa"/>
              <w:left w:w="20" w:type="dxa"/>
              <w:bottom w:w="0" w:type="dxa"/>
              <w:right w:w="20" w:type="dxa"/>
            </w:tcMar>
          </w:tcPr>
          <w:p w14:paraId="5C7C603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033"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034" w14:textId="77777777" w:rsidR="0008009C" w:rsidRDefault="0008009C">
            <w:pPr>
              <w:jc w:val="right"/>
              <w:rPr>
                <w:rFonts w:ascii="宋体"/>
              </w:rPr>
            </w:pPr>
          </w:p>
        </w:tc>
      </w:tr>
      <w:tr w:rsidR="0008009C" w14:paraId="5C7C603A" w14:textId="77777777">
        <w:tc>
          <w:tcPr>
            <w:tcW w:w="0" w:type="auto"/>
            <w:gridSpan w:val="3"/>
            <w:shd w:val="clear" w:color="auto" w:fill="auto"/>
            <w:tcMar>
              <w:top w:w="40" w:type="dxa"/>
              <w:left w:w="20" w:type="dxa"/>
              <w:bottom w:w="40" w:type="dxa"/>
              <w:right w:w="20" w:type="dxa"/>
            </w:tcMar>
          </w:tcPr>
          <w:p w14:paraId="5C7C6036" w14:textId="77777777" w:rsidR="0008009C" w:rsidRDefault="00936FDF">
            <w:pPr>
              <w:ind w:hanging="180"/>
              <w:textAlignment w:val="top"/>
            </w:pPr>
            <w:r>
              <w:rPr>
                <w:rFonts w:ascii="Arial" w:eastAsia="宋体" w:hAnsi="Arial" w:cs="Arial"/>
                <w:color w:val="262626"/>
                <w:sz w:val="18"/>
                <w:szCs w:val="18"/>
              </w:rPr>
              <w:t>Instruments not due at a single maturity date</w:t>
            </w:r>
          </w:p>
        </w:tc>
        <w:tc>
          <w:tcPr>
            <w:tcW w:w="0" w:type="auto"/>
            <w:gridSpan w:val="3"/>
            <w:shd w:val="clear" w:color="auto" w:fill="auto"/>
            <w:tcMar>
              <w:top w:w="0" w:type="dxa"/>
              <w:left w:w="20" w:type="dxa"/>
              <w:bottom w:w="0" w:type="dxa"/>
              <w:right w:w="20" w:type="dxa"/>
            </w:tcMar>
          </w:tcPr>
          <w:p w14:paraId="5C7C603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038" w14:textId="77777777" w:rsidR="0008009C" w:rsidRDefault="00936FDF">
            <w:pPr>
              <w:jc w:val="right"/>
              <w:textAlignment w:val="bottom"/>
            </w:pPr>
            <w:r>
              <w:rPr>
                <w:rFonts w:ascii="Arial" w:eastAsia="宋体" w:hAnsi="Arial" w:cs="Arial"/>
                <w:color w:val="0068B5"/>
                <w:sz w:val="18"/>
                <w:szCs w:val="18"/>
              </w:rPr>
              <w:t>2,130 </w:t>
            </w:r>
          </w:p>
        </w:tc>
        <w:tc>
          <w:tcPr>
            <w:tcW w:w="0" w:type="auto"/>
            <w:shd w:val="clear" w:color="auto" w:fill="auto"/>
            <w:tcMar>
              <w:top w:w="40" w:type="dxa"/>
              <w:left w:w="0" w:type="dxa"/>
              <w:bottom w:w="40" w:type="dxa"/>
              <w:right w:w="20" w:type="dxa"/>
            </w:tcMar>
            <w:vAlign w:val="bottom"/>
          </w:tcPr>
          <w:p w14:paraId="5C7C6039" w14:textId="77777777" w:rsidR="0008009C" w:rsidRDefault="0008009C">
            <w:pPr>
              <w:jc w:val="right"/>
              <w:rPr>
                <w:rFonts w:ascii="宋体"/>
              </w:rPr>
            </w:pPr>
          </w:p>
        </w:tc>
      </w:tr>
      <w:tr w:rsidR="0008009C" w14:paraId="5C7C6040" w14:textId="77777777">
        <w:tc>
          <w:tcPr>
            <w:tcW w:w="0" w:type="auto"/>
            <w:gridSpan w:val="3"/>
            <w:shd w:val="clear" w:color="auto" w:fill="auto"/>
            <w:tcMar>
              <w:top w:w="40" w:type="dxa"/>
              <w:left w:w="20" w:type="dxa"/>
              <w:bottom w:w="40" w:type="dxa"/>
              <w:right w:w="20" w:type="dxa"/>
            </w:tcMar>
          </w:tcPr>
          <w:p w14:paraId="5C7C603B" w14:textId="77777777" w:rsidR="0008009C" w:rsidRDefault="00936FDF">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tcPr>
          <w:p w14:paraId="5C7C603C"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03D"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03E" w14:textId="77777777" w:rsidR="0008009C" w:rsidRDefault="00936FDF">
            <w:pPr>
              <w:jc w:val="right"/>
              <w:textAlignment w:val="bottom"/>
            </w:pPr>
            <w:r>
              <w:rPr>
                <w:rFonts w:ascii="Arial" w:eastAsia="宋体" w:hAnsi="Arial" w:cs="Arial"/>
                <w:b/>
                <w:bCs/>
                <w:color w:val="0068B5"/>
                <w:sz w:val="18"/>
                <w:szCs w:val="18"/>
              </w:rPr>
              <w:t>7,135</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03F" w14:textId="77777777" w:rsidR="0008009C" w:rsidRDefault="0008009C">
            <w:pPr>
              <w:jc w:val="right"/>
              <w:rPr>
                <w:rFonts w:ascii="宋体"/>
              </w:rPr>
            </w:pPr>
          </w:p>
        </w:tc>
      </w:tr>
    </w:tbl>
    <w:p w14:paraId="5C7C6041" w14:textId="77777777" w:rsidR="0008009C" w:rsidRDefault="0008009C">
      <w:pPr>
        <w:spacing w:after="180"/>
      </w:pPr>
    </w:p>
    <w:p w14:paraId="5C7C6042" w14:textId="77777777" w:rsidR="0008009C" w:rsidRDefault="0008009C">
      <w:pPr>
        <w:spacing w:after="180"/>
      </w:pPr>
    </w:p>
    <w:p w14:paraId="5C7C6043" w14:textId="77777777" w:rsidR="0008009C" w:rsidRDefault="0008009C">
      <w:pPr>
        <w:spacing w:after="180"/>
      </w:pPr>
    </w:p>
    <w:p w14:paraId="5C7C6044" w14:textId="77777777" w:rsidR="0008009C" w:rsidRDefault="0008009C">
      <w:pPr>
        <w:spacing w:after="180"/>
      </w:pPr>
    </w:p>
    <w:p w14:paraId="5C7C6045" w14:textId="77777777" w:rsidR="0008009C" w:rsidRDefault="0008009C">
      <w:pPr>
        <w:spacing w:after="180"/>
      </w:pPr>
    </w:p>
    <w:p w14:paraId="5C7C6046" w14:textId="77777777" w:rsidR="0008009C" w:rsidRDefault="0008009C">
      <w:pPr>
        <w:spacing w:after="180"/>
      </w:pPr>
    </w:p>
    <w:p w14:paraId="5C7C6047" w14:textId="77777777" w:rsidR="0008009C" w:rsidRDefault="0008009C">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8009C" w14:paraId="5C7C6054" w14:textId="77777777">
        <w:tc>
          <w:tcPr>
            <w:tcW w:w="50" w:type="pct"/>
            <w:shd w:val="clear" w:color="auto" w:fill="auto"/>
            <w:vAlign w:val="bottom"/>
          </w:tcPr>
          <w:p w14:paraId="5C7C6048" w14:textId="77777777" w:rsidR="0008009C" w:rsidRDefault="0008009C">
            <w:pPr>
              <w:rPr>
                <w:rFonts w:ascii="宋体"/>
              </w:rPr>
            </w:pPr>
          </w:p>
        </w:tc>
        <w:tc>
          <w:tcPr>
            <w:tcW w:w="238" w:type="pct"/>
            <w:shd w:val="clear" w:color="auto" w:fill="auto"/>
            <w:vAlign w:val="bottom"/>
          </w:tcPr>
          <w:p w14:paraId="5C7C6049" w14:textId="77777777" w:rsidR="0008009C" w:rsidRDefault="0008009C">
            <w:pPr>
              <w:rPr>
                <w:rFonts w:ascii="宋体"/>
              </w:rPr>
            </w:pPr>
          </w:p>
        </w:tc>
        <w:tc>
          <w:tcPr>
            <w:tcW w:w="5" w:type="pct"/>
            <w:shd w:val="clear" w:color="auto" w:fill="auto"/>
            <w:vAlign w:val="bottom"/>
          </w:tcPr>
          <w:p w14:paraId="5C7C604A" w14:textId="77777777" w:rsidR="0008009C" w:rsidRDefault="0008009C">
            <w:pPr>
              <w:rPr>
                <w:rFonts w:ascii="宋体"/>
              </w:rPr>
            </w:pPr>
          </w:p>
        </w:tc>
        <w:tc>
          <w:tcPr>
            <w:tcW w:w="50" w:type="pct"/>
            <w:shd w:val="clear" w:color="auto" w:fill="auto"/>
            <w:vAlign w:val="bottom"/>
          </w:tcPr>
          <w:p w14:paraId="5C7C604B" w14:textId="77777777" w:rsidR="0008009C" w:rsidRDefault="0008009C">
            <w:pPr>
              <w:rPr>
                <w:rFonts w:ascii="宋体"/>
              </w:rPr>
            </w:pPr>
          </w:p>
        </w:tc>
        <w:tc>
          <w:tcPr>
            <w:tcW w:w="983" w:type="pct"/>
            <w:shd w:val="clear" w:color="auto" w:fill="auto"/>
            <w:vAlign w:val="bottom"/>
          </w:tcPr>
          <w:p w14:paraId="5C7C604C" w14:textId="77777777" w:rsidR="0008009C" w:rsidRDefault="0008009C">
            <w:pPr>
              <w:rPr>
                <w:rFonts w:ascii="宋体"/>
              </w:rPr>
            </w:pPr>
          </w:p>
        </w:tc>
        <w:tc>
          <w:tcPr>
            <w:tcW w:w="5" w:type="pct"/>
            <w:shd w:val="clear" w:color="auto" w:fill="auto"/>
            <w:vAlign w:val="bottom"/>
          </w:tcPr>
          <w:p w14:paraId="5C7C604D" w14:textId="77777777" w:rsidR="0008009C" w:rsidRDefault="0008009C">
            <w:pPr>
              <w:rPr>
                <w:rFonts w:ascii="宋体"/>
              </w:rPr>
            </w:pPr>
          </w:p>
        </w:tc>
        <w:tc>
          <w:tcPr>
            <w:tcW w:w="50" w:type="pct"/>
            <w:shd w:val="clear" w:color="auto" w:fill="auto"/>
            <w:vAlign w:val="bottom"/>
          </w:tcPr>
          <w:p w14:paraId="5C7C604E" w14:textId="77777777" w:rsidR="0008009C" w:rsidRDefault="0008009C">
            <w:pPr>
              <w:rPr>
                <w:rFonts w:ascii="宋体"/>
              </w:rPr>
            </w:pPr>
          </w:p>
        </w:tc>
        <w:tc>
          <w:tcPr>
            <w:tcW w:w="2035" w:type="pct"/>
            <w:shd w:val="clear" w:color="auto" w:fill="auto"/>
            <w:vAlign w:val="bottom"/>
          </w:tcPr>
          <w:p w14:paraId="5C7C604F" w14:textId="77777777" w:rsidR="0008009C" w:rsidRDefault="0008009C">
            <w:pPr>
              <w:rPr>
                <w:rFonts w:ascii="宋体"/>
              </w:rPr>
            </w:pPr>
          </w:p>
        </w:tc>
        <w:tc>
          <w:tcPr>
            <w:tcW w:w="5" w:type="pct"/>
            <w:shd w:val="clear" w:color="auto" w:fill="auto"/>
            <w:vAlign w:val="bottom"/>
          </w:tcPr>
          <w:p w14:paraId="5C7C6050" w14:textId="77777777" w:rsidR="0008009C" w:rsidRDefault="0008009C">
            <w:pPr>
              <w:rPr>
                <w:rFonts w:ascii="宋体"/>
              </w:rPr>
            </w:pPr>
          </w:p>
        </w:tc>
        <w:tc>
          <w:tcPr>
            <w:tcW w:w="50" w:type="pct"/>
            <w:shd w:val="clear" w:color="auto" w:fill="auto"/>
            <w:vAlign w:val="bottom"/>
          </w:tcPr>
          <w:p w14:paraId="5C7C6051" w14:textId="77777777" w:rsidR="0008009C" w:rsidRDefault="0008009C">
            <w:pPr>
              <w:rPr>
                <w:rFonts w:ascii="宋体"/>
              </w:rPr>
            </w:pPr>
          </w:p>
        </w:tc>
        <w:tc>
          <w:tcPr>
            <w:tcW w:w="1522" w:type="pct"/>
            <w:shd w:val="clear" w:color="auto" w:fill="auto"/>
            <w:vAlign w:val="bottom"/>
          </w:tcPr>
          <w:p w14:paraId="5C7C6052" w14:textId="77777777" w:rsidR="0008009C" w:rsidRDefault="0008009C">
            <w:pPr>
              <w:rPr>
                <w:rFonts w:ascii="宋体"/>
              </w:rPr>
            </w:pPr>
          </w:p>
        </w:tc>
        <w:tc>
          <w:tcPr>
            <w:tcW w:w="5" w:type="pct"/>
            <w:shd w:val="clear" w:color="auto" w:fill="auto"/>
            <w:vAlign w:val="bottom"/>
          </w:tcPr>
          <w:p w14:paraId="5C7C6053" w14:textId="77777777" w:rsidR="0008009C" w:rsidRDefault="0008009C">
            <w:pPr>
              <w:rPr>
                <w:rFonts w:ascii="宋体"/>
              </w:rPr>
            </w:pPr>
          </w:p>
        </w:tc>
      </w:tr>
      <w:tr w:rsidR="0008009C" w14:paraId="5C7C6059"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6055"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0B" wp14:editId="5C7C7D0C">
                  <wp:extent cx="304800" cy="304800"/>
                  <wp:effectExtent l="0" t="0" r="0" b="0"/>
                  <wp:docPr id="99" name="图片 61"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61"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056"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6057" w14:textId="77777777" w:rsidR="0008009C" w:rsidRDefault="00936FDF">
            <w:pPr>
              <w:textAlignment w:val="center"/>
            </w:pPr>
            <w:r>
              <w:rPr>
                <w:rFonts w:ascii="Arial" w:eastAsia="宋体" w:hAnsi="Arial" w:cs="Arial"/>
                <w:color w:val="262626"/>
                <w:sz w:val="16"/>
                <w:szCs w:val="16"/>
              </w:rPr>
              <w:t> Notes to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058" w14:textId="77777777" w:rsidR="0008009C" w:rsidRDefault="00936FDF">
            <w:pPr>
              <w:jc w:val="right"/>
              <w:textAlignment w:val="center"/>
            </w:pPr>
            <w:r>
              <w:rPr>
                <w:rFonts w:ascii="Arial" w:eastAsia="宋体" w:hAnsi="Arial" w:cs="Arial"/>
                <w:color w:val="262626"/>
                <w:sz w:val="16"/>
                <w:szCs w:val="16"/>
              </w:rPr>
              <w:t>11</w:t>
            </w:r>
          </w:p>
        </w:tc>
      </w:tr>
    </w:tbl>
    <w:p w14:paraId="5C7C605A" w14:textId="77777777" w:rsidR="0008009C" w:rsidRDefault="00936FDF">
      <w:r>
        <w:pict w14:anchorId="5C7C7D0D">
          <v:rect id="_x0000_i1037" style="width:415.3pt;height:1.5pt" o:hralign="center" o:hrstd="t" o:hr="t" fillcolor="#a0a0a0" stroked="f"/>
        </w:pict>
      </w:r>
    </w:p>
    <w:p w14:paraId="5C7C605B" w14:textId="77777777" w:rsidR="0008009C" w:rsidRDefault="00936FDF">
      <w:pPr>
        <w:spacing w:after="180"/>
        <w:jc w:val="right"/>
      </w:pPr>
      <w:hyperlink r:id="rId37" w:anchor="i3a00378f6cc84b1c9cfc83239548ad53_7" w:history="1">
        <w:r>
          <w:rPr>
            <w:rStyle w:val="a5"/>
            <w:rFonts w:ascii="Arial" w:eastAsia="宋体" w:hAnsi="Arial" w:cs="Arial"/>
            <w:b/>
            <w:bCs/>
            <w:sz w:val="16"/>
            <w:szCs w:val="16"/>
          </w:rPr>
          <w:t>Table of Contents</w:t>
        </w:r>
      </w:hyperlink>
    </w:p>
    <w:p w14:paraId="5C7C605C" w14:textId="77777777" w:rsidR="0008009C" w:rsidRDefault="0008009C">
      <w:pPr>
        <w:spacing w:after="180"/>
        <w:jc w:val="right"/>
      </w:pPr>
    </w:p>
    <w:p w14:paraId="5C7C605D" w14:textId="77777777" w:rsidR="0008009C" w:rsidRDefault="00936FDF">
      <w:pPr>
        <w:spacing w:before="180" w:after="180"/>
      </w:pPr>
      <w:r>
        <w:rPr>
          <w:rFonts w:ascii="Arial" w:eastAsia="宋体" w:hAnsi="Arial" w:cs="Arial"/>
          <w:color w:val="0068B5"/>
        </w:rPr>
        <w:t>Equity Investments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08009C" w14:paraId="5C7C606D" w14:textId="77777777">
        <w:tc>
          <w:tcPr>
            <w:tcW w:w="50" w:type="pct"/>
            <w:shd w:val="clear" w:color="auto" w:fill="auto"/>
          </w:tcPr>
          <w:p w14:paraId="5C7C605E" w14:textId="77777777" w:rsidR="0008009C" w:rsidRDefault="0008009C">
            <w:pPr>
              <w:rPr>
                <w:rFonts w:ascii="宋体"/>
              </w:rPr>
            </w:pPr>
          </w:p>
        </w:tc>
        <w:tc>
          <w:tcPr>
            <w:tcW w:w="3688" w:type="pct"/>
            <w:shd w:val="clear" w:color="auto" w:fill="auto"/>
          </w:tcPr>
          <w:p w14:paraId="5C7C605F" w14:textId="77777777" w:rsidR="0008009C" w:rsidRDefault="0008009C">
            <w:pPr>
              <w:rPr>
                <w:rFonts w:ascii="宋体"/>
              </w:rPr>
            </w:pPr>
          </w:p>
        </w:tc>
        <w:tc>
          <w:tcPr>
            <w:tcW w:w="5" w:type="pct"/>
            <w:shd w:val="clear" w:color="auto" w:fill="auto"/>
          </w:tcPr>
          <w:p w14:paraId="5C7C6060" w14:textId="77777777" w:rsidR="0008009C" w:rsidRDefault="0008009C">
            <w:pPr>
              <w:rPr>
                <w:rFonts w:ascii="宋体"/>
              </w:rPr>
            </w:pPr>
          </w:p>
        </w:tc>
        <w:tc>
          <w:tcPr>
            <w:tcW w:w="5" w:type="pct"/>
            <w:shd w:val="clear" w:color="auto" w:fill="auto"/>
          </w:tcPr>
          <w:p w14:paraId="5C7C6061" w14:textId="77777777" w:rsidR="0008009C" w:rsidRDefault="0008009C">
            <w:pPr>
              <w:rPr>
                <w:rFonts w:ascii="宋体"/>
              </w:rPr>
            </w:pPr>
          </w:p>
        </w:tc>
        <w:tc>
          <w:tcPr>
            <w:tcW w:w="24" w:type="pct"/>
            <w:shd w:val="clear" w:color="auto" w:fill="auto"/>
          </w:tcPr>
          <w:p w14:paraId="5C7C6062" w14:textId="77777777" w:rsidR="0008009C" w:rsidRDefault="0008009C">
            <w:pPr>
              <w:rPr>
                <w:rFonts w:ascii="宋体"/>
              </w:rPr>
            </w:pPr>
          </w:p>
        </w:tc>
        <w:tc>
          <w:tcPr>
            <w:tcW w:w="5" w:type="pct"/>
            <w:shd w:val="clear" w:color="auto" w:fill="auto"/>
          </w:tcPr>
          <w:p w14:paraId="5C7C6063" w14:textId="77777777" w:rsidR="0008009C" w:rsidRDefault="0008009C">
            <w:pPr>
              <w:rPr>
                <w:rFonts w:ascii="宋体"/>
              </w:rPr>
            </w:pPr>
          </w:p>
        </w:tc>
        <w:tc>
          <w:tcPr>
            <w:tcW w:w="50" w:type="pct"/>
            <w:shd w:val="clear" w:color="auto" w:fill="auto"/>
          </w:tcPr>
          <w:p w14:paraId="5C7C6064" w14:textId="77777777" w:rsidR="0008009C" w:rsidRDefault="0008009C">
            <w:pPr>
              <w:rPr>
                <w:rFonts w:ascii="宋体"/>
              </w:rPr>
            </w:pPr>
          </w:p>
        </w:tc>
        <w:tc>
          <w:tcPr>
            <w:tcW w:w="539" w:type="pct"/>
            <w:shd w:val="clear" w:color="auto" w:fill="auto"/>
          </w:tcPr>
          <w:p w14:paraId="5C7C6065" w14:textId="77777777" w:rsidR="0008009C" w:rsidRDefault="0008009C">
            <w:pPr>
              <w:rPr>
                <w:rFonts w:ascii="宋体"/>
              </w:rPr>
            </w:pPr>
          </w:p>
        </w:tc>
        <w:tc>
          <w:tcPr>
            <w:tcW w:w="5" w:type="pct"/>
            <w:shd w:val="clear" w:color="auto" w:fill="auto"/>
          </w:tcPr>
          <w:p w14:paraId="5C7C6066" w14:textId="77777777" w:rsidR="0008009C" w:rsidRDefault="0008009C">
            <w:pPr>
              <w:rPr>
                <w:rFonts w:ascii="宋体"/>
              </w:rPr>
            </w:pPr>
          </w:p>
        </w:tc>
        <w:tc>
          <w:tcPr>
            <w:tcW w:w="5" w:type="pct"/>
            <w:shd w:val="clear" w:color="auto" w:fill="auto"/>
          </w:tcPr>
          <w:p w14:paraId="5C7C6067" w14:textId="77777777" w:rsidR="0008009C" w:rsidRDefault="0008009C">
            <w:pPr>
              <w:rPr>
                <w:rFonts w:ascii="宋体"/>
              </w:rPr>
            </w:pPr>
          </w:p>
        </w:tc>
        <w:tc>
          <w:tcPr>
            <w:tcW w:w="24" w:type="pct"/>
            <w:shd w:val="clear" w:color="auto" w:fill="auto"/>
          </w:tcPr>
          <w:p w14:paraId="5C7C6068" w14:textId="77777777" w:rsidR="0008009C" w:rsidRDefault="0008009C">
            <w:pPr>
              <w:rPr>
                <w:rFonts w:ascii="宋体"/>
              </w:rPr>
            </w:pPr>
          </w:p>
        </w:tc>
        <w:tc>
          <w:tcPr>
            <w:tcW w:w="5" w:type="pct"/>
            <w:shd w:val="clear" w:color="auto" w:fill="auto"/>
          </w:tcPr>
          <w:p w14:paraId="5C7C6069" w14:textId="77777777" w:rsidR="0008009C" w:rsidRDefault="0008009C">
            <w:pPr>
              <w:rPr>
                <w:rFonts w:ascii="宋体"/>
              </w:rPr>
            </w:pPr>
          </w:p>
        </w:tc>
        <w:tc>
          <w:tcPr>
            <w:tcW w:w="50" w:type="pct"/>
            <w:shd w:val="clear" w:color="auto" w:fill="auto"/>
          </w:tcPr>
          <w:p w14:paraId="5C7C606A" w14:textId="77777777" w:rsidR="0008009C" w:rsidRDefault="0008009C">
            <w:pPr>
              <w:rPr>
                <w:rFonts w:ascii="宋体"/>
              </w:rPr>
            </w:pPr>
          </w:p>
        </w:tc>
        <w:tc>
          <w:tcPr>
            <w:tcW w:w="539" w:type="pct"/>
            <w:shd w:val="clear" w:color="auto" w:fill="auto"/>
          </w:tcPr>
          <w:p w14:paraId="5C7C606B" w14:textId="77777777" w:rsidR="0008009C" w:rsidRDefault="0008009C">
            <w:pPr>
              <w:rPr>
                <w:rFonts w:ascii="宋体"/>
              </w:rPr>
            </w:pPr>
          </w:p>
        </w:tc>
        <w:tc>
          <w:tcPr>
            <w:tcW w:w="5" w:type="pct"/>
            <w:shd w:val="clear" w:color="auto" w:fill="auto"/>
          </w:tcPr>
          <w:p w14:paraId="5C7C606C" w14:textId="77777777" w:rsidR="0008009C" w:rsidRDefault="0008009C">
            <w:pPr>
              <w:rPr>
                <w:rFonts w:ascii="宋体"/>
              </w:rPr>
            </w:pPr>
          </w:p>
        </w:tc>
      </w:tr>
      <w:tr w:rsidR="0008009C" w14:paraId="5C7C6073" w14:textId="77777777">
        <w:tc>
          <w:tcPr>
            <w:tcW w:w="0" w:type="auto"/>
            <w:gridSpan w:val="3"/>
            <w:shd w:val="clear" w:color="auto" w:fill="auto"/>
            <w:tcMar>
              <w:top w:w="40" w:type="dxa"/>
              <w:left w:w="20" w:type="dxa"/>
              <w:bottom w:w="40" w:type="dxa"/>
              <w:right w:w="20" w:type="dxa"/>
            </w:tcMar>
            <w:vAlign w:val="bottom"/>
          </w:tcPr>
          <w:p w14:paraId="5C7C606E"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606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070"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shd w:val="clear" w:color="auto" w:fill="auto"/>
            <w:tcMar>
              <w:top w:w="0" w:type="dxa"/>
              <w:left w:w="20" w:type="dxa"/>
              <w:bottom w:w="0" w:type="dxa"/>
              <w:right w:w="20" w:type="dxa"/>
            </w:tcMar>
          </w:tcPr>
          <w:p w14:paraId="5C7C6071"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072" w14:textId="77777777" w:rsidR="0008009C" w:rsidRDefault="00936FDF">
            <w:pPr>
              <w:jc w:val="center"/>
              <w:textAlignment w:val="bottom"/>
            </w:pPr>
            <w:r>
              <w:rPr>
                <w:rFonts w:ascii="Arial" w:eastAsia="宋体" w:hAnsi="Arial" w:cs="Arial"/>
                <w:b/>
                <w:bCs/>
                <w:color w:val="262626"/>
                <w:sz w:val="18"/>
                <w:szCs w:val="18"/>
              </w:rPr>
              <w:t>Dec 26, 2020</w:t>
            </w:r>
          </w:p>
        </w:tc>
      </w:tr>
      <w:tr w:rsidR="0008009C" w14:paraId="5C7C607D"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6074" w14:textId="77777777" w:rsidR="0008009C" w:rsidRDefault="00936FDF">
            <w:pPr>
              <w:textAlignment w:val="top"/>
            </w:pPr>
            <w:r>
              <w:rPr>
                <w:rFonts w:ascii="Arial" w:eastAsia="宋体" w:hAnsi="Arial" w:cs="Arial"/>
                <w:color w:val="262626"/>
                <w:sz w:val="18"/>
                <w:szCs w:val="18"/>
              </w:rPr>
              <w:t>Marketable equity securities</w:t>
            </w:r>
          </w:p>
        </w:tc>
        <w:tc>
          <w:tcPr>
            <w:tcW w:w="0" w:type="auto"/>
            <w:gridSpan w:val="3"/>
            <w:shd w:val="clear" w:color="auto" w:fill="auto"/>
            <w:tcMar>
              <w:top w:w="0" w:type="dxa"/>
              <w:left w:w="20" w:type="dxa"/>
              <w:bottom w:w="0" w:type="dxa"/>
              <w:right w:w="20" w:type="dxa"/>
            </w:tcMar>
          </w:tcPr>
          <w:p w14:paraId="5C7C6075"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076"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077" w14:textId="77777777" w:rsidR="0008009C" w:rsidRDefault="00936FDF">
            <w:pPr>
              <w:jc w:val="right"/>
              <w:textAlignment w:val="bottom"/>
            </w:pPr>
            <w:r>
              <w:rPr>
                <w:rFonts w:ascii="Arial" w:eastAsia="宋体" w:hAnsi="Arial" w:cs="Arial"/>
                <w:color w:val="0068B5"/>
                <w:sz w:val="18"/>
                <w:szCs w:val="18"/>
              </w:rPr>
              <w:t>1,523 </w:t>
            </w:r>
          </w:p>
        </w:tc>
        <w:tc>
          <w:tcPr>
            <w:tcW w:w="0" w:type="auto"/>
            <w:tcBorders>
              <w:top w:val="single" w:sz="8" w:space="0" w:color="0068B5"/>
            </w:tcBorders>
            <w:shd w:val="clear" w:color="auto" w:fill="auto"/>
            <w:tcMar>
              <w:top w:w="40" w:type="dxa"/>
              <w:left w:w="0" w:type="dxa"/>
              <w:bottom w:w="40" w:type="dxa"/>
              <w:right w:w="20" w:type="dxa"/>
            </w:tcMar>
            <w:vAlign w:val="bottom"/>
          </w:tcPr>
          <w:p w14:paraId="5C7C607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079"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07A" w14:textId="77777777" w:rsidR="0008009C" w:rsidRDefault="00936FDF">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07B" w14:textId="77777777" w:rsidR="0008009C" w:rsidRDefault="00936FDF">
            <w:pPr>
              <w:jc w:val="right"/>
              <w:textAlignment w:val="bottom"/>
            </w:pPr>
            <w:r>
              <w:rPr>
                <w:rFonts w:ascii="Arial" w:eastAsia="宋体" w:hAnsi="Arial" w:cs="Arial"/>
                <w:color w:val="262626"/>
                <w:sz w:val="18"/>
                <w:szCs w:val="18"/>
              </w:rPr>
              <w:t>1,830 </w:t>
            </w:r>
          </w:p>
        </w:tc>
        <w:tc>
          <w:tcPr>
            <w:tcW w:w="0" w:type="auto"/>
            <w:tcBorders>
              <w:top w:val="single" w:sz="8" w:space="0" w:color="0068B5"/>
            </w:tcBorders>
            <w:shd w:val="clear" w:color="auto" w:fill="auto"/>
            <w:tcMar>
              <w:top w:w="40" w:type="dxa"/>
              <w:left w:w="0" w:type="dxa"/>
              <w:bottom w:w="40" w:type="dxa"/>
              <w:right w:w="20" w:type="dxa"/>
            </w:tcMar>
            <w:vAlign w:val="bottom"/>
          </w:tcPr>
          <w:p w14:paraId="5C7C607C" w14:textId="77777777" w:rsidR="0008009C" w:rsidRDefault="0008009C">
            <w:pPr>
              <w:jc w:val="right"/>
              <w:rPr>
                <w:rFonts w:ascii="宋体"/>
              </w:rPr>
            </w:pPr>
          </w:p>
        </w:tc>
      </w:tr>
      <w:tr w:rsidR="0008009C" w14:paraId="5C7C6085" w14:textId="77777777">
        <w:tc>
          <w:tcPr>
            <w:tcW w:w="0" w:type="auto"/>
            <w:gridSpan w:val="3"/>
            <w:shd w:val="clear" w:color="auto" w:fill="auto"/>
            <w:tcMar>
              <w:top w:w="40" w:type="dxa"/>
              <w:left w:w="20" w:type="dxa"/>
              <w:bottom w:w="40" w:type="dxa"/>
              <w:right w:w="20" w:type="dxa"/>
            </w:tcMar>
          </w:tcPr>
          <w:p w14:paraId="5C7C607E" w14:textId="77777777" w:rsidR="0008009C" w:rsidRDefault="00936FDF">
            <w:pPr>
              <w:textAlignment w:val="top"/>
            </w:pPr>
            <w:r>
              <w:rPr>
                <w:rFonts w:ascii="Arial" w:eastAsia="宋体" w:hAnsi="Arial" w:cs="Arial"/>
                <w:color w:val="262626"/>
                <w:sz w:val="18"/>
                <w:szCs w:val="18"/>
              </w:rPr>
              <w:t xml:space="preserve">Non-marketable equity securities </w:t>
            </w:r>
          </w:p>
        </w:tc>
        <w:tc>
          <w:tcPr>
            <w:tcW w:w="0" w:type="auto"/>
            <w:gridSpan w:val="3"/>
            <w:shd w:val="clear" w:color="auto" w:fill="auto"/>
            <w:tcMar>
              <w:top w:w="0" w:type="dxa"/>
              <w:left w:w="20" w:type="dxa"/>
              <w:bottom w:w="0" w:type="dxa"/>
              <w:right w:w="20" w:type="dxa"/>
            </w:tcMar>
          </w:tcPr>
          <w:p w14:paraId="5C7C607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080" w14:textId="77777777" w:rsidR="0008009C" w:rsidRDefault="00936FDF">
            <w:pPr>
              <w:jc w:val="right"/>
              <w:textAlignment w:val="bottom"/>
            </w:pPr>
            <w:r>
              <w:rPr>
                <w:rFonts w:ascii="Arial" w:eastAsia="宋体" w:hAnsi="Arial" w:cs="Arial"/>
                <w:color w:val="0068B5"/>
                <w:sz w:val="18"/>
                <w:szCs w:val="18"/>
              </w:rPr>
              <w:t>3,864 </w:t>
            </w:r>
          </w:p>
        </w:tc>
        <w:tc>
          <w:tcPr>
            <w:tcW w:w="0" w:type="auto"/>
            <w:shd w:val="clear" w:color="auto" w:fill="auto"/>
            <w:tcMar>
              <w:top w:w="40" w:type="dxa"/>
              <w:left w:w="0" w:type="dxa"/>
              <w:bottom w:w="40" w:type="dxa"/>
              <w:right w:w="20" w:type="dxa"/>
            </w:tcMar>
            <w:vAlign w:val="bottom"/>
          </w:tcPr>
          <w:p w14:paraId="5C7C608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08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083" w14:textId="77777777" w:rsidR="0008009C" w:rsidRDefault="00936FDF">
            <w:pPr>
              <w:jc w:val="right"/>
              <w:textAlignment w:val="bottom"/>
            </w:pPr>
            <w:r>
              <w:rPr>
                <w:rFonts w:ascii="Arial" w:eastAsia="宋体" w:hAnsi="Arial" w:cs="Arial"/>
                <w:color w:val="262626"/>
                <w:sz w:val="18"/>
                <w:szCs w:val="18"/>
              </w:rPr>
              <w:t>3,304 </w:t>
            </w:r>
          </w:p>
        </w:tc>
        <w:tc>
          <w:tcPr>
            <w:tcW w:w="0" w:type="auto"/>
            <w:shd w:val="clear" w:color="auto" w:fill="auto"/>
            <w:tcMar>
              <w:top w:w="40" w:type="dxa"/>
              <w:left w:w="0" w:type="dxa"/>
              <w:bottom w:w="40" w:type="dxa"/>
              <w:right w:w="20" w:type="dxa"/>
            </w:tcMar>
            <w:vAlign w:val="bottom"/>
          </w:tcPr>
          <w:p w14:paraId="5C7C6084" w14:textId="77777777" w:rsidR="0008009C" w:rsidRDefault="0008009C">
            <w:pPr>
              <w:jc w:val="right"/>
              <w:rPr>
                <w:rFonts w:ascii="宋体"/>
              </w:rPr>
            </w:pPr>
          </w:p>
        </w:tc>
      </w:tr>
      <w:tr w:rsidR="0008009C" w14:paraId="5C7C608D" w14:textId="77777777">
        <w:tc>
          <w:tcPr>
            <w:tcW w:w="0" w:type="auto"/>
            <w:gridSpan w:val="3"/>
            <w:shd w:val="clear" w:color="auto" w:fill="auto"/>
            <w:tcMar>
              <w:top w:w="40" w:type="dxa"/>
              <w:left w:w="20" w:type="dxa"/>
              <w:bottom w:w="40" w:type="dxa"/>
              <w:right w:w="20" w:type="dxa"/>
            </w:tcMar>
          </w:tcPr>
          <w:p w14:paraId="5C7C6086" w14:textId="77777777" w:rsidR="0008009C" w:rsidRDefault="00936FDF">
            <w:pPr>
              <w:textAlignment w:val="top"/>
            </w:pPr>
            <w:r>
              <w:rPr>
                <w:rFonts w:ascii="Arial" w:eastAsia="宋体" w:hAnsi="Arial" w:cs="Arial"/>
                <w:color w:val="262626"/>
                <w:sz w:val="18"/>
                <w:szCs w:val="18"/>
              </w:rPr>
              <w:t>Equity method investments</w:t>
            </w:r>
          </w:p>
        </w:tc>
        <w:tc>
          <w:tcPr>
            <w:tcW w:w="0" w:type="auto"/>
            <w:gridSpan w:val="3"/>
            <w:shd w:val="clear" w:color="auto" w:fill="auto"/>
            <w:tcMar>
              <w:top w:w="0" w:type="dxa"/>
              <w:left w:w="20" w:type="dxa"/>
              <w:bottom w:w="0" w:type="dxa"/>
              <w:right w:w="20" w:type="dxa"/>
            </w:tcMar>
          </w:tcPr>
          <w:p w14:paraId="5C7C608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088" w14:textId="77777777" w:rsidR="0008009C" w:rsidRDefault="00936FDF">
            <w:pPr>
              <w:jc w:val="right"/>
              <w:textAlignment w:val="bottom"/>
            </w:pPr>
            <w:r>
              <w:rPr>
                <w:rFonts w:ascii="Arial" w:eastAsia="宋体" w:hAnsi="Arial" w:cs="Arial"/>
                <w:color w:val="0068B5"/>
                <w:sz w:val="18"/>
                <w:szCs w:val="18"/>
              </w:rPr>
              <w:t>17 </w:t>
            </w:r>
          </w:p>
        </w:tc>
        <w:tc>
          <w:tcPr>
            <w:tcW w:w="0" w:type="auto"/>
            <w:shd w:val="clear" w:color="auto" w:fill="auto"/>
            <w:tcMar>
              <w:top w:w="40" w:type="dxa"/>
              <w:left w:w="0" w:type="dxa"/>
              <w:bottom w:w="40" w:type="dxa"/>
              <w:right w:w="20" w:type="dxa"/>
            </w:tcMar>
            <w:vAlign w:val="bottom"/>
          </w:tcPr>
          <w:p w14:paraId="5C7C608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08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08B" w14:textId="77777777" w:rsidR="0008009C" w:rsidRDefault="00936FDF">
            <w:pPr>
              <w:jc w:val="right"/>
              <w:textAlignment w:val="bottom"/>
            </w:pPr>
            <w:r>
              <w:rPr>
                <w:rFonts w:ascii="Arial" w:eastAsia="宋体" w:hAnsi="Arial" w:cs="Arial"/>
                <w:color w:val="262626"/>
                <w:sz w:val="18"/>
                <w:szCs w:val="18"/>
              </w:rPr>
              <w:t>18 </w:t>
            </w:r>
          </w:p>
        </w:tc>
        <w:tc>
          <w:tcPr>
            <w:tcW w:w="0" w:type="auto"/>
            <w:shd w:val="clear" w:color="auto" w:fill="auto"/>
            <w:tcMar>
              <w:top w:w="40" w:type="dxa"/>
              <w:left w:w="0" w:type="dxa"/>
              <w:bottom w:w="40" w:type="dxa"/>
              <w:right w:w="20" w:type="dxa"/>
            </w:tcMar>
            <w:vAlign w:val="bottom"/>
          </w:tcPr>
          <w:p w14:paraId="5C7C608C" w14:textId="77777777" w:rsidR="0008009C" w:rsidRDefault="0008009C">
            <w:pPr>
              <w:jc w:val="right"/>
              <w:rPr>
                <w:rFonts w:ascii="宋体"/>
              </w:rPr>
            </w:pPr>
          </w:p>
        </w:tc>
      </w:tr>
      <w:tr w:rsidR="0008009C" w14:paraId="5C7C6097" w14:textId="77777777">
        <w:tc>
          <w:tcPr>
            <w:tcW w:w="0" w:type="auto"/>
            <w:gridSpan w:val="3"/>
            <w:shd w:val="clear" w:color="auto" w:fill="auto"/>
            <w:tcMar>
              <w:top w:w="40" w:type="dxa"/>
              <w:left w:w="20" w:type="dxa"/>
              <w:bottom w:w="40" w:type="dxa"/>
              <w:right w:w="20" w:type="dxa"/>
            </w:tcMar>
          </w:tcPr>
          <w:p w14:paraId="5C7C608E" w14:textId="77777777" w:rsidR="0008009C" w:rsidRDefault="00936FDF">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tcPr>
          <w:p w14:paraId="5C7C608F"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090"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091" w14:textId="77777777" w:rsidR="0008009C" w:rsidRDefault="00936FDF">
            <w:pPr>
              <w:jc w:val="right"/>
              <w:textAlignment w:val="bottom"/>
            </w:pPr>
            <w:r>
              <w:rPr>
                <w:rFonts w:ascii="Arial" w:eastAsia="宋体" w:hAnsi="Arial" w:cs="Arial"/>
                <w:b/>
                <w:bCs/>
                <w:color w:val="0068B5"/>
                <w:sz w:val="18"/>
                <w:szCs w:val="18"/>
              </w:rPr>
              <w:t>5,404</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09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093"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094"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095" w14:textId="77777777" w:rsidR="0008009C" w:rsidRDefault="00936FDF">
            <w:pPr>
              <w:jc w:val="right"/>
              <w:textAlignment w:val="bottom"/>
            </w:pPr>
            <w:r>
              <w:rPr>
                <w:rFonts w:ascii="Arial" w:eastAsia="宋体" w:hAnsi="Arial" w:cs="Arial"/>
                <w:b/>
                <w:bCs/>
                <w:color w:val="262626"/>
                <w:sz w:val="18"/>
                <w:szCs w:val="18"/>
              </w:rPr>
              <w:t>5,152</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096" w14:textId="77777777" w:rsidR="0008009C" w:rsidRDefault="0008009C">
            <w:pPr>
              <w:jc w:val="right"/>
              <w:rPr>
                <w:rFonts w:ascii="宋体"/>
              </w:rPr>
            </w:pPr>
          </w:p>
        </w:tc>
      </w:tr>
    </w:tbl>
    <w:p w14:paraId="5C7C6098" w14:textId="77777777" w:rsidR="0008009C" w:rsidRDefault="00936FDF">
      <w:pPr>
        <w:spacing w:after="120"/>
      </w:pPr>
      <w:r>
        <w:rPr>
          <w:rFonts w:ascii="Arial" w:eastAsia="宋体" w:hAnsi="Arial" w:cs="Arial"/>
          <w:color w:val="262626"/>
          <w:sz w:val="18"/>
          <w:szCs w:val="18"/>
        </w:rPr>
        <w:t xml:space="preserve">The components of gains (losses) on equity investments, net for each period </w:t>
      </w:r>
      <w:r>
        <w:rPr>
          <w:rFonts w:ascii="Arial" w:eastAsia="宋体" w:hAnsi="Arial" w:cs="Arial"/>
          <w:color w:val="262626"/>
          <w:sz w:val="18"/>
          <w:szCs w:val="18"/>
        </w:rPr>
        <w:t>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995"/>
        <w:gridCol w:w="36"/>
        <w:gridCol w:w="36"/>
        <w:gridCol w:w="36"/>
        <w:gridCol w:w="36"/>
        <w:gridCol w:w="121"/>
        <w:gridCol w:w="796"/>
        <w:gridCol w:w="36"/>
        <w:gridCol w:w="36"/>
        <w:gridCol w:w="36"/>
        <w:gridCol w:w="36"/>
        <w:gridCol w:w="121"/>
        <w:gridCol w:w="796"/>
        <w:gridCol w:w="36"/>
        <w:gridCol w:w="36"/>
        <w:gridCol w:w="36"/>
        <w:gridCol w:w="36"/>
        <w:gridCol w:w="36"/>
      </w:tblGrid>
      <w:tr w:rsidR="0008009C" w14:paraId="5C7C60AC" w14:textId="77777777">
        <w:tc>
          <w:tcPr>
            <w:tcW w:w="50" w:type="pct"/>
            <w:shd w:val="clear" w:color="auto" w:fill="auto"/>
          </w:tcPr>
          <w:p w14:paraId="5C7C6099" w14:textId="77777777" w:rsidR="0008009C" w:rsidRDefault="0008009C">
            <w:pPr>
              <w:rPr>
                <w:rFonts w:ascii="宋体"/>
              </w:rPr>
            </w:pPr>
          </w:p>
        </w:tc>
        <w:tc>
          <w:tcPr>
            <w:tcW w:w="3688" w:type="pct"/>
            <w:shd w:val="clear" w:color="auto" w:fill="auto"/>
          </w:tcPr>
          <w:p w14:paraId="5C7C609A" w14:textId="77777777" w:rsidR="0008009C" w:rsidRDefault="0008009C">
            <w:pPr>
              <w:rPr>
                <w:rFonts w:ascii="宋体"/>
              </w:rPr>
            </w:pPr>
          </w:p>
        </w:tc>
        <w:tc>
          <w:tcPr>
            <w:tcW w:w="5" w:type="pct"/>
            <w:shd w:val="clear" w:color="auto" w:fill="auto"/>
          </w:tcPr>
          <w:p w14:paraId="5C7C609B" w14:textId="77777777" w:rsidR="0008009C" w:rsidRDefault="0008009C">
            <w:pPr>
              <w:rPr>
                <w:rFonts w:ascii="宋体"/>
              </w:rPr>
            </w:pPr>
          </w:p>
        </w:tc>
        <w:tc>
          <w:tcPr>
            <w:tcW w:w="5" w:type="pct"/>
            <w:shd w:val="clear" w:color="auto" w:fill="auto"/>
          </w:tcPr>
          <w:p w14:paraId="5C7C609C" w14:textId="77777777" w:rsidR="0008009C" w:rsidRDefault="0008009C">
            <w:pPr>
              <w:rPr>
                <w:rFonts w:ascii="宋体"/>
              </w:rPr>
            </w:pPr>
          </w:p>
        </w:tc>
        <w:tc>
          <w:tcPr>
            <w:tcW w:w="24" w:type="pct"/>
            <w:shd w:val="clear" w:color="auto" w:fill="auto"/>
          </w:tcPr>
          <w:p w14:paraId="5C7C609D" w14:textId="77777777" w:rsidR="0008009C" w:rsidRDefault="0008009C">
            <w:pPr>
              <w:rPr>
                <w:rFonts w:ascii="宋体"/>
              </w:rPr>
            </w:pPr>
          </w:p>
        </w:tc>
        <w:tc>
          <w:tcPr>
            <w:tcW w:w="5" w:type="pct"/>
            <w:shd w:val="clear" w:color="auto" w:fill="auto"/>
          </w:tcPr>
          <w:p w14:paraId="5C7C609E" w14:textId="77777777" w:rsidR="0008009C" w:rsidRDefault="0008009C">
            <w:pPr>
              <w:rPr>
                <w:rFonts w:ascii="宋体"/>
              </w:rPr>
            </w:pPr>
          </w:p>
        </w:tc>
        <w:tc>
          <w:tcPr>
            <w:tcW w:w="50" w:type="pct"/>
            <w:shd w:val="clear" w:color="auto" w:fill="auto"/>
          </w:tcPr>
          <w:p w14:paraId="5C7C609F" w14:textId="77777777" w:rsidR="0008009C" w:rsidRDefault="0008009C">
            <w:pPr>
              <w:rPr>
                <w:rFonts w:ascii="宋体"/>
              </w:rPr>
            </w:pPr>
          </w:p>
        </w:tc>
        <w:tc>
          <w:tcPr>
            <w:tcW w:w="539" w:type="pct"/>
            <w:shd w:val="clear" w:color="auto" w:fill="auto"/>
          </w:tcPr>
          <w:p w14:paraId="5C7C60A0" w14:textId="77777777" w:rsidR="0008009C" w:rsidRDefault="0008009C">
            <w:pPr>
              <w:rPr>
                <w:rFonts w:ascii="宋体"/>
              </w:rPr>
            </w:pPr>
          </w:p>
        </w:tc>
        <w:tc>
          <w:tcPr>
            <w:tcW w:w="5" w:type="pct"/>
            <w:shd w:val="clear" w:color="auto" w:fill="auto"/>
          </w:tcPr>
          <w:p w14:paraId="5C7C60A1" w14:textId="77777777" w:rsidR="0008009C" w:rsidRDefault="0008009C">
            <w:pPr>
              <w:rPr>
                <w:rFonts w:ascii="宋体"/>
              </w:rPr>
            </w:pPr>
          </w:p>
        </w:tc>
        <w:tc>
          <w:tcPr>
            <w:tcW w:w="5" w:type="pct"/>
            <w:shd w:val="clear" w:color="auto" w:fill="auto"/>
          </w:tcPr>
          <w:p w14:paraId="5C7C60A2" w14:textId="77777777" w:rsidR="0008009C" w:rsidRDefault="0008009C">
            <w:pPr>
              <w:rPr>
                <w:rFonts w:ascii="宋体"/>
              </w:rPr>
            </w:pPr>
          </w:p>
        </w:tc>
        <w:tc>
          <w:tcPr>
            <w:tcW w:w="24" w:type="pct"/>
            <w:shd w:val="clear" w:color="auto" w:fill="auto"/>
          </w:tcPr>
          <w:p w14:paraId="5C7C60A3" w14:textId="77777777" w:rsidR="0008009C" w:rsidRDefault="0008009C">
            <w:pPr>
              <w:rPr>
                <w:rFonts w:ascii="宋体"/>
              </w:rPr>
            </w:pPr>
          </w:p>
        </w:tc>
        <w:tc>
          <w:tcPr>
            <w:tcW w:w="5" w:type="pct"/>
            <w:shd w:val="clear" w:color="auto" w:fill="auto"/>
          </w:tcPr>
          <w:p w14:paraId="5C7C60A4" w14:textId="77777777" w:rsidR="0008009C" w:rsidRDefault="0008009C">
            <w:pPr>
              <w:rPr>
                <w:rFonts w:ascii="宋体"/>
              </w:rPr>
            </w:pPr>
          </w:p>
        </w:tc>
        <w:tc>
          <w:tcPr>
            <w:tcW w:w="50" w:type="pct"/>
            <w:shd w:val="clear" w:color="auto" w:fill="auto"/>
          </w:tcPr>
          <w:p w14:paraId="5C7C60A5" w14:textId="77777777" w:rsidR="0008009C" w:rsidRDefault="0008009C">
            <w:pPr>
              <w:rPr>
                <w:rFonts w:ascii="宋体"/>
              </w:rPr>
            </w:pPr>
          </w:p>
        </w:tc>
        <w:tc>
          <w:tcPr>
            <w:tcW w:w="539" w:type="pct"/>
            <w:shd w:val="clear" w:color="auto" w:fill="auto"/>
          </w:tcPr>
          <w:p w14:paraId="5C7C60A6" w14:textId="77777777" w:rsidR="0008009C" w:rsidRDefault="0008009C">
            <w:pPr>
              <w:rPr>
                <w:rFonts w:ascii="宋体"/>
              </w:rPr>
            </w:pPr>
          </w:p>
        </w:tc>
        <w:tc>
          <w:tcPr>
            <w:tcW w:w="5" w:type="pct"/>
            <w:shd w:val="clear" w:color="auto" w:fill="auto"/>
          </w:tcPr>
          <w:p w14:paraId="5C7C60A7" w14:textId="77777777" w:rsidR="0008009C" w:rsidRDefault="0008009C">
            <w:pPr>
              <w:rPr>
                <w:rFonts w:ascii="宋体"/>
              </w:rPr>
            </w:pPr>
          </w:p>
        </w:tc>
        <w:tc>
          <w:tcPr>
            <w:tcW w:w="0" w:type="auto"/>
            <w:shd w:val="clear" w:color="auto" w:fill="auto"/>
          </w:tcPr>
          <w:p w14:paraId="5C7C60A8" w14:textId="77777777" w:rsidR="0008009C" w:rsidRDefault="0008009C">
            <w:pPr>
              <w:rPr>
                <w:rFonts w:ascii="宋体"/>
                <w:vanish/>
              </w:rPr>
            </w:pPr>
          </w:p>
        </w:tc>
        <w:tc>
          <w:tcPr>
            <w:tcW w:w="0" w:type="auto"/>
            <w:shd w:val="clear" w:color="auto" w:fill="auto"/>
          </w:tcPr>
          <w:p w14:paraId="5C7C60A9" w14:textId="77777777" w:rsidR="0008009C" w:rsidRDefault="0008009C">
            <w:pPr>
              <w:rPr>
                <w:rFonts w:ascii="宋体"/>
                <w:vanish/>
              </w:rPr>
            </w:pPr>
          </w:p>
        </w:tc>
        <w:tc>
          <w:tcPr>
            <w:tcW w:w="0" w:type="auto"/>
            <w:shd w:val="clear" w:color="auto" w:fill="auto"/>
          </w:tcPr>
          <w:p w14:paraId="5C7C60AA" w14:textId="77777777" w:rsidR="0008009C" w:rsidRDefault="0008009C">
            <w:pPr>
              <w:rPr>
                <w:rFonts w:ascii="宋体"/>
                <w:vanish/>
              </w:rPr>
            </w:pPr>
          </w:p>
        </w:tc>
        <w:tc>
          <w:tcPr>
            <w:tcW w:w="0" w:type="auto"/>
            <w:shd w:val="clear" w:color="auto" w:fill="auto"/>
          </w:tcPr>
          <w:p w14:paraId="5C7C60AB" w14:textId="77777777" w:rsidR="0008009C" w:rsidRDefault="0008009C">
            <w:pPr>
              <w:rPr>
                <w:rFonts w:ascii="宋体"/>
                <w:vanish/>
              </w:rPr>
            </w:pPr>
          </w:p>
        </w:tc>
      </w:tr>
      <w:tr w:rsidR="0008009C" w14:paraId="5C7C60B4" w14:textId="77777777">
        <w:tc>
          <w:tcPr>
            <w:tcW w:w="0" w:type="auto"/>
            <w:gridSpan w:val="3"/>
            <w:shd w:val="clear" w:color="auto" w:fill="auto"/>
            <w:tcMar>
              <w:top w:w="40" w:type="dxa"/>
              <w:left w:w="200" w:type="dxa"/>
              <w:bottom w:w="40" w:type="dxa"/>
              <w:right w:w="20" w:type="dxa"/>
            </w:tcMar>
            <w:vAlign w:val="bottom"/>
          </w:tcPr>
          <w:p w14:paraId="5C7C60AD" w14:textId="77777777" w:rsidR="0008009C" w:rsidRDefault="00936FDF">
            <w:pPr>
              <w:textAlignment w:val="bottom"/>
            </w:pPr>
            <w:r>
              <w:rPr>
                <w:rFonts w:ascii="Arial" w:eastAsia="宋体" w:hAnsi="Arial" w:cs="Arial"/>
                <w:color w:val="262626"/>
                <w:sz w:val="16"/>
                <w:szCs w:val="16"/>
              </w:rPr>
              <w:t> </w:t>
            </w:r>
          </w:p>
        </w:tc>
        <w:tc>
          <w:tcPr>
            <w:tcW w:w="0" w:type="auto"/>
            <w:gridSpan w:val="3"/>
            <w:shd w:val="clear" w:color="auto" w:fill="auto"/>
            <w:tcMar>
              <w:top w:w="0" w:type="dxa"/>
              <w:left w:w="20" w:type="dxa"/>
              <w:bottom w:w="0" w:type="dxa"/>
              <w:right w:w="20" w:type="dxa"/>
            </w:tcMar>
          </w:tcPr>
          <w:p w14:paraId="5C7C60AE"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bottom"/>
          </w:tcPr>
          <w:p w14:paraId="5C7C60AF" w14:textId="77777777" w:rsidR="0008009C" w:rsidRDefault="00936FDF">
            <w:pPr>
              <w:jc w:val="center"/>
              <w:textAlignment w:val="bottom"/>
            </w:pPr>
            <w:r>
              <w:rPr>
                <w:rFonts w:ascii="Arial" w:eastAsia="宋体" w:hAnsi="Arial" w:cs="Arial"/>
                <w:b/>
                <w:bCs/>
                <w:color w:val="262626"/>
                <w:sz w:val="18"/>
                <w:szCs w:val="18"/>
              </w:rPr>
              <w:t>Three Months Ended</w:t>
            </w:r>
          </w:p>
        </w:tc>
        <w:tc>
          <w:tcPr>
            <w:tcW w:w="0" w:type="auto"/>
            <w:shd w:val="clear" w:color="auto" w:fill="auto"/>
          </w:tcPr>
          <w:p w14:paraId="5C7C60B0" w14:textId="77777777" w:rsidR="0008009C" w:rsidRDefault="0008009C">
            <w:pPr>
              <w:rPr>
                <w:rFonts w:ascii="宋体"/>
                <w:vanish/>
              </w:rPr>
            </w:pPr>
          </w:p>
        </w:tc>
        <w:tc>
          <w:tcPr>
            <w:tcW w:w="0" w:type="auto"/>
            <w:shd w:val="clear" w:color="auto" w:fill="auto"/>
          </w:tcPr>
          <w:p w14:paraId="5C7C60B1" w14:textId="77777777" w:rsidR="0008009C" w:rsidRDefault="0008009C">
            <w:pPr>
              <w:rPr>
                <w:rFonts w:ascii="宋体"/>
                <w:vanish/>
              </w:rPr>
            </w:pPr>
          </w:p>
        </w:tc>
        <w:tc>
          <w:tcPr>
            <w:tcW w:w="0" w:type="auto"/>
            <w:shd w:val="clear" w:color="auto" w:fill="auto"/>
          </w:tcPr>
          <w:p w14:paraId="5C7C60B2" w14:textId="77777777" w:rsidR="0008009C" w:rsidRDefault="0008009C">
            <w:pPr>
              <w:rPr>
                <w:rFonts w:ascii="宋体"/>
                <w:vanish/>
              </w:rPr>
            </w:pPr>
          </w:p>
        </w:tc>
        <w:tc>
          <w:tcPr>
            <w:tcW w:w="0" w:type="auto"/>
            <w:shd w:val="clear" w:color="auto" w:fill="auto"/>
          </w:tcPr>
          <w:p w14:paraId="5C7C60B3" w14:textId="77777777" w:rsidR="0008009C" w:rsidRDefault="0008009C">
            <w:pPr>
              <w:rPr>
                <w:rFonts w:ascii="宋体"/>
                <w:vanish/>
              </w:rPr>
            </w:pPr>
          </w:p>
        </w:tc>
      </w:tr>
      <w:tr w:rsidR="0008009C" w14:paraId="5C7C60BE" w14:textId="77777777">
        <w:tc>
          <w:tcPr>
            <w:tcW w:w="0" w:type="auto"/>
            <w:gridSpan w:val="3"/>
            <w:shd w:val="clear" w:color="auto" w:fill="auto"/>
            <w:tcMar>
              <w:top w:w="40" w:type="dxa"/>
              <w:left w:w="20" w:type="dxa"/>
              <w:bottom w:w="40" w:type="dxa"/>
              <w:right w:w="20" w:type="dxa"/>
            </w:tcMar>
            <w:vAlign w:val="bottom"/>
          </w:tcPr>
          <w:p w14:paraId="5C7C60B5"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60B6"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0B7"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tcBorders>
              <w:top w:val="single" w:sz="8" w:space="0" w:color="0068B5"/>
            </w:tcBorders>
            <w:shd w:val="clear" w:color="auto" w:fill="auto"/>
            <w:tcMar>
              <w:top w:w="0" w:type="dxa"/>
              <w:left w:w="20" w:type="dxa"/>
              <w:bottom w:w="0" w:type="dxa"/>
              <w:right w:w="20" w:type="dxa"/>
            </w:tcMar>
          </w:tcPr>
          <w:p w14:paraId="5C7C60B8"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0B9" w14:textId="77777777" w:rsidR="0008009C" w:rsidRDefault="00936FDF">
            <w:pPr>
              <w:jc w:val="center"/>
              <w:textAlignment w:val="bottom"/>
            </w:pPr>
            <w:r>
              <w:rPr>
                <w:rFonts w:ascii="Arial" w:eastAsia="宋体" w:hAnsi="Arial" w:cs="Arial"/>
                <w:b/>
                <w:bCs/>
                <w:color w:val="262626"/>
                <w:sz w:val="18"/>
                <w:szCs w:val="18"/>
              </w:rPr>
              <w:t>Mar 28, 2020</w:t>
            </w:r>
          </w:p>
        </w:tc>
        <w:tc>
          <w:tcPr>
            <w:tcW w:w="0" w:type="auto"/>
            <w:shd w:val="clear" w:color="auto" w:fill="auto"/>
          </w:tcPr>
          <w:p w14:paraId="5C7C60BA" w14:textId="77777777" w:rsidR="0008009C" w:rsidRDefault="0008009C">
            <w:pPr>
              <w:rPr>
                <w:rFonts w:ascii="宋体"/>
                <w:vanish/>
              </w:rPr>
            </w:pPr>
          </w:p>
        </w:tc>
        <w:tc>
          <w:tcPr>
            <w:tcW w:w="0" w:type="auto"/>
            <w:shd w:val="clear" w:color="auto" w:fill="auto"/>
          </w:tcPr>
          <w:p w14:paraId="5C7C60BB" w14:textId="77777777" w:rsidR="0008009C" w:rsidRDefault="0008009C">
            <w:pPr>
              <w:rPr>
                <w:rFonts w:ascii="宋体"/>
                <w:vanish/>
              </w:rPr>
            </w:pPr>
          </w:p>
        </w:tc>
        <w:tc>
          <w:tcPr>
            <w:tcW w:w="0" w:type="auto"/>
            <w:shd w:val="clear" w:color="auto" w:fill="auto"/>
          </w:tcPr>
          <w:p w14:paraId="5C7C60BC" w14:textId="77777777" w:rsidR="0008009C" w:rsidRDefault="0008009C">
            <w:pPr>
              <w:rPr>
                <w:rFonts w:ascii="宋体"/>
                <w:vanish/>
              </w:rPr>
            </w:pPr>
          </w:p>
        </w:tc>
        <w:tc>
          <w:tcPr>
            <w:tcW w:w="0" w:type="auto"/>
            <w:shd w:val="clear" w:color="auto" w:fill="auto"/>
          </w:tcPr>
          <w:p w14:paraId="5C7C60BD" w14:textId="77777777" w:rsidR="0008009C" w:rsidRDefault="0008009C">
            <w:pPr>
              <w:rPr>
                <w:rFonts w:ascii="宋体"/>
                <w:vanish/>
              </w:rPr>
            </w:pPr>
          </w:p>
        </w:tc>
      </w:tr>
      <w:tr w:rsidR="0008009C" w14:paraId="5C7C60CC"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60BF" w14:textId="77777777" w:rsidR="0008009C" w:rsidRDefault="00936FDF">
            <w:pPr>
              <w:textAlignment w:val="top"/>
            </w:pPr>
            <w:r>
              <w:rPr>
                <w:rFonts w:ascii="Arial" w:eastAsia="宋体" w:hAnsi="Arial" w:cs="Arial"/>
                <w:color w:val="262626"/>
                <w:sz w:val="18"/>
                <w:szCs w:val="18"/>
              </w:rPr>
              <w:t>Ongoing mark-to-market adjustments on marketable equity securities</w:t>
            </w:r>
          </w:p>
        </w:tc>
        <w:tc>
          <w:tcPr>
            <w:tcW w:w="0" w:type="auto"/>
            <w:gridSpan w:val="3"/>
            <w:shd w:val="clear" w:color="auto" w:fill="auto"/>
            <w:tcMar>
              <w:top w:w="0" w:type="dxa"/>
              <w:left w:w="20" w:type="dxa"/>
              <w:bottom w:w="0" w:type="dxa"/>
              <w:right w:w="20" w:type="dxa"/>
            </w:tcMar>
          </w:tcPr>
          <w:p w14:paraId="5C7C60C0"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0C1"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0C2" w14:textId="77777777" w:rsidR="0008009C" w:rsidRDefault="00936FDF">
            <w:pPr>
              <w:jc w:val="right"/>
              <w:textAlignment w:val="bottom"/>
            </w:pPr>
            <w:r>
              <w:rPr>
                <w:rFonts w:ascii="Arial" w:eastAsia="宋体" w:hAnsi="Arial" w:cs="Arial"/>
                <w:color w:val="0068B5"/>
                <w:sz w:val="18"/>
                <w:szCs w:val="18"/>
              </w:rPr>
              <w:t>(291)</w:t>
            </w:r>
          </w:p>
        </w:tc>
        <w:tc>
          <w:tcPr>
            <w:tcW w:w="0" w:type="auto"/>
            <w:tcBorders>
              <w:top w:val="single" w:sz="8" w:space="0" w:color="0068B5"/>
            </w:tcBorders>
            <w:shd w:val="clear" w:color="auto" w:fill="auto"/>
            <w:tcMar>
              <w:top w:w="40" w:type="dxa"/>
              <w:left w:w="0" w:type="dxa"/>
              <w:bottom w:w="40" w:type="dxa"/>
              <w:right w:w="20" w:type="dxa"/>
            </w:tcMar>
            <w:vAlign w:val="bottom"/>
          </w:tcPr>
          <w:p w14:paraId="5C7C60C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0C4"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0C5" w14:textId="77777777" w:rsidR="0008009C" w:rsidRDefault="00936FDF">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0C6" w14:textId="77777777" w:rsidR="0008009C" w:rsidRDefault="00936FDF">
            <w:pPr>
              <w:jc w:val="right"/>
              <w:textAlignment w:val="bottom"/>
            </w:pPr>
            <w:r>
              <w:rPr>
                <w:rFonts w:ascii="Arial" w:eastAsia="宋体" w:hAnsi="Arial" w:cs="Arial"/>
                <w:color w:val="262626"/>
                <w:sz w:val="18"/>
                <w:szCs w:val="18"/>
              </w:rPr>
              <w:t>(103)</w:t>
            </w:r>
          </w:p>
        </w:tc>
        <w:tc>
          <w:tcPr>
            <w:tcW w:w="0" w:type="auto"/>
            <w:tcBorders>
              <w:top w:val="single" w:sz="8" w:space="0" w:color="0068B5"/>
            </w:tcBorders>
            <w:shd w:val="clear" w:color="auto" w:fill="auto"/>
            <w:tcMar>
              <w:top w:w="40" w:type="dxa"/>
              <w:left w:w="0" w:type="dxa"/>
              <w:bottom w:w="40" w:type="dxa"/>
              <w:right w:w="20" w:type="dxa"/>
            </w:tcMar>
            <w:vAlign w:val="bottom"/>
          </w:tcPr>
          <w:p w14:paraId="5C7C60C7" w14:textId="77777777" w:rsidR="0008009C" w:rsidRDefault="0008009C">
            <w:pPr>
              <w:jc w:val="right"/>
              <w:rPr>
                <w:rFonts w:ascii="宋体"/>
              </w:rPr>
            </w:pPr>
          </w:p>
        </w:tc>
        <w:tc>
          <w:tcPr>
            <w:tcW w:w="0" w:type="auto"/>
            <w:shd w:val="clear" w:color="auto" w:fill="auto"/>
          </w:tcPr>
          <w:p w14:paraId="5C7C60C8" w14:textId="77777777" w:rsidR="0008009C" w:rsidRDefault="0008009C">
            <w:pPr>
              <w:rPr>
                <w:rFonts w:ascii="宋体"/>
                <w:vanish/>
              </w:rPr>
            </w:pPr>
          </w:p>
        </w:tc>
        <w:tc>
          <w:tcPr>
            <w:tcW w:w="0" w:type="auto"/>
            <w:shd w:val="clear" w:color="auto" w:fill="auto"/>
          </w:tcPr>
          <w:p w14:paraId="5C7C60C9" w14:textId="77777777" w:rsidR="0008009C" w:rsidRDefault="0008009C">
            <w:pPr>
              <w:rPr>
                <w:rFonts w:ascii="宋体"/>
                <w:vanish/>
              </w:rPr>
            </w:pPr>
          </w:p>
        </w:tc>
        <w:tc>
          <w:tcPr>
            <w:tcW w:w="0" w:type="auto"/>
            <w:shd w:val="clear" w:color="auto" w:fill="auto"/>
          </w:tcPr>
          <w:p w14:paraId="5C7C60CA" w14:textId="77777777" w:rsidR="0008009C" w:rsidRDefault="0008009C">
            <w:pPr>
              <w:rPr>
                <w:rFonts w:ascii="宋体"/>
                <w:vanish/>
              </w:rPr>
            </w:pPr>
          </w:p>
        </w:tc>
        <w:tc>
          <w:tcPr>
            <w:tcW w:w="0" w:type="auto"/>
            <w:shd w:val="clear" w:color="auto" w:fill="auto"/>
          </w:tcPr>
          <w:p w14:paraId="5C7C60CB" w14:textId="77777777" w:rsidR="0008009C" w:rsidRDefault="0008009C">
            <w:pPr>
              <w:rPr>
                <w:rFonts w:ascii="宋体"/>
                <w:vanish/>
              </w:rPr>
            </w:pPr>
          </w:p>
        </w:tc>
      </w:tr>
      <w:tr w:rsidR="0008009C" w14:paraId="5C7C60D8" w14:textId="77777777">
        <w:tc>
          <w:tcPr>
            <w:tcW w:w="0" w:type="auto"/>
            <w:gridSpan w:val="3"/>
            <w:shd w:val="clear" w:color="auto" w:fill="auto"/>
            <w:tcMar>
              <w:top w:w="40" w:type="dxa"/>
              <w:left w:w="20" w:type="dxa"/>
              <w:bottom w:w="40" w:type="dxa"/>
              <w:right w:w="20" w:type="dxa"/>
            </w:tcMar>
            <w:vAlign w:val="bottom"/>
          </w:tcPr>
          <w:p w14:paraId="5C7C60CD" w14:textId="77777777" w:rsidR="0008009C" w:rsidRDefault="00936FDF">
            <w:pPr>
              <w:textAlignment w:val="bottom"/>
            </w:pPr>
            <w:r>
              <w:rPr>
                <w:rFonts w:ascii="Arial" w:eastAsia="宋体" w:hAnsi="Arial" w:cs="Arial"/>
                <w:color w:val="262626"/>
                <w:sz w:val="18"/>
                <w:szCs w:val="18"/>
              </w:rPr>
              <w:t>O</w:t>
            </w:r>
            <w:r>
              <w:rPr>
                <w:rFonts w:ascii="Arial" w:eastAsia="宋体" w:hAnsi="Arial" w:cs="Arial"/>
                <w:color w:val="262626"/>
                <w:sz w:val="18"/>
                <w:szCs w:val="18"/>
              </w:rPr>
              <w:t>bservable price adjustments on non-marketable equity securities</w:t>
            </w:r>
          </w:p>
        </w:tc>
        <w:tc>
          <w:tcPr>
            <w:tcW w:w="0" w:type="auto"/>
            <w:gridSpan w:val="3"/>
            <w:shd w:val="clear" w:color="auto" w:fill="auto"/>
            <w:tcMar>
              <w:top w:w="0" w:type="dxa"/>
              <w:left w:w="20" w:type="dxa"/>
              <w:bottom w:w="0" w:type="dxa"/>
              <w:right w:w="20" w:type="dxa"/>
            </w:tcMar>
          </w:tcPr>
          <w:p w14:paraId="5C7C60C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0CF" w14:textId="77777777" w:rsidR="0008009C" w:rsidRDefault="00936FDF">
            <w:pPr>
              <w:jc w:val="right"/>
              <w:textAlignment w:val="bottom"/>
            </w:pPr>
            <w:r>
              <w:rPr>
                <w:rFonts w:ascii="Arial" w:eastAsia="宋体" w:hAnsi="Arial" w:cs="Arial"/>
                <w:color w:val="0068B5"/>
                <w:sz w:val="18"/>
                <w:szCs w:val="18"/>
              </w:rPr>
              <w:t>551 </w:t>
            </w:r>
          </w:p>
        </w:tc>
        <w:tc>
          <w:tcPr>
            <w:tcW w:w="0" w:type="auto"/>
            <w:shd w:val="clear" w:color="auto" w:fill="auto"/>
            <w:tcMar>
              <w:top w:w="40" w:type="dxa"/>
              <w:left w:w="0" w:type="dxa"/>
              <w:bottom w:w="40" w:type="dxa"/>
              <w:right w:w="20" w:type="dxa"/>
            </w:tcMar>
            <w:vAlign w:val="bottom"/>
          </w:tcPr>
          <w:p w14:paraId="5C7C60D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0D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0D2" w14:textId="77777777" w:rsidR="0008009C" w:rsidRDefault="00936FDF">
            <w:pPr>
              <w:jc w:val="right"/>
              <w:textAlignment w:val="bottom"/>
            </w:pPr>
            <w:r>
              <w:rPr>
                <w:rFonts w:ascii="Arial" w:eastAsia="宋体" w:hAnsi="Arial" w:cs="Arial"/>
                <w:color w:val="262626"/>
                <w:sz w:val="18"/>
                <w:szCs w:val="18"/>
              </w:rPr>
              <w:t>79 </w:t>
            </w:r>
          </w:p>
        </w:tc>
        <w:tc>
          <w:tcPr>
            <w:tcW w:w="0" w:type="auto"/>
            <w:shd w:val="clear" w:color="auto" w:fill="auto"/>
            <w:tcMar>
              <w:top w:w="40" w:type="dxa"/>
              <w:left w:w="0" w:type="dxa"/>
              <w:bottom w:w="40" w:type="dxa"/>
              <w:right w:w="20" w:type="dxa"/>
            </w:tcMar>
            <w:vAlign w:val="bottom"/>
          </w:tcPr>
          <w:p w14:paraId="5C7C60D3" w14:textId="77777777" w:rsidR="0008009C" w:rsidRDefault="0008009C">
            <w:pPr>
              <w:jc w:val="right"/>
              <w:rPr>
                <w:rFonts w:ascii="宋体"/>
              </w:rPr>
            </w:pPr>
          </w:p>
        </w:tc>
        <w:tc>
          <w:tcPr>
            <w:tcW w:w="0" w:type="auto"/>
            <w:shd w:val="clear" w:color="auto" w:fill="auto"/>
          </w:tcPr>
          <w:p w14:paraId="5C7C60D4" w14:textId="77777777" w:rsidR="0008009C" w:rsidRDefault="0008009C">
            <w:pPr>
              <w:rPr>
                <w:rFonts w:ascii="宋体"/>
                <w:vanish/>
              </w:rPr>
            </w:pPr>
          </w:p>
        </w:tc>
        <w:tc>
          <w:tcPr>
            <w:tcW w:w="0" w:type="auto"/>
            <w:shd w:val="clear" w:color="auto" w:fill="auto"/>
          </w:tcPr>
          <w:p w14:paraId="5C7C60D5" w14:textId="77777777" w:rsidR="0008009C" w:rsidRDefault="0008009C">
            <w:pPr>
              <w:rPr>
                <w:rFonts w:ascii="宋体"/>
                <w:vanish/>
              </w:rPr>
            </w:pPr>
          </w:p>
        </w:tc>
        <w:tc>
          <w:tcPr>
            <w:tcW w:w="0" w:type="auto"/>
            <w:shd w:val="clear" w:color="auto" w:fill="auto"/>
          </w:tcPr>
          <w:p w14:paraId="5C7C60D6" w14:textId="77777777" w:rsidR="0008009C" w:rsidRDefault="0008009C">
            <w:pPr>
              <w:rPr>
                <w:rFonts w:ascii="宋体"/>
                <w:vanish/>
              </w:rPr>
            </w:pPr>
          </w:p>
        </w:tc>
        <w:tc>
          <w:tcPr>
            <w:tcW w:w="0" w:type="auto"/>
            <w:shd w:val="clear" w:color="auto" w:fill="auto"/>
          </w:tcPr>
          <w:p w14:paraId="5C7C60D7" w14:textId="77777777" w:rsidR="0008009C" w:rsidRDefault="0008009C">
            <w:pPr>
              <w:rPr>
                <w:rFonts w:ascii="宋体"/>
                <w:vanish/>
              </w:rPr>
            </w:pPr>
          </w:p>
        </w:tc>
      </w:tr>
      <w:tr w:rsidR="0008009C" w14:paraId="5C7C60E4" w14:textId="77777777">
        <w:tc>
          <w:tcPr>
            <w:tcW w:w="0" w:type="auto"/>
            <w:gridSpan w:val="3"/>
            <w:shd w:val="clear" w:color="auto" w:fill="auto"/>
            <w:tcMar>
              <w:top w:w="40" w:type="dxa"/>
              <w:left w:w="20" w:type="dxa"/>
              <w:bottom w:w="40" w:type="dxa"/>
              <w:right w:w="20" w:type="dxa"/>
            </w:tcMar>
          </w:tcPr>
          <w:p w14:paraId="5C7C60D9" w14:textId="77777777" w:rsidR="0008009C" w:rsidRDefault="00936FDF">
            <w:pPr>
              <w:ind w:hanging="180"/>
              <w:textAlignment w:val="top"/>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tcPr>
          <w:p w14:paraId="5C7C60D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0DB" w14:textId="77777777" w:rsidR="0008009C" w:rsidRDefault="00936FDF">
            <w:pPr>
              <w:jc w:val="right"/>
              <w:textAlignment w:val="bottom"/>
            </w:pPr>
            <w:r>
              <w:rPr>
                <w:rFonts w:ascii="Arial" w:eastAsia="宋体" w:hAnsi="Arial" w:cs="Arial"/>
                <w:color w:val="0068B5"/>
                <w:sz w:val="18"/>
                <w:szCs w:val="18"/>
              </w:rPr>
              <w:t>(38)</w:t>
            </w:r>
          </w:p>
        </w:tc>
        <w:tc>
          <w:tcPr>
            <w:tcW w:w="0" w:type="auto"/>
            <w:shd w:val="clear" w:color="auto" w:fill="auto"/>
            <w:tcMar>
              <w:top w:w="40" w:type="dxa"/>
              <w:left w:w="0" w:type="dxa"/>
              <w:bottom w:w="40" w:type="dxa"/>
              <w:right w:w="20" w:type="dxa"/>
            </w:tcMar>
            <w:vAlign w:val="bottom"/>
          </w:tcPr>
          <w:p w14:paraId="5C7C60D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0D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0DE" w14:textId="77777777" w:rsidR="0008009C" w:rsidRDefault="00936FDF">
            <w:pPr>
              <w:jc w:val="right"/>
              <w:textAlignment w:val="bottom"/>
            </w:pPr>
            <w:r>
              <w:rPr>
                <w:rFonts w:ascii="Arial" w:eastAsia="宋体" w:hAnsi="Arial" w:cs="Arial"/>
                <w:color w:val="262626"/>
                <w:sz w:val="18"/>
                <w:szCs w:val="18"/>
              </w:rPr>
              <w:t>(143)</w:t>
            </w:r>
          </w:p>
        </w:tc>
        <w:tc>
          <w:tcPr>
            <w:tcW w:w="0" w:type="auto"/>
            <w:shd w:val="clear" w:color="auto" w:fill="auto"/>
            <w:tcMar>
              <w:top w:w="40" w:type="dxa"/>
              <w:left w:w="0" w:type="dxa"/>
              <w:bottom w:w="40" w:type="dxa"/>
              <w:right w:w="20" w:type="dxa"/>
            </w:tcMar>
            <w:vAlign w:val="bottom"/>
          </w:tcPr>
          <w:p w14:paraId="5C7C60DF" w14:textId="77777777" w:rsidR="0008009C" w:rsidRDefault="0008009C">
            <w:pPr>
              <w:jc w:val="right"/>
              <w:rPr>
                <w:rFonts w:ascii="宋体"/>
              </w:rPr>
            </w:pPr>
          </w:p>
        </w:tc>
        <w:tc>
          <w:tcPr>
            <w:tcW w:w="0" w:type="auto"/>
            <w:shd w:val="clear" w:color="auto" w:fill="auto"/>
          </w:tcPr>
          <w:p w14:paraId="5C7C60E0" w14:textId="77777777" w:rsidR="0008009C" w:rsidRDefault="0008009C">
            <w:pPr>
              <w:rPr>
                <w:rFonts w:ascii="宋体"/>
                <w:vanish/>
              </w:rPr>
            </w:pPr>
          </w:p>
        </w:tc>
        <w:tc>
          <w:tcPr>
            <w:tcW w:w="0" w:type="auto"/>
            <w:shd w:val="clear" w:color="auto" w:fill="auto"/>
          </w:tcPr>
          <w:p w14:paraId="5C7C60E1" w14:textId="77777777" w:rsidR="0008009C" w:rsidRDefault="0008009C">
            <w:pPr>
              <w:rPr>
                <w:rFonts w:ascii="宋体"/>
                <w:vanish/>
              </w:rPr>
            </w:pPr>
          </w:p>
        </w:tc>
        <w:tc>
          <w:tcPr>
            <w:tcW w:w="0" w:type="auto"/>
            <w:shd w:val="clear" w:color="auto" w:fill="auto"/>
          </w:tcPr>
          <w:p w14:paraId="5C7C60E2" w14:textId="77777777" w:rsidR="0008009C" w:rsidRDefault="0008009C">
            <w:pPr>
              <w:rPr>
                <w:rFonts w:ascii="宋体"/>
                <w:vanish/>
              </w:rPr>
            </w:pPr>
          </w:p>
        </w:tc>
        <w:tc>
          <w:tcPr>
            <w:tcW w:w="0" w:type="auto"/>
            <w:shd w:val="clear" w:color="auto" w:fill="auto"/>
          </w:tcPr>
          <w:p w14:paraId="5C7C60E3" w14:textId="77777777" w:rsidR="0008009C" w:rsidRDefault="0008009C">
            <w:pPr>
              <w:rPr>
                <w:rFonts w:ascii="宋体"/>
                <w:vanish/>
              </w:rPr>
            </w:pPr>
          </w:p>
        </w:tc>
      </w:tr>
      <w:tr w:rsidR="0008009C" w14:paraId="5C7C60F0" w14:textId="77777777">
        <w:tc>
          <w:tcPr>
            <w:tcW w:w="0" w:type="auto"/>
            <w:gridSpan w:val="3"/>
            <w:shd w:val="clear" w:color="auto" w:fill="auto"/>
            <w:tcMar>
              <w:top w:w="40" w:type="dxa"/>
              <w:left w:w="20" w:type="dxa"/>
              <w:bottom w:w="40" w:type="dxa"/>
              <w:right w:w="20" w:type="dxa"/>
            </w:tcMar>
          </w:tcPr>
          <w:p w14:paraId="5C7C60E5" w14:textId="77777777" w:rsidR="0008009C" w:rsidRDefault="00936FDF">
            <w:pPr>
              <w:textAlignment w:val="top"/>
            </w:pPr>
            <w:r>
              <w:rPr>
                <w:rFonts w:ascii="Arial" w:eastAsia="宋体" w:hAnsi="Arial" w:cs="Arial"/>
                <w:color w:val="262626"/>
                <w:sz w:val="18"/>
                <w:szCs w:val="18"/>
              </w:rPr>
              <w:t>Sale of equity investments and other¹</w:t>
            </w:r>
          </w:p>
        </w:tc>
        <w:tc>
          <w:tcPr>
            <w:tcW w:w="0" w:type="auto"/>
            <w:gridSpan w:val="3"/>
            <w:shd w:val="clear" w:color="auto" w:fill="auto"/>
            <w:tcMar>
              <w:top w:w="0" w:type="dxa"/>
              <w:left w:w="20" w:type="dxa"/>
              <w:bottom w:w="0" w:type="dxa"/>
              <w:right w:w="20" w:type="dxa"/>
            </w:tcMar>
          </w:tcPr>
          <w:p w14:paraId="5C7C60E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0E7" w14:textId="77777777" w:rsidR="0008009C" w:rsidRDefault="00936FDF">
            <w:pPr>
              <w:jc w:val="right"/>
              <w:textAlignment w:val="bottom"/>
            </w:pPr>
            <w:r>
              <w:rPr>
                <w:rFonts w:ascii="Arial" w:eastAsia="宋体" w:hAnsi="Arial" w:cs="Arial"/>
                <w:color w:val="0068B5"/>
                <w:sz w:val="18"/>
                <w:szCs w:val="18"/>
              </w:rPr>
              <w:t>146 </w:t>
            </w:r>
          </w:p>
        </w:tc>
        <w:tc>
          <w:tcPr>
            <w:tcW w:w="0" w:type="auto"/>
            <w:shd w:val="clear" w:color="auto" w:fill="auto"/>
            <w:tcMar>
              <w:top w:w="40" w:type="dxa"/>
              <w:left w:w="0" w:type="dxa"/>
              <w:bottom w:w="40" w:type="dxa"/>
              <w:right w:w="20" w:type="dxa"/>
            </w:tcMar>
            <w:vAlign w:val="bottom"/>
          </w:tcPr>
          <w:p w14:paraId="5C7C60E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0E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0EA" w14:textId="77777777" w:rsidR="0008009C" w:rsidRDefault="00936FDF">
            <w:pPr>
              <w:jc w:val="right"/>
              <w:textAlignment w:val="bottom"/>
            </w:pPr>
            <w:r>
              <w:rPr>
                <w:rFonts w:ascii="Arial" w:eastAsia="宋体" w:hAnsi="Arial" w:cs="Arial"/>
                <w:color w:val="262626"/>
                <w:sz w:val="18"/>
                <w:szCs w:val="18"/>
              </w:rPr>
              <w:t>56 </w:t>
            </w:r>
          </w:p>
        </w:tc>
        <w:tc>
          <w:tcPr>
            <w:tcW w:w="0" w:type="auto"/>
            <w:shd w:val="clear" w:color="auto" w:fill="auto"/>
            <w:tcMar>
              <w:top w:w="40" w:type="dxa"/>
              <w:left w:w="0" w:type="dxa"/>
              <w:bottom w:w="40" w:type="dxa"/>
              <w:right w:w="20" w:type="dxa"/>
            </w:tcMar>
            <w:vAlign w:val="bottom"/>
          </w:tcPr>
          <w:p w14:paraId="5C7C60EB" w14:textId="77777777" w:rsidR="0008009C" w:rsidRDefault="0008009C">
            <w:pPr>
              <w:jc w:val="right"/>
              <w:rPr>
                <w:rFonts w:ascii="宋体"/>
              </w:rPr>
            </w:pPr>
          </w:p>
        </w:tc>
        <w:tc>
          <w:tcPr>
            <w:tcW w:w="0" w:type="auto"/>
            <w:shd w:val="clear" w:color="auto" w:fill="auto"/>
          </w:tcPr>
          <w:p w14:paraId="5C7C60EC" w14:textId="77777777" w:rsidR="0008009C" w:rsidRDefault="0008009C">
            <w:pPr>
              <w:rPr>
                <w:rFonts w:ascii="宋体"/>
                <w:vanish/>
              </w:rPr>
            </w:pPr>
          </w:p>
        </w:tc>
        <w:tc>
          <w:tcPr>
            <w:tcW w:w="0" w:type="auto"/>
            <w:shd w:val="clear" w:color="auto" w:fill="auto"/>
          </w:tcPr>
          <w:p w14:paraId="5C7C60ED" w14:textId="77777777" w:rsidR="0008009C" w:rsidRDefault="0008009C">
            <w:pPr>
              <w:rPr>
                <w:rFonts w:ascii="宋体"/>
                <w:vanish/>
              </w:rPr>
            </w:pPr>
          </w:p>
        </w:tc>
        <w:tc>
          <w:tcPr>
            <w:tcW w:w="0" w:type="auto"/>
            <w:shd w:val="clear" w:color="auto" w:fill="auto"/>
          </w:tcPr>
          <w:p w14:paraId="5C7C60EE" w14:textId="77777777" w:rsidR="0008009C" w:rsidRDefault="0008009C">
            <w:pPr>
              <w:rPr>
                <w:rFonts w:ascii="宋体"/>
                <w:vanish/>
              </w:rPr>
            </w:pPr>
          </w:p>
        </w:tc>
        <w:tc>
          <w:tcPr>
            <w:tcW w:w="0" w:type="auto"/>
            <w:shd w:val="clear" w:color="auto" w:fill="auto"/>
          </w:tcPr>
          <w:p w14:paraId="5C7C60EF" w14:textId="77777777" w:rsidR="0008009C" w:rsidRDefault="0008009C">
            <w:pPr>
              <w:rPr>
                <w:rFonts w:ascii="宋体"/>
                <w:vanish/>
              </w:rPr>
            </w:pPr>
          </w:p>
        </w:tc>
      </w:tr>
      <w:tr w:rsidR="0008009C" w14:paraId="5C7C60FE" w14:textId="77777777">
        <w:tc>
          <w:tcPr>
            <w:tcW w:w="0" w:type="auto"/>
            <w:gridSpan w:val="3"/>
            <w:shd w:val="clear" w:color="auto" w:fill="auto"/>
            <w:tcMar>
              <w:top w:w="40" w:type="dxa"/>
              <w:left w:w="20" w:type="dxa"/>
              <w:bottom w:w="40" w:type="dxa"/>
              <w:right w:w="20" w:type="dxa"/>
            </w:tcMar>
          </w:tcPr>
          <w:p w14:paraId="5C7C60F1" w14:textId="77777777" w:rsidR="0008009C" w:rsidRDefault="00936FDF">
            <w:pPr>
              <w:textAlignment w:val="top"/>
            </w:pPr>
            <w:r>
              <w:rPr>
                <w:rFonts w:ascii="Arial" w:eastAsia="宋体" w:hAnsi="Arial" w:cs="Arial"/>
                <w:b/>
                <w:bCs/>
                <w:color w:val="262626"/>
                <w:sz w:val="18"/>
                <w:szCs w:val="18"/>
              </w:rPr>
              <w:t>Total gains (losses) on equity investments, net</w:t>
            </w:r>
          </w:p>
        </w:tc>
        <w:tc>
          <w:tcPr>
            <w:tcW w:w="0" w:type="auto"/>
            <w:gridSpan w:val="3"/>
            <w:shd w:val="clear" w:color="auto" w:fill="auto"/>
            <w:tcMar>
              <w:top w:w="0" w:type="dxa"/>
              <w:left w:w="20" w:type="dxa"/>
              <w:bottom w:w="0" w:type="dxa"/>
              <w:right w:w="20" w:type="dxa"/>
            </w:tcMar>
          </w:tcPr>
          <w:p w14:paraId="5C7C60F2"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0F3"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0F4" w14:textId="77777777" w:rsidR="0008009C" w:rsidRDefault="00936FDF">
            <w:pPr>
              <w:jc w:val="right"/>
              <w:textAlignment w:val="bottom"/>
            </w:pPr>
            <w:r>
              <w:rPr>
                <w:rFonts w:ascii="Arial" w:eastAsia="宋体" w:hAnsi="Arial" w:cs="Arial"/>
                <w:b/>
                <w:bCs/>
                <w:color w:val="0068B5"/>
                <w:sz w:val="18"/>
                <w:szCs w:val="18"/>
              </w:rPr>
              <w:t>368</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0F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0F6"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0F7"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0F8" w14:textId="77777777" w:rsidR="0008009C" w:rsidRDefault="00936FDF">
            <w:pPr>
              <w:jc w:val="right"/>
              <w:textAlignment w:val="bottom"/>
            </w:pPr>
            <w:r>
              <w:rPr>
                <w:rFonts w:ascii="Arial" w:eastAsia="宋体" w:hAnsi="Arial" w:cs="Arial"/>
                <w:b/>
                <w:bCs/>
                <w:color w:val="262626"/>
                <w:sz w:val="18"/>
                <w:szCs w:val="18"/>
              </w:rPr>
              <w:t>(111)</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0F9" w14:textId="77777777" w:rsidR="0008009C" w:rsidRDefault="0008009C">
            <w:pPr>
              <w:jc w:val="right"/>
              <w:rPr>
                <w:rFonts w:ascii="宋体"/>
              </w:rPr>
            </w:pPr>
          </w:p>
        </w:tc>
        <w:tc>
          <w:tcPr>
            <w:tcW w:w="0" w:type="auto"/>
            <w:shd w:val="clear" w:color="auto" w:fill="auto"/>
          </w:tcPr>
          <w:p w14:paraId="5C7C60FA" w14:textId="77777777" w:rsidR="0008009C" w:rsidRDefault="0008009C">
            <w:pPr>
              <w:rPr>
                <w:rFonts w:ascii="宋体"/>
                <w:vanish/>
              </w:rPr>
            </w:pPr>
          </w:p>
        </w:tc>
        <w:tc>
          <w:tcPr>
            <w:tcW w:w="0" w:type="auto"/>
            <w:shd w:val="clear" w:color="auto" w:fill="auto"/>
          </w:tcPr>
          <w:p w14:paraId="5C7C60FB" w14:textId="77777777" w:rsidR="0008009C" w:rsidRDefault="0008009C">
            <w:pPr>
              <w:rPr>
                <w:rFonts w:ascii="宋体"/>
                <w:vanish/>
              </w:rPr>
            </w:pPr>
          </w:p>
        </w:tc>
        <w:tc>
          <w:tcPr>
            <w:tcW w:w="0" w:type="auto"/>
            <w:shd w:val="clear" w:color="auto" w:fill="auto"/>
          </w:tcPr>
          <w:p w14:paraId="5C7C60FC" w14:textId="77777777" w:rsidR="0008009C" w:rsidRDefault="0008009C">
            <w:pPr>
              <w:rPr>
                <w:rFonts w:ascii="宋体"/>
                <w:vanish/>
              </w:rPr>
            </w:pPr>
          </w:p>
        </w:tc>
        <w:tc>
          <w:tcPr>
            <w:tcW w:w="0" w:type="auto"/>
            <w:shd w:val="clear" w:color="auto" w:fill="auto"/>
          </w:tcPr>
          <w:p w14:paraId="5C7C60FD" w14:textId="77777777" w:rsidR="0008009C" w:rsidRDefault="0008009C">
            <w:pPr>
              <w:rPr>
                <w:rFonts w:ascii="宋体"/>
                <w:vanish/>
              </w:rPr>
            </w:pPr>
          </w:p>
        </w:tc>
      </w:tr>
    </w:tbl>
    <w:p w14:paraId="5C7C60FF" w14:textId="77777777" w:rsidR="0008009C" w:rsidRDefault="00936FDF">
      <w:pPr>
        <w:spacing w:before="120" w:after="180"/>
        <w:ind w:hanging="180"/>
      </w:pPr>
      <w:r>
        <w:rPr>
          <w:rFonts w:ascii="Arial" w:eastAsia="宋体" w:hAnsi="Arial" w:cs="Arial"/>
          <w:i/>
          <w:iCs/>
          <w:color w:val="262626"/>
          <w:sz w:val="10"/>
          <w:szCs w:val="10"/>
        </w:rPr>
        <w:t>1</w:t>
      </w:r>
      <w:r>
        <w:rPr>
          <w:rFonts w:ascii="Arial" w:eastAsia="宋体" w:hAnsi="Arial" w:cs="Arial"/>
          <w:i/>
          <w:iCs/>
          <w:color w:val="262626"/>
          <w:sz w:val="16"/>
          <w:szCs w:val="16"/>
        </w:rPr>
        <w:t xml:space="preserve"> Sale of equity investments and other includes realized gains (losses) on sales of non-marketable equity investments, our share of equity method investees' gains (losses) and distributions, and initial fair value adjustments recorded upon a security</w:t>
      </w:r>
      <w:r>
        <w:rPr>
          <w:rFonts w:ascii="Arial" w:eastAsia="宋体" w:hAnsi="Arial" w:cs="Arial"/>
          <w:i/>
          <w:iCs/>
          <w:color w:val="262626"/>
          <w:sz w:val="16"/>
          <w:szCs w:val="16"/>
        </w:rPr>
        <w:t xml:space="preserve"> becoming marketable. </w:t>
      </w:r>
    </w:p>
    <w:p w14:paraId="5C7C6100" w14:textId="77777777" w:rsidR="0008009C" w:rsidRDefault="00936FDF">
      <w:pPr>
        <w:spacing w:after="120"/>
      </w:pPr>
      <w:r>
        <w:rPr>
          <w:rFonts w:ascii="Arial" w:eastAsia="宋体" w:hAnsi="Arial" w:cs="Arial"/>
          <w:color w:val="262626"/>
          <w:sz w:val="18"/>
          <w:szCs w:val="18"/>
        </w:rPr>
        <w:t>Gains and losses for our marketable and non-marketable equity securities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6076"/>
        <w:gridCol w:w="38"/>
        <w:gridCol w:w="36"/>
        <w:gridCol w:w="36"/>
        <w:gridCol w:w="36"/>
        <w:gridCol w:w="121"/>
        <w:gridCol w:w="808"/>
        <w:gridCol w:w="36"/>
        <w:gridCol w:w="36"/>
        <w:gridCol w:w="36"/>
        <w:gridCol w:w="36"/>
        <w:gridCol w:w="121"/>
        <w:gridCol w:w="809"/>
        <w:gridCol w:w="36"/>
        <w:gridCol w:w="36"/>
      </w:tblGrid>
      <w:tr w:rsidR="0008009C" w14:paraId="5C7C6111" w14:textId="77777777">
        <w:tc>
          <w:tcPr>
            <w:tcW w:w="50" w:type="pct"/>
            <w:shd w:val="clear" w:color="auto" w:fill="auto"/>
          </w:tcPr>
          <w:p w14:paraId="5C7C6101" w14:textId="77777777" w:rsidR="0008009C" w:rsidRDefault="0008009C">
            <w:pPr>
              <w:rPr>
                <w:rFonts w:ascii="宋体"/>
              </w:rPr>
            </w:pPr>
          </w:p>
        </w:tc>
        <w:tc>
          <w:tcPr>
            <w:tcW w:w="3688" w:type="pct"/>
            <w:shd w:val="clear" w:color="auto" w:fill="auto"/>
          </w:tcPr>
          <w:p w14:paraId="5C7C6102" w14:textId="77777777" w:rsidR="0008009C" w:rsidRDefault="0008009C">
            <w:pPr>
              <w:rPr>
                <w:rFonts w:ascii="宋体"/>
              </w:rPr>
            </w:pPr>
          </w:p>
        </w:tc>
        <w:tc>
          <w:tcPr>
            <w:tcW w:w="5" w:type="pct"/>
            <w:shd w:val="clear" w:color="auto" w:fill="auto"/>
          </w:tcPr>
          <w:p w14:paraId="5C7C6103" w14:textId="77777777" w:rsidR="0008009C" w:rsidRDefault="0008009C">
            <w:pPr>
              <w:rPr>
                <w:rFonts w:ascii="宋体"/>
              </w:rPr>
            </w:pPr>
          </w:p>
        </w:tc>
        <w:tc>
          <w:tcPr>
            <w:tcW w:w="5" w:type="pct"/>
            <w:shd w:val="clear" w:color="auto" w:fill="auto"/>
          </w:tcPr>
          <w:p w14:paraId="5C7C6104" w14:textId="77777777" w:rsidR="0008009C" w:rsidRDefault="0008009C">
            <w:pPr>
              <w:rPr>
                <w:rFonts w:ascii="宋体"/>
              </w:rPr>
            </w:pPr>
          </w:p>
        </w:tc>
        <w:tc>
          <w:tcPr>
            <w:tcW w:w="24" w:type="pct"/>
            <w:shd w:val="clear" w:color="auto" w:fill="auto"/>
          </w:tcPr>
          <w:p w14:paraId="5C7C6105" w14:textId="77777777" w:rsidR="0008009C" w:rsidRDefault="0008009C">
            <w:pPr>
              <w:rPr>
                <w:rFonts w:ascii="宋体"/>
              </w:rPr>
            </w:pPr>
          </w:p>
        </w:tc>
        <w:tc>
          <w:tcPr>
            <w:tcW w:w="5" w:type="pct"/>
            <w:shd w:val="clear" w:color="auto" w:fill="auto"/>
          </w:tcPr>
          <w:p w14:paraId="5C7C6106" w14:textId="77777777" w:rsidR="0008009C" w:rsidRDefault="0008009C">
            <w:pPr>
              <w:rPr>
                <w:rFonts w:ascii="宋体"/>
              </w:rPr>
            </w:pPr>
          </w:p>
        </w:tc>
        <w:tc>
          <w:tcPr>
            <w:tcW w:w="50" w:type="pct"/>
            <w:shd w:val="clear" w:color="auto" w:fill="auto"/>
          </w:tcPr>
          <w:p w14:paraId="5C7C6107" w14:textId="77777777" w:rsidR="0008009C" w:rsidRDefault="0008009C">
            <w:pPr>
              <w:rPr>
                <w:rFonts w:ascii="宋体"/>
              </w:rPr>
            </w:pPr>
          </w:p>
        </w:tc>
        <w:tc>
          <w:tcPr>
            <w:tcW w:w="539" w:type="pct"/>
            <w:shd w:val="clear" w:color="auto" w:fill="auto"/>
          </w:tcPr>
          <w:p w14:paraId="5C7C6108" w14:textId="77777777" w:rsidR="0008009C" w:rsidRDefault="0008009C">
            <w:pPr>
              <w:rPr>
                <w:rFonts w:ascii="宋体"/>
              </w:rPr>
            </w:pPr>
          </w:p>
        </w:tc>
        <w:tc>
          <w:tcPr>
            <w:tcW w:w="5" w:type="pct"/>
            <w:shd w:val="clear" w:color="auto" w:fill="auto"/>
          </w:tcPr>
          <w:p w14:paraId="5C7C6109" w14:textId="77777777" w:rsidR="0008009C" w:rsidRDefault="0008009C">
            <w:pPr>
              <w:rPr>
                <w:rFonts w:ascii="宋体"/>
              </w:rPr>
            </w:pPr>
          </w:p>
        </w:tc>
        <w:tc>
          <w:tcPr>
            <w:tcW w:w="5" w:type="pct"/>
            <w:shd w:val="clear" w:color="auto" w:fill="auto"/>
          </w:tcPr>
          <w:p w14:paraId="5C7C610A" w14:textId="77777777" w:rsidR="0008009C" w:rsidRDefault="0008009C">
            <w:pPr>
              <w:rPr>
                <w:rFonts w:ascii="宋体"/>
              </w:rPr>
            </w:pPr>
          </w:p>
        </w:tc>
        <w:tc>
          <w:tcPr>
            <w:tcW w:w="24" w:type="pct"/>
            <w:shd w:val="clear" w:color="auto" w:fill="auto"/>
          </w:tcPr>
          <w:p w14:paraId="5C7C610B" w14:textId="77777777" w:rsidR="0008009C" w:rsidRDefault="0008009C">
            <w:pPr>
              <w:rPr>
                <w:rFonts w:ascii="宋体"/>
              </w:rPr>
            </w:pPr>
          </w:p>
        </w:tc>
        <w:tc>
          <w:tcPr>
            <w:tcW w:w="5" w:type="pct"/>
            <w:shd w:val="clear" w:color="auto" w:fill="auto"/>
          </w:tcPr>
          <w:p w14:paraId="5C7C610C" w14:textId="77777777" w:rsidR="0008009C" w:rsidRDefault="0008009C">
            <w:pPr>
              <w:rPr>
                <w:rFonts w:ascii="宋体"/>
              </w:rPr>
            </w:pPr>
          </w:p>
        </w:tc>
        <w:tc>
          <w:tcPr>
            <w:tcW w:w="50" w:type="pct"/>
            <w:shd w:val="clear" w:color="auto" w:fill="auto"/>
          </w:tcPr>
          <w:p w14:paraId="5C7C610D" w14:textId="77777777" w:rsidR="0008009C" w:rsidRDefault="0008009C">
            <w:pPr>
              <w:rPr>
                <w:rFonts w:ascii="宋体"/>
              </w:rPr>
            </w:pPr>
          </w:p>
        </w:tc>
        <w:tc>
          <w:tcPr>
            <w:tcW w:w="539" w:type="pct"/>
            <w:shd w:val="clear" w:color="auto" w:fill="auto"/>
          </w:tcPr>
          <w:p w14:paraId="5C7C610E" w14:textId="77777777" w:rsidR="0008009C" w:rsidRDefault="0008009C">
            <w:pPr>
              <w:rPr>
                <w:rFonts w:ascii="宋体"/>
              </w:rPr>
            </w:pPr>
          </w:p>
        </w:tc>
        <w:tc>
          <w:tcPr>
            <w:tcW w:w="5" w:type="pct"/>
            <w:shd w:val="clear" w:color="auto" w:fill="auto"/>
          </w:tcPr>
          <w:p w14:paraId="5C7C610F" w14:textId="77777777" w:rsidR="0008009C" w:rsidRDefault="0008009C">
            <w:pPr>
              <w:rPr>
                <w:rFonts w:ascii="宋体"/>
              </w:rPr>
            </w:pPr>
          </w:p>
        </w:tc>
        <w:tc>
          <w:tcPr>
            <w:tcW w:w="0" w:type="auto"/>
            <w:shd w:val="clear" w:color="auto" w:fill="auto"/>
          </w:tcPr>
          <w:p w14:paraId="5C7C6110" w14:textId="77777777" w:rsidR="0008009C" w:rsidRDefault="0008009C">
            <w:pPr>
              <w:rPr>
                <w:rFonts w:ascii="宋体"/>
                <w:vanish/>
              </w:rPr>
            </w:pPr>
          </w:p>
        </w:tc>
      </w:tr>
      <w:tr w:rsidR="0008009C" w14:paraId="5C7C6116" w14:textId="77777777">
        <w:tc>
          <w:tcPr>
            <w:tcW w:w="0" w:type="auto"/>
            <w:gridSpan w:val="3"/>
            <w:shd w:val="clear" w:color="auto" w:fill="auto"/>
            <w:tcMar>
              <w:top w:w="0" w:type="dxa"/>
              <w:left w:w="20" w:type="dxa"/>
              <w:bottom w:w="0" w:type="dxa"/>
              <w:right w:w="20" w:type="dxa"/>
            </w:tcMar>
          </w:tcPr>
          <w:p w14:paraId="5C7C611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113"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bottom"/>
          </w:tcPr>
          <w:p w14:paraId="5C7C6114" w14:textId="77777777" w:rsidR="0008009C" w:rsidRDefault="00936FDF">
            <w:pPr>
              <w:jc w:val="center"/>
              <w:textAlignment w:val="bottom"/>
            </w:pPr>
            <w:r>
              <w:rPr>
                <w:rFonts w:ascii="Arial" w:eastAsia="宋体" w:hAnsi="Arial" w:cs="Arial"/>
                <w:b/>
                <w:bCs/>
                <w:color w:val="262626"/>
                <w:sz w:val="18"/>
                <w:szCs w:val="18"/>
              </w:rPr>
              <w:t>Three Months Ended</w:t>
            </w:r>
          </w:p>
        </w:tc>
        <w:tc>
          <w:tcPr>
            <w:tcW w:w="0" w:type="auto"/>
            <w:shd w:val="clear" w:color="auto" w:fill="auto"/>
          </w:tcPr>
          <w:p w14:paraId="5C7C6115" w14:textId="77777777" w:rsidR="0008009C" w:rsidRDefault="0008009C">
            <w:pPr>
              <w:rPr>
                <w:rFonts w:ascii="宋体"/>
                <w:vanish/>
              </w:rPr>
            </w:pPr>
          </w:p>
        </w:tc>
      </w:tr>
      <w:tr w:rsidR="0008009C" w14:paraId="5C7C611D" w14:textId="77777777">
        <w:tc>
          <w:tcPr>
            <w:tcW w:w="0" w:type="auto"/>
            <w:gridSpan w:val="3"/>
            <w:shd w:val="clear" w:color="auto" w:fill="auto"/>
            <w:tcMar>
              <w:top w:w="40" w:type="dxa"/>
              <w:left w:w="20" w:type="dxa"/>
              <w:bottom w:w="40" w:type="dxa"/>
              <w:right w:w="20" w:type="dxa"/>
            </w:tcMar>
            <w:vAlign w:val="bottom"/>
          </w:tcPr>
          <w:p w14:paraId="5C7C6117"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6118"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119"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tcBorders>
              <w:top w:val="single" w:sz="8" w:space="0" w:color="0068B5"/>
            </w:tcBorders>
            <w:shd w:val="clear" w:color="auto" w:fill="auto"/>
            <w:tcMar>
              <w:top w:w="0" w:type="dxa"/>
              <w:left w:w="20" w:type="dxa"/>
              <w:bottom w:w="0" w:type="dxa"/>
              <w:right w:w="20" w:type="dxa"/>
            </w:tcMar>
          </w:tcPr>
          <w:p w14:paraId="5C7C611A"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11B" w14:textId="77777777" w:rsidR="0008009C" w:rsidRDefault="00936FDF">
            <w:pPr>
              <w:jc w:val="center"/>
              <w:textAlignment w:val="bottom"/>
            </w:pPr>
            <w:r>
              <w:rPr>
                <w:rFonts w:ascii="Arial" w:eastAsia="宋体" w:hAnsi="Arial" w:cs="Arial"/>
                <w:b/>
                <w:bCs/>
                <w:color w:val="262626"/>
                <w:sz w:val="18"/>
                <w:szCs w:val="18"/>
              </w:rPr>
              <w:t>Mar 28, 2020</w:t>
            </w:r>
          </w:p>
        </w:tc>
        <w:tc>
          <w:tcPr>
            <w:tcW w:w="0" w:type="auto"/>
            <w:shd w:val="clear" w:color="auto" w:fill="auto"/>
          </w:tcPr>
          <w:p w14:paraId="5C7C611C" w14:textId="77777777" w:rsidR="0008009C" w:rsidRDefault="0008009C">
            <w:pPr>
              <w:rPr>
                <w:rFonts w:ascii="宋体"/>
                <w:vanish/>
              </w:rPr>
            </w:pPr>
          </w:p>
        </w:tc>
      </w:tr>
      <w:tr w:rsidR="0008009C" w14:paraId="5C7C6128"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611E" w14:textId="77777777" w:rsidR="0008009C" w:rsidRDefault="00936FDF">
            <w:pPr>
              <w:textAlignment w:val="top"/>
            </w:pPr>
            <w:r>
              <w:rPr>
                <w:rFonts w:ascii="Arial" w:eastAsia="宋体" w:hAnsi="Arial" w:cs="Arial"/>
                <w:color w:val="262626"/>
                <w:sz w:val="18"/>
                <w:szCs w:val="18"/>
              </w:rPr>
              <w:t xml:space="preserve">Net gains (losses) recognized during the </w:t>
            </w:r>
            <w:r>
              <w:rPr>
                <w:rFonts w:ascii="Arial" w:eastAsia="宋体" w:hAnsi="Arial" w:cs="Arial"/>
                <w:color w:val="262626"/>
                <w:sz w:val="18"/>
                <w:szCs w:val="18"/>
              </w:rPr>
              <w:t>period on equity securities</w:t>
            </w:r>
          </w:p>
        </w:tc>
        <w:tc>
          <w:tcPr>
            <w:tcW w:w="0" w:type="auto"/>
            <w:gridSpan w:val="3"/>
            <w:shd w:val="clear" w:color="auto" w:fill="auto"/>
            <w:tcMar>
              <w:top w:w="0" w:type="dxa"/>
              <w:left w:w="20" w:type="dxa"/>
              <w:bottom w:w="0" w:type="dxa"/>
              <w:right w:w="20" w:type="dxa"/>
            </w:tcMar>
          </w:tcPr>
          <w:p w14:paraId="5C7C611F"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120"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121" w14:textId="77777777" w:rsidR="0008009C" w:rsidRDefault="00936FDF">
            <w:pPr>
              <w:jc w:val="right"/>
              <w:textAlignment w:val="bottom"/>
            </w:pPr>
            <w:r>
              <w:rPr>
                <w:rFonts w:ascii="Arial" w:eastAsia="宋体" w:hAnsi="Arial" w:cs="Arial"/>
                <w:color w:val="0068B5"/>
                <w:sz w:val="18"/>
                <w:szCs w:val="18"/>
              </w:rPr>
              <w:t>311 </w:t>
            </w:r>
          </w:p>
        </w:tc>
        <w:tc>
          <w:tcPr>
            <w:tcW w:w="0" w:type="auto"/>
            <w:tcBorders>
              <w:top w:val="single" w:sz="8" w:space="0" w:color="0068B5"/>
            </w:tcBorders>
            <w:shd w:val="clear" w:color="auto" w:fill="auto"/>
            <w:tcMar>
              <w:top w:w="40" w:type="dxa"/>
              <w:left w:w="0" w:type="dxa"/>
              <w:bottom w:w="40" w:type="dxa"/>
              <w:right w:w="20" w:type="dxa"/>
            </w:tcMar>
            <w:vAlign w:val="bottom"/>
          </w:tcPr>
          <w:p w14:paraId="5C7C612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123"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124" w14:textId="77777777" w:rsidR="0008009C" w:rsidRDefault="00936FDF">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125" w14:textId="77777777" w:rsidR="0008009C" w:rsidRDefault="00936FDF">
            <w:pPr>
              <w:jc w:val="right"/>
              <w:textAlignment w:val="bottom"/>
            </w:pPr>
            <w:r>
              <w:rPr>
                <w:rFonts w:ascii="Arial" w:eastAsia="宋体" w:hAnsi="Arial" w:cs="Arial"/>
                <w:color w:val="262626"/>
                <w:sz w:val="18"/>
                <w:szCs w:val="18"/>
              </w:rPr>
              <w:t>(140)</w:t>
            </w:r>
          </w:p>
        </w:tc>
        <w:tc>
          <w:tcPr>
            <w:tcW w:w="0" w:type="auto"/>
            <w:tcBorders>
              <w:top w:val="single" w:sz="8" w:space="0" w:color="0068B5"/>
            </w:tcBorders>
            <w:shd w:val="clear" w:color="auto" w:fill="auto"/>
            <w:tcMar>
              <w:top w:w="40" w:type="dxa"/>
              <w:left w:w="0" w:type="dxa"/>
              <w:bottom w:w="40" w:type="dxa"/>
              <w:right w:w="20" w:type="dxa"/>
            </w:tcMar>
            <w:vAlign w:val="bottom"/>
          </w:tcPr>
          <w:p w14:paraId="5C7C6126" w14:textId="77777777" w:rsidR="0008009C" w:rsidRDefault="0008009C">
            <w:pPr>
              <w:jc w:val="right"/>
              <w:rPr>
                <w:rFonts w:ascii="宋体"/>
              </w:rPr>
            </w:pPr>
          </w:p>
        </w:tc>
        <w:tc>
          <w:tcPr>
            <w:tcW w:w="0" w:type="auto"/>
            <w:shd w:val="clear" w:color="auto" w:fill="auto"/>
          </w:tcPr>
          <w:p w14:paraId="5C7C6127" w14:textId="77777777" w:rsidR="0008009C" w:rsidRDefault="0008009C">
            <w:pPr>
              <w:rPr>
                <w:rFonts w:ascii="宋体"/>
                <w:vanish/>
              </w:rPr>
            </w:pPr>
          </w:p>
        </w:tc>
      </w:tr>
      <w:tr w:rsidR="0008009C" w14:paraId="5C7C6131" w14:textId="77777777">
        <w:tc>
          <w:tcPr>
            <w:tcW w:w="0" w:type="auto"/>
            <w:gridSpan w:val="3"/>
            <w:shd w:val="clear" w:color="auto" w:fill="auto"/>
            <w:tcMar>
              <w:top w:w="40" w:type="dxa"/>
              <w:left w:w="20" w:type="dxa"/>
              <w:bottom w:w="40" w:type="dxa"/>
              <w:right w:w="20" w:type="dxa"/>
            </w:tcMar>
          </w:tcPr>
          <w:p w14:paraId="5C7C6129" w14:textId="77777777" w:rsidR="0008009C" w:rsidRDefault="00936FDF">
            <w:pPr>
              <w:textAlignment w:val="top"/>
            </w:pPr>
            <w:r>
              <w:rPr>
                <w:rFonts w:ascii="Arial" w:eastAsia="宋体" w:hAnsi="Arial" w:cs="Arial"/>
                <w:color w:val="262626"/>
                <w:sz w:val="18"/>
                <w:szCs w:val="18"/>
              </w:rPr>
              <w:t>Less: Net (gains) losses recognized during the period on equity securities sold during the period</w:t>
            </w:r>
          </w:p>
        </w:tc>
        <w:tc>
          <w:tcPr>
            <w:tcW w:w="0" w:type="auto"/>
            <w:gridSpan w:val="3"/>
            <w:shd w:val="clear" w:color="auto" w:fill="auto"/>
            <w:tcMar>
              <w:top w:w="0" w:type="dxa"/>
              <w:left w:w="20" w:type="dxa"/>
              <w:bottom w:w="0" w:type="dxa"/>
              <w:right w:w="20" w:type="dxa"/>
            </w:tcMar>
          </w:tcPr>
          <w:p w14:paraId="5C7C612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12B" w14:textId="77777777" w:rsidR="0008009C" w:rsidRDefault="00936FDF">
            <w:pPr>
              <w:jc w:val="right"/>
              <w:textAlignment w:val="bottom"/>
            </w:pPr>
            <w:r>
              <w:rPr>
                <w:rFonts w:ascii="Arial" w:eastAsia="宋体" w:hAnsi="Arial" w:cs="Arial"/>
                <w:color w:val="0068B5"/>
                <w:sz w:val="18"/>
                <w:szCs w:val="18"/>
              </w:rPr>
              <w:t>(85)</w:t>
            </w:r>
          </w:p>
        </w:tc>
        <w:tc>
          <w:tcPr>
            <w:tcW w:w="0" w:type="auto"/>
            <w:shd w:val="clear" w:color="auto" w:fill="auto"/>
            <w:tcMar>
              <w:top w:w="40" w:type="dxa"/>
              <w:left w:w="0" w:type="dxa"/>
              <w:bottom w:w="40" w:type="dxa"/>
              <w:right w:w="20" w:type="dxa"/>
            </w:tcMar>
            <w:vAlign w:val="bottom"/>
          </w:tcPr>
          <w:p w14:paraId="5C7C612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12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12E" w14:textId="77777777" w:rsidR="0008009C" w:rsidRDefault="00936FDF">
            <w:pPr>
              <w:jc w:val="right"/>
              <w:textAlignment w:val="bottom"/>
            </w:pPr>
            <w:r>
              <w:rPr>
                <w:rFonts w:ascii="Arial" w:eastAsia="宋体" w:hAnsi="Arial" w:cs="Arial"/>
                <w:color w:val="262626"/>
                <w:sz w:val="18"/>
                <w:szCs w:val="18"/>
              </w:rPr>
              <w:t>(7)</w:t>
            </w:r>
          </w:p>
        </w:tc>
        <w:tc>
          <w:tcPr>
            <w:tcW w:w="0" w:type="auto"/>
            <w:shd w:val="clear" w:color="auto" w:fill="auto"/>
            <w:tcMar>
              <w:top w:w="40" w:type="dxa"/>
              <w:left w:w="0" w:type="dxa"/>
              <w:bottom w:w="40" w:type="dxa"/>
              <w:right w:w="20" w:type="dxa"/>
            </w:tcMar>
            <w:vAlign w:val="bottom"/>
          </w:tcPr>
          <w:p w14:paraId="5C7C612F" w14:textId="77777777" w:rsidR="0008009C" w:rsidRDefault="0008009C">
            <w:pPr>
              <w:jc w:val="right"/>
              <w:rPr>
                <w:rFonts w:ascii="宋体"/>
              </w:rPr>
            </w:pPr>
          </w:p>
        </w:tc>
        <w:tc>
          <w:tcPr>
            <w:tcW w:w="0" w:type="auto"/>
            <w:shd w:val="clear" w:color="auto" w:fill="auto"/>
          </w:tcPr>
          <w:p w14:paraId="5C7C6130" w14:textId="77777777" w:rsidR="0008009C" w:rsidRDefault="0008009C">
            <w:pPr>
              <w:rPr>
                <w:rFonts w:ascii="宋体"/>
                <w:vanish/>
              </w:rPr>
            </w:pPr>
          </w:p>
        </w:tc>
      </w:tr>
      <w:tr w:rsidR="0008009C" w14:paraId="5C7C613C" w14:textId="77777777">
        <w:tc>
          <w:tcPr>
            <w:tcW w:w="0" w:type="auto"/>
            <w:gridSpan w:val="3"/>
            <w:shd w:val="clear" w:color="auto" w:fill="auto"/>
            <w:tcMar>
              <w:top w:w="40" w:type="dxa"/>
              <w:left w:w="20" w:type="dxa"/>
              <w:bottom w:w="40" w:type="dxa"/>
              <w:right w:w="20" w:type="dxa"/>
            </w:tcMar>
          </w:tcPr>
          <w:p w14:paraId="5C7C6132" w14:textId="77777777" w:rsidR="0008009C" w:rsidRDefault="00936FDF">
            <w:pPr>
              <w:textAlignment w:val="top"/>
            </w:pPr>
            <w:r>
              <w:rPr>
                <w:rFonts w:ascii="Arial" w:eastAsia="宋体" w:hAnsi="Arial" w:cs="Arial"/>
                <w:b/>
                <w:bCs/>
                <w:color w:val="262626"/>
                <w:sz w:val="18"/>
                <w:szCs w:val="18"/>
              </w:rPr>
              <w:t xml:space="preserve">Unrealized gains (losses) recognized during the reporting period on equity </w:t>
            </w:r>
            <w:r>
              <w:rPr>
                <w:rFonts w:ascii="Arial" w:eastAsia="宋体" w:hAnsi="Arial" w:cs="Arial"/>
                <w:b/>
                <w:bCs/>
                <w:color w:val="262626"/>
                <w:sz w:val="18"/>
                <w:szCs w:val="18"/>
              </w:rPr>
              <w:t>securities still held at the reporting date</w:t>
            </w:r>
          </w:p>
        </w:tc>
        <w:tc>
          <w:tcPr>
            <w:tcW w:w="0" w:type="auto"/>
            <w:gridSpan w:val="3"/>
            <w:shd w:val="clear" w:color="auto" w:fill="auto"/>
            <w:tcMar>
              <w:top w:w="0" w:type="dxa"/>
              <w:left w:w="20" w:type="dxa"/>
              <w:bottom w:w="0" w:type="dxa"/>
              <w:right w:w="20" w:type="dxa"/>
            </w:tcMar>
          </w:tcPr>
          <w:p w14:paraId="5C7C6133"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134"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135" w14:textId="77777777" w:rsidR="0008009C" w:rsidRDefault="00936FDF">
            <w:pPr>
              <w:jc w:val="right"/>
              <w:textAlignment w:val="bottom"/>
            </w:pPr>
            <w:r>
              <w:rPr>
                <w:rFonts w:ascii="Arial" w:eastAsia="宋体" w:hAnsi="Arial" w:cs="Arial"/>
                <w:b/>
                <w:bCs/>
                <w:color w:val="0068B5"/>
                <w:sz w:val="18"/>
                <w:szCs w:val="18"/>
              </w:rPr>
              <w:t>226</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13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137"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138"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139" w14:textId="77777777" w:rsidR="0008009C" w:rsidRDefault="00936FDF">
            <w:pPr>
              <w:jc w:val="right"/>
              <w:textAlignment w:val="bottom"/>
            </w:pPr>
            <w:r>
              <w:rPr>
                <w:rFonts w:ascii="Arial" w:eastAsia="宋体" w:hAnsi="Arial" w:cs="Arial"/>
                <w:b/>
                <w:bCs/>
                <w:color w:val="262626"/>
                <w:sz w:val="18"/>
                <w:szCs w:val="18"/>
              </w:rPr>
              <w:t>(147)</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13A" w14:textId="77777777" w:rsidR="0008009C" w:rsidRDefault="0008009C">
            <w:pPr>
              <w:jc w:val="right"/>
              <w:rPr>
                <w:rFonts w:ascii="宋体"/>
              </w:rPr>
            </w:pPr>
          </w:p>
        </w:tc>
        <w:tc>
          <w:tcPr>
            <w:tcW w:w="0" w:type="auto"/>
            <w:shd w:val="clear" w:color="auto" w:fill="auto"/>
          </w:tcPr>
          <w:p w14:paraId="5C7C613B" w14:textId="77777777" w:rsidR="0008009C" w:rsidRDefault="0008009C">
            <w:pPr>
              <w:rPr>
                <w:rFonts w:ascii="宋体"/>
                <w:vanish/>
              </w:rPr>
            </w:pPr>
          </w:p>
        </w:tc>
      </w:tr>
    </w:tbl>
    <w:p w14:paraId="5C7C613D" w14:textId="77777777" w:rsidR="0008009C" w:rsidRDefault="00936FDF">
      <w:pPr>
        <w:spacing w:after="180"/>
      </w:pPr>
      <w:r>
        <w:rPr>
          <w:rFonts w:ascii="Arial" w:eastAsia="宋体" w:hAnsi="Arial" w:cs="Arial"/>
          <w:b/>
          <w:bCs/>
          <w:color w:val="262626"/>
          <w:sz w:val="18"/>
          <w:szCs w:val="18"/>
        </w:rPr>
        <w:t>Beijing Unisoc Technology Ltd.</w:t>
      </w:r>
    </w:p>
    <w:p w14:paraId="5C7C613E" w14:textId="77777777" w:rsidR="0008009C" w:rsidRDefault="00936FDF">
      <w:pPr>
        <w:spacing w:after="180"/>
      </w:pPr>
      <w:r>
        <w:rPr>
          <w:rFonts w:ascii="Arial" w:eastAsia="宋体" w:hAnsi="Arial" w:cs="Arial"/>
          <w:color w:val="262626"/>
          <w:sz w:val="18"/>
          <w:szCs w:val="18"/>
        </w:rPr>
        <w:t xml:space="preserve">We account for our interest in Beijing Unisoc Technology Ltd. (Unisoc) as a non-marketable equity security. During the first three months of 2021, we </w:t>
      </w:r>
      <w:r>
        <w:rPr>
          <w:rFonts w:ascii="Arial" w:eastAsia="宋体" w:hAnsi="Arial" w:cs="Arial"/>
          <w:color w:val="262626"/>
          <w:sz w:val="18"/>
          <w:szCs w:val="18"/>
        </w:rPr>
        <w:t>recognized $471 million in observable price adjustments in our investment in Unisoc and as of March 27, 2021 the net book value of the investment is $1.1 billion ($658 million as of December 26,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8009C" w14:paraId="5C7C6145" w14:textId="77777777">
        <w:tc>
          <w:tcPr>
            <w:tcW w:w="50" w:type="pct"/>
            <w:shd w:val="clear" w:color="auto" w:fill="auto"/>
          </w:tcPr>
          <w:p w14:paraId="5C7C613F" w14:textId="77777777" w:rsidR="0008009C" w:rsidRDefault="0008009C">
            <w:pPr>
              <w:rPr>
                <w:rFonts w:ascii="宋体"/>
              </w:rPr>
            </w:pPr>
          </w:p>
        </w:tc>
        <w:tc>
          <w:tcPr>
            <w:tcW w:w="511" w:type="pct"/>
            <w:shd w:val="clear" w:color="auto" w:fill="auto"/>
          </w:tcPr>
          <w:p w14:paraId="5C7C6140" w14:textId="77777777" w:rsidR="0008009C" w:rsidRDefault="0008009C">
            <w:pPr>
              <w:rPr>
                <w:rFonts w:ascii="宋体"/>
              </w:rPr>
            </w:pPr>
          </w:p>
        </w:tc>
        <w:tc>
          <w:tcPr>
            <w:tcW w:w="5" w:type="pct"/>
            <w:shd w:val="clear" w:color="auto" w:fill="auto"/>
          </w:tcPr>
          <w:p w14:paraId="5C7C6141" w14:textId="77777777" w:rsidR="0008009C" w:rsidRDefault="0008009C">
            <w:pPr>
              <w:rPr>
                <w:rFonts w:ascii="宋体"/>
              </w:rPr>
            </w:pPr>
          </w:p>
        </w:tc>
        <w:tc>
          <w:tcPr>
            <w:tcW w:w="50" w:type="pct"/>
            <w:shd w:val="clear" w:color="auto" w:fill="auto"/>
          </w:tcPr>
          <w:p w14:paraId="5C7C6142" w14:textId="77777777" w:rsidR="0008009C" w:rsidRDefault="0008009C">
            <w:pPr>
              <w:rPr>
                <w:rFonts w:ascii="宋体"/>
              </w:rPr>
            </w:pPr>
          </w:p>
        </w:tc>
        <w:tc>
          <w:tcPr>
            <w:tcW w:w="4378" w:type="pct"/>
            <w:shd w:val="clear" w:color="auto" w:fill="auto"/>
          </w:tcPr>
          <w:p w14:paraId="5C7C6143" w14:textId="77777777" w:rsidR="0008009C" w:rsidRDefault="0008009C">
            <w:pPr>
              <w:rPr>
                <w:rFonts w:ascii="宋体"/>
              </w:rPr>
            </w:pPr>
          </w:p>
        </w:tc>
        <w:tc>
          <w:tcPr>
            <w:tcW w:w="5" w:type="pct"/>
            <w:shd w:val="clear" w:color="auto" w:fill="auto"/>
          </w:tcPr>
          <w:p w14:paraId="5C7C6144" w14:textId="77777777" w:rsidR="0008009C" w:rsidRDefault="0008009C">
            <w:pPr>
              <w:rPr>
                <w:rFonts w:ascii="宋体"/>
              </w:rPr>
            </w:pPr>
          </w:p>
        </w:tc>
      </w:tr>
      <w:tr w:rsidR="0008009C" w14:paraId="5C7C6148"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C7C6146" w14:textId="77777777" w:rsidR="0008009C" w:rsidRDefault="00936FDF">
            <w:pPr>
              <w:textAlignment w:val="bottom"/>
            </w:pPr>
            <w:r>
              <w:rPr>
                <w:rFonts w:ascii="Arial" w:eastAsia="宋体" w:hAnsi="Arial" w:cs="Arial"/>
                <w:color w:val="FFFFFF"/>
                <w:sz w:val="28"/>
                <w:szCs w:val="28"/>
              </w:rPr>
              <w:t xml:space="preserve">Note 8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C7C6147" w14:textId="77777777" w:rsidR="0008009C" w:rsidRDefault="00936FDF">
            <w:pPr>
              <w:textAlignment w:val="bottom"/>
            </w:pPr>
            <w:r>
              <w:rPr>
                <w:rFonts w:ascii="Arial" w:eastAsia="宋体" w:hAnsi="Arial" w:cs="Arial"/>
                <w:color w:val="0068B5"/>
                <w:sz w:val="28"/>
                <w:szCs w:val="28"/>
              </w:rPr>
              <w:t>Acquisitions and Divestitures</w:t>
            </w:r>
          </w:p>
        </w:tc>
      </w:tr>
    </w:tbl>
    <w:p w14:paraId="5C7C6149" w14:textId="77777777" w:rsidR="0008009C" w:rsidRDefault="00936FDF">
      <w:pPr>
        <w:spacing w:before="180" w:after="180"/>
      </w:pPr>
      <w:r>
        <w:rPr>
          <w:rFonts w:ascii="Arial" w:eastAsia="宋体" w:hAnsi="Arial" w:cs="Arial"/>
          <w:color w:val="0068B5"/>
        </w:rPr>
        <w:t>Divestitures</w:t>
      </w:r>
    </w:p>
    <w:p w14:paraId="5C7C614A" w14:textId="77777777" w:rsidR="0008009C" w:rsidRDefault="00936FDF">
      <w:pPr>
        <w:spacing w:after="120"/>
      </w:pPr>
      <w:r>
        <w:rPr>
          <w:rFonts w:ascii="Arial" w:eastAsia="宋体" w:hAnsi="Arial" w:cs="Arial"/>
          <w:color w:val="0068B5"/>
          <w:sz w:val="20"/>
          <w:szCs w:val="20"/>
        </w:rPr>
        <w:t>NAND Memory Business</w:t>
      </w:r>
    </w:p>
    <w:p w14:paraId="5C7C614B" w14:textId="77777777" w:rsidR="0008009C" w:rsidRDefault="00936FDF">
      <w:pPr>
        <w:spacing w:after="180"/>
      </w:pPr>
      <w:r>
        <w:rPr>
          <w:rFonts w:ascii="Arial" w:eastAsia="宋体" w:hAnsi="Arial" w:cs="Arial"/>
          <w:color w:val="262626"/>
          <w:sz w:val="18"/>
          <w:szCs w:val="18"/>
        </w:rPr>
        <w:t xml:space="preserve">On October 19, 2020, we signed an agreement with SK hynix Inc. (SK hynix) to divest our NAND memory business, including our NAND memory fabrication facility in Dalian, China and certain related equipment and </w:t>
      </w:r>
      <w:r>
        <w:rPr>
          <w:rFonts w:ascii="Arial" w:eastAsia="宋体" w:hAnsi="Arial" w:cs="Arial"/>
          <w:color w:val="262626"/>
          <w:sz w:val="18"/>
          <w:szCs w:val="18"/>
        </w:rPr>
        <w:t>tangible assets (the Fab Assets), our NAND SSD business (the NAND SSD Business), and our NAND memory technology and manufacturing business (the NAND OpCo Business). Our Intel Optane memory business is expressly excluded from the transaction. The transactio</w:t>
      </w:r>
      <w:r>
        <w:rPr>
          <w:rFonts w:ascii="Arial" w:eastAsia="宋体" w:hAnsi="Arial" w:cs="Arial"/>
          <w:color w:val="262626"/>
          <w:sz w:val="18"/>
          <w:szCs w:val="18"/>
        </w:rPr>
        <w:t>n will occur over two closings for total consideration of $9.0 billion in cash, of which $7.0 billion will be received upon initial closing, not to occur prior to November 1, 2021, and the remaining $2.0 billion will be received no earlier than March 2025.</w:t>
      </w:r>
      <w:r>
        <w:rPr>
          <w:rFonts w:ascii="Arial" w:eastAsia="宋体" w:hAnsi="Arial" w:cs="Arial"/>
          <w:color w:val="262626"/>
          <w:sz w:val="18"/>
          <w:szCs w:val="18"/>
        </w:rPr>
        <w:t xml:space="preserve"> The consummations of the first closing and the second closing are subject to customary conditions, including the receipt of certain governmental approvals.</w:t>
      </w:r>
    </w:p>
    <w:p w14:paraId="5C7C614C" w14:textId="77777777" w:rsidR="0008009C" w:rsidRDefault="00936FDF">
      <w:pPr>
        <w:spacing w:after="180"/>
      </w:pPr>
      <w:r>
        <w:rPr>
          <w:rFonts w:ascii="Arial" w:eastAsia="宋体" w:hAnsi="Arial" w:cs="Arial"/>
          <w:color w:val="262626"/>
          <w:sz w:val="18"/>
          <w:szCs w:val="18"/>
        </w:rPr>
        <w:t xml:space="preserve">At the first closing, Intel will sell to SK hynix the Fab Assets and the NAND SSD Business, and SK </w:t>
      </w:r>
      <w:r>
        <w:rPr>
          <w:rFonts w:ascii="Arial" w:eastAsia="宋体" w:hAnsi="Arial" w:cs="Arial"/>
          <w:color w:val="262626"/>
          <w:sz w:val="18"/>
          <w:szCs w:val="18"/>
        </w:rPr>
        <w:t>hynix will assume from Intel certain liabilities related to the Fab Assets and the NAND SSD Business. In connection with the first closing, we and certain affiliates of SK hynix will also enter into a NAND wafer manufacturing and sale agreement pursuant to</w:t>
      </w:r>
      <w:r>
        <w:rPr>
          <w:rFonts w:ascii="Arial" w:eastAsia="宋体" w:hAnsi="Arial" w:cs="Arial"/>
          <w:color w:val="262626"/>
          <w:sz w:val="18"/>
          <w:szCs w:val="18"/>
        </w:rPr>
        <w:t xml:space="preserve"> which we will manufacture and sell to SK hynix NAND memory wafers to be manufactured using the Fab Assets in Dalian, China, until the second closing.</w:t>
      </w:r>
    </w:p>
    <w:p w14:paraId="5C7C614D" w14:textId="77777777" w:rsidR="0008009C" w:rsidRDefault="00936FDF">
      <w:pPr>
        <w:spacing w:after="180"/>
      </w:pPr>
      <w:r>
        <w:rPr>
          <w:rFonts w:ascii="Arial" w:eastAsia="宋体" w:hAnsi="Arial" w:cs="Arial"/>
          <w:color w:val="262626"/>
          <w:sz w:val="18"/>
          <w:szCs w:val="18"/>
        </w:rPr>
        <w:t xml:space="preserve">We will transfer certain employees, IP, and other assets related to the NAND OpCo Business to separately </w:t>
      </w:r>
      <w:r>
        <w:rPr>
          <w:rFonts w:ascii="Arial" w:eastAsia="宋体" w:hAnsi="Arial" w:cs="Arial"/>
          <w:color w:val="262626"/>
          <w:sz w:val="18"/>
          <w:szCs w:val="18"/>
        </w:rPr>
        <w:t>created, wholly owned subsidiaries of Intel at the first closing. The equity interest of these wholly owned subsidiaries will transfer to SK hynix at the second closing. We have concluded based on the terms of the transaction agreements that the subsidiari</w:t>
      </w:r>
      <w:r>
        <w:rPr>
          <w:rFonts w:ascii="Arial" w:eastAsia="宋体" w:hAnsi="Arial" w:cs="Arial"/>
          <w:color w:val="262626"/>
          <w:sz w:val="18"/>
          <w:szCs w:val="18"/>
        </w:rPr>
        <w:t xml:space="preserve">es will be variable interest entities for which we are not the primary beneficiary, and accordingly will deconsolidate at the first closing. </w:t>
      </w:r>
    </w:p>
    <w:p w14:paraId="5C7C614E" w14:textId="77777777" w:rsidR="0008009C" w:rsidRDefault="0008009C">
      <w:pPr>
        <w:spacing w:after="180"/>
      </w:pPr>
    </w:p>
    <w:p w14:paraId="5C7C614F" w14:textId="77777777" w:rsidR="0008009C" w:rsidRDefault="0008009C">
      <w:pPr>
        <w:spacing w:after="180"/>
      </w:pPr>
    </w:p>
    <w:p w14:paraId="5C7C6150" w14:textId="77777777" w:rsidR="0008009C" w:rsidRDefault="0008009C">
      <w:pPr>
        <w:spacing w:after="180"/>
      </w:pPr>
    </w:p>
    <w:p w14:paraId="5C7C6151" w14:textId="77777777" w:rsidR="0008009C" w:rsidRDefault="0008009C">
      <w:pPr>
        <w:spacing w:after="180"/>
      </w:pPr>
    </w:p>
    <w:p w14:paraId="5C7C6152" w14:textId="77777777" w:rsidR="0008009C" w:rsidRDefault="0008009C">
      <w:pPr>
        <w:spacing w:after="180"/>
      </w:pPr>
    </w:p>
    <w:p w14:paraId="5C7C6153" w14:textId="77777777" w:rsidR="0008009C" w:rsidRDefault="0008009C">
      <w:pPr>
        <w:spacing w:after="180"/>
      </w:pPr>
    </w:p>
    <w:p w14:paraId="5C7C6154" w14:textId="77777777" w:rsidR="0008009C" w:rsidRDefault="0008009C">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8009C" w14:paraId="5C7C6161" w14:textId="77777777">
        <w:tc>
          <w:tcPr>
            <w:tcW w:w="50" w:type="pct"/>
            <w:shd w:val="clear" w:color="auto" w:fill="auto"/>
            <w:vAlign w:val="bottom"/>
          </w:tcPr>
          <w:p w14:paraId="5C7C6155" w14:textId="77777777" w:rsidR="0008009C" w:rsidRDefault="0008009C">
            <w:pPr>
              <w:rPr>
                <w:rFonts w:ascii="宋体"/>
              </w:rPr>
            </w:pPr>
          </w:p>
        </w:tc>
        <w:tc>
          <w:tcPr>
            <w:tcW w:w="238" w:type="pct"/>
            <w:shd w:val="clear" w:color="auto" w:fill="auto"/>
            <w:vAlign w:val="bottom"/>
          </w:tcPr>
          <w:p w14:paraId="5C7C6156" w14:textId="77777777" w:rsidR="0008009C" w:rsidRDefault="0008009C">
            <w:pPr>
              <w:rPr>
                <w:rFonts w:ascii="宋体"/>
              </w:rPr>
            </w:pPr>
          </w:p>
        </w:tc>
        <w:tc>
          <w:tcPr>
            <w:tcW w:w="5" w:type="pct"/>
            <w:shd w:val="clear" w:color="auto" w:fill="auto"/>
            <w:vAlign w:val="bottom"/>
          </w:tcPr>
          <w:p w14:paraId="5C7C6157" w14:textId="77777777" w:rsidR="0008009C" w:rsidRDefault="0008009C">
            <w:pPr>
              <w:rPr>
                <w:rFonts w:ascii="宋体"/>
              </w:rPr>
            </w:pPr>
          </w:p>
        </w:tc>
        <w:tc>
          <w:tcPr>
            <w:tcW w:w="50" w:type="pct"/>
            <w:shd w:val="clear" w:color="auto" w:fill="auto"/>
            <w:vAlign w:val="bottom"/>
          </w:tcPr>
          <w:p w14:paraId="5C7C6158" w14:textId="77777777" w:rsidR="0008009C" w:rsidRDefault="0008009C">
            <w:pPr>
              <w:rPr>
                <w:rFonts w:ascii="宋体"/>
              </w:rPr>
            </w:pPr>
          </w:p>
        </w:tc>
        <w:tc>
          <w:tcPr>
            <w:tcW w:w="983" w:type="pct"/>
            <w:shd w:val="clear" w:color="auto" w:fill="auto"/>
            <w:vAlign w:val="bottom"/>
          </w:tcPr>
          <w:p w14:paraId="5C7C6159" w14:textId="77777777" w:rsidR="0008009C" w:rsidRDefault="0008009C">
            <w:pPr>
              <w:rPr>
                <w:rFonts w:ascii="宋体"/>
              </w:rPr>
            </w:pPr>
          </w:p>
        </w:tc>
        <w:tc>
          <w:tcPr>
            <w:tcW w:w="5" w:type="pct"/>
            <w:shd w:val="clear" w:color="auto" w:fill="auto"/>
            <w:vAlign w:val="bottom"/>
          </w:tcPr>
          <w:p w14:paraId="5C7C615A" w14:textId="77777777" w:rsidR="0008009C" w:rsidRDefault="0008009C">
            <w:pPr>
              <w:rPr>
                <w:rFonts w:ascii="宋体"/>
              </w:rPr>
            </w:pPr>
          </w:p>
        </w:tc>
        <w:tc>
          <w:tcPr>
            <w:tcW w:w="50" w:type="pct"/>
            <w:shd w:val="clear" w:color="auto" w:fill="auto"/>
            <w:vAlign w:val="bottom"/>
          </w:tcPr>
          <w:p w14:paraId="5C7C615B" w14:textId="77777777" w:rsidR="0008009C" w:rsidRDefault="0008009C">
            <w:pPr>
              <w:rPr>
                <w:rFonts w:ascii="宋体"/>
              </w:rPr>
            </w:pPr>
          </w:p>
        </w:tc>
        <w:tc>
          <w:tcPr>
            <w:tcW w:w="2035" w:type="pct"/>
            <w:shd w:val="clear" w:color="auto" w:fill="auto"/>
            <w:vAlign w:val="bottom"/>
          </w:tcPr>
          <w:p w14:paraId="5C7C615C" w14:textId="77777777" w:rsidR="0008009C" w:rsidRDefault="0008009C">
            <w:pPr>
              <w:rPr>
                <w:rFonts w:ascii="宋体"/>
              </w:rPr>
            </w:pPr>
          </w:p>
        </w:tc>
        <w:tc>
          <w:tcPr>
            <w:tcW w:w="5" w:type="pct"/>
            <w:shd w:val="clear" w:color="auto" w:fill="auto"/>
            <w:vAlign w:val="bottom"/>
          </w:tcPr>
          <w:p w14:paraId="5C7C615D" w14:textId="77777777" w:rsidR="0008009C" w:rsidRDefault="0008009C">
            <w:pPr>
              <w:rPr>
                <w:rFonts w:ascii="宋体"/>
              </w:rPr>
            </w:pPr>
          </w:p>
        </w:tc>
        <w:tc>
          <w:tcPr>
            <w:tcW w:w="50" w:type="pct"/>
            <w:shd w:val="clear" w:color="auto" w:fill="auto"/>
            <w:vAlign w:val="bottom"/>
          </w:tcPr>
          <w:p w14:paraId="5C7C615E" w14:textId="77777777" w:rsidR="0008009C" w:rsidRDefault="0008009C">
            <w:pPr>
              <w:rPr>
                <w:rFonts w:ascii="宋体"/>
              </w:rPr>
            </w:pPr>
          </w:p>
        </w:tc>
        <w:tc>
          <w:tcPr>
            <w:tcW w:w="1522" w:type="pct"/>
            <w:shd w:val="clear" w:color="auto" w:fill="auto"/>
            <w:vAlign w:val="bottom"/>
          </w:tcPr>
          <w:p w14:paraId="5C7C615F" w14:textId="77777777" w:rsidR="0008009C" w:rsidRDefault="0008009C">
            <w:pPr>
              <w:rPr>
                <w:rFonts w:ascii="宋体"/>
              </w:rPr>
            </w:pPr>
          </w:p>
        </w:tc>
        <w:tc>
          <w:tcPr>
            <w:tcW w:w="5" w:type="pct"/>
            <w:shd w:val="clear" w:color="auto" w:fill="auto"/>
            <w:vAlign w:val="bottom"/>
          </w:tcPr>
          <w:p w14:paraId="5C7C6160" w14:textId="77777777" w:rsidR="0008009C" w:rsidRDefault="0008009C">
            <w:pPr>
              <w:rPr>
                <w:rFonts w:ascii="宋体"/>
              </w:rPr>
            </w:pPr>
          </w:p>
        </w:tc>
      </w:tr>
      <w:tr w:rsidR="0008009C" w14:paraId="5C7C6166"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6162"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0E" wp14:editId="5C7C7D0F">
                  <wp:extent cx="304800" cy="304800"/>
                  <wp:effectExtent l="0" t="0" r="0" b="0"/>
                  <wp:docPr id="100" name="图片 63"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63"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163"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6164" w14:textId="77777777" w:rsidR="0008009C" w:rsidRDefault="00936FDF">
            <w:pPr>
              <w:textAlignment w:val="center"/>
            </w:pPr>
            <w:r>
              <w:rPr>
                <w:rFonts w:ascii="Arial" w:eastAsia="宋体" w:hAnsi="Arial" w:cs="Arial"/>
                <w:color w:val="262626"/>
                <w:sz w:val="16"/>
                <w:szCs w:val="16"/>
              </w:rPr>
              <w:t> Notes to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165" w14:textId="77777777" w:rsidR="0008009C" w:rsidRDefault="00936FDF">
            <w:pPr>
              <w:jc w:val="right"/>
              <w:textAlignment w:val="center"/>
            </w:pPr>
            <w:r>
              <w:rPr>
                <w:rFonts w:ascii="Arial" w:eastAsia="宋体" w:hAnsi="Arial" w:cs="Arial"/>
                <w:color w:val="262626"/>
                <w:sz w:val="16"/>
                <w:szCs w:val="16"/>
              </w:rPr>
              <w:t>12</w:t>
            </w:r>
          </w:p>
        </w:tc>
      </w:tr>
    </w:tbl>
    <w:p w14:paraId="5C7C6167" w14:textId="77777777" w:rsidR="0008009C" w:rsidRDefault="00936FDF">
      <w:r>
        <w:pict w14:anchorId="5C7C7D10">
          <v:rect id="_x0000_i1038" style="width:415.3pt;height:1.5pt" o:hralign="center" o:hrstd="t" o:hr="t" fillcolor="#a0a0a0" stroked="f"/>
        </w:pict>
      </w:r>
    </w:p>
    <w:p w14:paraId="5C7C6168" w14:textId="77777777" w:rsidR="0008009C" w:rsidRDefault="0008009C">
      <w:pPr>
        <w:spacing w:after="180"/>
      </w:pPr>
    </w:p>
    <w:p w14:paraId="5C7C6169" w14:textId="77777777" w:rsidR="0008009C" w:rsidRDefault="00936FDF">
      <w:pPr>
        <w:spacing w:after="120"/>
      </w:pPr>
      <w:r>
        <w:rPr>
          <w:rFonts w:ascii="Arial" w:eastAsia="宋体" w:hAnsi="Arial" w:cs="Arial"/>
          <w:color w:val="262626"/>
          <w:sz w:val="18"/>
          <w:szCs w:val="18"/>
        </w:rPr>
        <w:t xml:space="preserve">The carrying amounts of the major classes of </w:t>
      </w:r>
      <w:r>
        <w:rPr>
          <w:rFonts w:ascii="Arial" w:eastAsia="宋体" w:hAnsi="Arial" w:cs="Arial"/>
          <w:color w:val="262626"/>
          <w:sz w:val="18"/>
          <w:szCs w:val="18"/>
        </w:rPr>
        <w:t>NAND assets held for sale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38"/>
        <w:gridCol w:w="6105"/>
        <w:gridCol w:w="37"/>
        <w:gridCol w:w="36"/>
        <w:gridCol w:w="36"/>
        <w:gridCol w:w="36"/>
        <w:gridCol w:w="121"/>
        <w:gridCol w:w="813"/>
        <w:gridCol w:w="36"/>
        <w:gridCol w:w="36"/>
        <w:gridCol w:w="36"/>
        <w:gridCol w:w="36"/>
        <w:gridCol w:w="121"/>
        <w:gridCol w:w="813"/>
        <w:gridCol w:w="36"/>
      </w:tblGrid>
      <w:tr w:rsidR="0008009C" w14:paraId="5C7C6179" w14:textId="77777777">
        <w:tc>
          <w:tcPr>
            <w:tcW w:w="50" w:type="pct"/>
            <w:shd w:val="clear" w:color="auto" w:fill="auto"/>
          </w:tcPr>
          <w:p w14:paraId="5C7C616A" w14:textId="77777777" w:rsidR="0008009C" w:rsidRDefault="0008009C">
            <w:pPr>
              <w:rPr>
                <w:rFonts w:ascii="宋体"/>
              </w:rPr>
            </w:pPr>
          </w:p>
        </w:tc>
        <w:tc>
          <w:tcPr>
            <w:tcW w:w="3688" w:type="pct"/>
            <w:shd w:val="clear" w:color="auto" w:fill="auto"/>
          </w:tcPr>
          <w:p w14:paraId="5C7C616B" w14:textId="77777777" w:rsidR="0008009C" w:rsidRDefault="0008009C">
            <w:pPr>
              <w:rPr>
                <w:rFonts w:ascii="宋体"/>
              </w:rPr>
            </w:pPr>
          </w:p>
        </w:tc>
        <w:tc>
          <w:tcPr>
            <w:tcW w:w="5" w:type="pct"/>
            <w:shd w:val="clear" w:color="auto" w:fill="auto"/>
          </w:tcPr>
          <w:p w14:paraId="5C7C616C" w14:textId="77777777" w:rsidR="0008009C" w:rsidRDefault="0008009C">
            <w:pPr>
              <w:rPr>
                <w:rFonts w:ascii="宋体"/>
              </w:rPr>
            </w:pPr>
          </w:p>
        </w:tc>
        <w:tc>
          <w:tcPr>
            <w:tcW w:w="5" w:type="pct"/>
            <w:shd w:val="clear" w:color="auto" w:fill="auto"/>
          </w:tcPr>
          <w:p w14:paraId="5C7C616D" w14:textId="77777777" w:rsidR="0008009C" w:rsidRDefault="0008009C">
            <w:pPr>
              <w:rPr>
                <w:rFonts w:ascii="宋体"/>
              </w:rPr>
            </w:pPr>
          </w:p>
        </w:tc>
        <w:tc>
          <w:tcPr>
            <w:tcW w:w="24" w:type="pct"/>
            <w:shd w:val="clear" w:color="auto" w:fill="auto"/>
          </w:tcPr>
          <w:p w14:paraId="5C7C616E" w14:textId="77777777" w:rsidR="0008009C" w:rsidRDefault="0008009C">
            <w:pPr>
              <w:rPr>
                <w:rFonts w:ascii="宋体"/>
              </w:rPr>
            </w:pPr>
          </w:p>
        </w:tc>
        <w:tc>
          <w:tcPr>
            <w:tcW w:w="5" w:type="pct"/>
            <w:shd w:val="clear" w:color="auto" w:fill="auto"/>
          </w:tcPr>
          <w:p w14:paraId="5C7C616F" w14:textId="77777777" w:rsidR="0008009C" w:rsidRDefault="0008009C">
            <w:pPr>
              <w:rPr>
                <w:rFonts w:ascii="宋体"/>
              </w:rPr>
            </w:pPr>
          </w:p>
        </w:tc>
        <w:tc>
          <w:tcPr>
            <w:tcW w:w="50" w:type="pct"/>
            <w:shd w:val="clear" w:color="auto" w:fill="auto"/>
          </w:tcPr>
          <w:p w14:paraId="5C7C6170" w14:textId="77777777" w:rsidR="0008009C" w:rsidRDefault="0008009C">
            <w:pPr>
              <w:rPr>
                <w:rFonts w:ascii="宋体"/>
              </w:rPr>
            </w:pPr>
          </w:p>
        </w:tc>
        <w:tc>
          <w:tcPr>
            <w:tcW w:w="539" w:type="pct"/>
            <w:shd w:val="clear" w:color="auto" w:fill="auto"/>
          </w:tcPr>
          <w:p w14:paraId="5C7C6171" w14:textId="77777777" w:rsidR="0008009C" w:rsidRDefault="0008009C">
            <w:pPr>
              <w:rPr>
                <w:rFonts w:ascii="宋体"/>
              </w:rPr>
            </w:pPr>
          </w:p>
        </w:tc>
        <w:tc>
          <w:tcPr>
            <w:tcW w:w="5" w:type="pct"/>
            <w:shd w:val="clear" w:color="auto" w:fill="auto"/>
          </w:tcPr>
          <w:p w14:paraId="5C7C6172" w14:textId="77777777" w:rsidR="0008009C" w:rsidRDefault="0008009C">
            <w:pPr>
              <w:rPr>
                <w:rFonts w:ascii="宋体"/>
              </w:rPr>
            </w:pPr>
          </w:p>
        </w:tc>
        <w:tc>
          <w:tcPr>
            <w:tcW w:w="5" w:type="pct"/>
            <w:shd w:val="clear" w:color="auto" w:fill="auto"/>
          </w:tcPr>
          <w:p w14:paraId="5C7C6173" w14:textId="77777777" w:rsidR="0008009C" w:rsidRDefault="0008009C">
            <w:pPr>
              <w:rPr>
                <w:rFonts w:ascii="宋体"/>
              </w:rPr>
            </w:pPr>
          </w:p>
        </w:tc>
        <w:tc>
          <w:tcPr>
            <w:tcW w:w="24" w:type="pct"/>
            <w:shd w:val="clear" w:color="auto" w:fill="auto"/>
          </w:tcPr>
          <w:p w14:paraId="5C7C6174" w14:textId="77777777" w:rsidR="0008009C" w:rsidRDefault="0008009C">
            <w:pPr>
              <w:rPr>
                <w:rFonts w:ascii="宋体"/>
              </w:rPr>
            </w:pPr>
          </w:p>
        </w:tc>
        <w:tc>
          <w:tcPr>
            <w:tcW w:w="5" w:type="pct"/>
            <w:shd w:val="clear" w:color="auto" w:fill="auto"/>
          </w:tcPr>
          <w:p w14:paraId="5C7C6175" w14:textId="77777777" w:rsidR="0008009C" w:rsidRDefault="0008009C">
            <w:pPr>
              <w:rPr>
                <w:rFonts w:ascii="宋体"/>
              </w:rPr>
            </w:pPr>
          </w:p>
        </w:tc>
        <w:tc>
          <w:tcPr>
            <w:tcW w:w="50" w:type="pct"/>
            <w:shd w:val="clear" w:color="auto" w:fill="auto"/>
          </w:tcPr>
          <w:p w14:paraId="5C7C6176" w14:textId="77777777" w:rsidR="0008009C" w:rsidRDefault="0008009C">
            <w:pPr>
              <w:rPr>
                <w:rFonts w:ascii="宋体"/>
              </w:rPr>
            </w:pPr>
          </w:p>
        </w:tc>
        <w:tc>
          <w:tcPr>
            <w:tcW w:w="539" w:type="pct"/>
            <w:shd w:val="clear" w:color="auto" w:fill="auto"/>
          </w:tcPr>
          <w:p w14:paraId="5C7C6177" w14:textId="77777777" w:rsidR="0008009C" w:rsidRDefault="0008009C">
            <w:pPr>
              <w:rPr>
                <w:rFonts w:ascii="宋体"/>
              </w:rPr>
            </w:pPr>
          </w:p>
        </w:tc>
        <w:tc>
          <w:tcPr>
            <w:tcW w:w="5" w:type="pct"/>
            <w:shd w:val="clear" w:color="auto" w:fill="auto"/>
          </w:tcPr>
          <w:p w14:paraId="5C7C6178" w14:textId="77777777" w:rsidR="0008009C" w:rsidRDefault="0008009C">
            <w:pPr>
              <w:rPr>
                <w:rFonts w:ascii="宋体"/>
              </w:rPr>
            </w:pPr>
          </w:p>
        </w:tc>
      </w:tr>
      <w:tr w:rsidR="0008009C" w14:paraId="5C7C617F" w14:textId="77777777">
        <w:tc>
          <w:tcPr>
            <w:tcW w:w="0" w:type="auto"/>
            <w:gridSpan w:val="3"/>
            <w:shd w:val="clear" w:color="auto" w:fill="auto"/>
            <w:tcMar>
              <w:top w:w="40" w:type="dxa"/>
              <w:left w:w="20" w:type="dxa"/>
              <w:bottom w:w="40" w:type="dxa"/>
              <w:right w:w="20" w:type="dxa"/>
            </w:tcMar>
            <w:vAlign w:val="bottom"/>
          </w:tcPr>
          <w:p w14:paraId="5C7C617A"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617B"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17C"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shd w:val="clear" w:color="auto" w:fill="auto"/>
            <w:tcMar>
              <w:top w:w="0" w:type="dxa"/>
              <w:left w:w="20" w:type="dxa"/>
              <w:bottom w:w="0" w:type="dxa"/>
              <w:right w:w="20" w:type="dxa"/>
            </w:tcMar>
          </w:tcPr>
          <w:p w14:paraId="5C7C617D"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17E" w14:textId="77777777" w:rsidR="0008009C" w:rsidRDefault="00936FDF">
            <w:pPr>
              <w:jc w:val="center"/>
              <w:textAlignment w:val="bottom"/>
            </w:pPr>
            <w:r>
              <w:rPr>
                <w:rFonts w:ascii="Arial" w:eastAsia="宋体" w:hAnsi="Arial" w:cs="Arial"/>
                <w:b/>
                <w:bCs/>
                <w:color w:val="262626"/>
                <w:sz w:val="18"/>
                <w:szCs w:val="18"/>
              </w:rPr>
              <w:t>Dec 26, 2020</w:t>
            </w:r>
          </w:p>
        </w:tc>
      </w:tr>
      <w:tr w:rsidR="0008009C" w14:paraId="5C7C6189"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180" w14:textId="77777777" w:rsidR="0008009C" w:rsidRDefault="00936FDF">
            <w:pPr>
              <w:textAlignment w:val="bottom"/>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tcPr>
          <w:p w14:paraId="5C7C6181"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182"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183" w14:textId="77777777" w:rsidR="0008009C" w:rsidRDefault="00936FDF">
            <w:pPr>
              <w:jc w:val="right"/>
              <w:textAlignment w:val="bottom"/>
            </w:pPr>
            <w:r>
              <w:rPr>
                <w:rFonts w:ascii="Arial" w:eastAsia="宋体" w:hAnsi="Arial" w:cs="Arial"/>
                <w:color w:val="0068B5"/>
                <w:sz w:val="18"/>
                <w:szCs w:val="18"/>
              </w:rPr>
              <w:t>723 </w:t>
            </w:r>
          </w:p>
        </w:tc>
        <w:tc>
          <w:tcPr>
            <w:tcW w:w="0" w:type="auto"/>
            <w:tcBorders>
              <w:top w:val="single" w:sz="8" w:space="0" w:color="0068B5"/>
            </w:tcBorders>
            <w:shd w:val="clear" w:color="auto" w:fill="auto"/>
            <w:tcMar>
              <w:top w:w="40" w:type="dxa"/>
              <w:left w:w="0" w:type="dxa"/>
              <w:bottom w:w="40" w:type="dxa"/>
              <w:right w:w="20" w:type="dxa"/>
            </w:tcMar>
            <w:vAlign w:val="bottom"/>
          </w:tcPr>
          <w:p w14:paraId="5C7C618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185"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186" w14:textId="77777777" w:rsidR="0008009C" w:rsidRDefault="00936FDF">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187" w14:textId="77777777" w:rsidR="0008009C" w:rsidRDefault="00936FDF">
            <w:pPr>
              <w:jc w:val="right"/>
              <w:textAlignment w:val="bottom"/>
            </w:pPr>
            <w:r>
              <w:rPr>
                <w:rFonts w:ascii="Arial" w:eastAsia="宋体" w:hAnsi="Arial" w:cs="Arial"/>
                <w:color w:val="262626"/>
                <w:sz w:val="18"/>
                <w:szCs w:val="18"/>
              </w:rPr>
              <w:t>962 </w:t>
            </w:r>
          </w:p>
        </w:tc>
        <w:tc>
          <w:tcPr>
            <w:tcW w:w="0" w:type="auto"/>
            <w:tcBorders>
              <w:top w:val="single" w:sz="8" w:space="0" w:color="0068B5"/>
            </w:tcBorders>
            <w:shd w:val="clear" w:color="auto" w:fill="auto"/>
            <w:tcMar>
              <w:top w:w="40" w:type="dxa"/>
              <w:left w:w="0" w:type="dxa"/>
              <w:bottom w:w="40" w:type="dxa"/>
              <w:right w:w="20" w:type="dxa"/>
            </w:tcMar>
            <w:vAlign w:val="bottom"/>
          </w:tcPr>
          <w:p w14:paraId="5C7C6188" w14:textId="77777777" w:rsidR="0008009C" w:rsidRDefault="0008009C">
            <w:pPr>
              <w:jc w:val="right"/>
              <w:rPr>
                <w:rFonts w:ascii="宋体"/>
              </w:rPr>
            </w:pPr>
          </w:p>
        </w:tc>
      </w:tr>
      <w:tr w:rsidR="0008009C" w14:paraId="5C7C6191" w14:textId="77777777">
        <w:tc>
          <w:tcPr>
            <w:tcW w:w="0" w:type="auto"/>
            <w:gridSpan w:val="3"/>
            <w:shd w:val="clear" w:color="auto" w:fill="auto"/>
            <w:tcMar>
              <w:top w:w="40" w:type="dxa"/>
              <w:left w:w="20" w:type="dxa"/>
              <w:bottom w:w="40" w:type="dxa"/>
              <w:right w:w="20" w:type="dxa"/>
            </w:tcMar>
            <w:vAlign w:val="bottom"/>
          </w:tcPr>
          <w:p w14:paraId="5C7C618A" w14:textId="77777777" w:rsidR="0008009C" w:rsidRDefault="00936FDF">
            <w:pPr>
              <w:textAlignment w:val="bottom"/>
            </w:pPr>
            <w:r>
              <w:rPr>
                <w:rFonts w:ascii="Arial" w:eastAsia="宋体" w:hAnsi="Arial" w:cs="Arial"/>
                <w:color w:val="262626"/>
                <w:sz w:val="18"/>
                <w:szCs w:val="18"/>
              </w:rPr>
              <w:t>Property, plant and equipment, net</w:t>
            </w:r>
          </w:p>
        </w:tc>
        <w:tc>
          <w:tcPr>
            <w:tcW w:w="0" w:type="auto"/>
            <w:gridSpan w:val="3"/>
            <w:shd w:val="clear" w:color="auto" w:fill="auto"/>
            <w:tcMar>
              <w:top w:w="0" w:type="dxa"/>
              <w:left w:w="20" w:type="dxa"/>
              <w:bottom w:w="0" w:type="dxa"/>
              <w:right w:w="20" w:type="dxa"/>
            </w:tcMar>
          </w:tcPr>
          <w:p w14:paraId="5C7C618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18C" w14:textId="77777777" w:rsidR="0008009C" w:rsidRDefault="00936FDF">
            <w:pPr>
              <w:jc w:val="right"/>
              <w:textAlignment w:val="bottom"/>
            </w:pPr>
            <w:r>
              <w:rPr>
                <w:rFonts w:ascii="Arial" w:eastAsia="宋体" w:hAnsi="Arial" w:cs="Arial"/>
                <w:color w:val="0068B5"/>
                <w:sz w:val="18"/>
                <w:szCs w:val="18"/>
              </w:rPr>
              <w:t>4,759 </w:t>
            </w:r>
          </w:p>
        </w:tc>
        <w:tc>
          <w:tcPr>
            <w:tcW w:w="0" w:type="auto"/>
            <w:shd w:val="clear" w:color="auto" w:fill="auto"/>
            <w:tcMar>
              <w:top w:w="40" w:type="dxa"/>
              <w:left w:w="0" w:type="dxa"/>
              <w:bottom w:w="40" w:type="dxa"/>
              <w:right w:w="20" w:type="dxa"/>
            </w:tcMar>
            <w:vAlign w:val="bottom"/>
          </w:tcPr>
          <w:p w14:paraId="5C7C618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18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18F" w14:textId="77777777" w:rsidR="0008009C" w:rsidRDefault="00936FDF">
            <w:pPr>
              <w:jc w:val="right"/>
              <w:textAlignment w:val="bottom"/>
            </w:pPr>
            <w:r>
              <w:rPr>
                <w:rFonts w:ascii="Arial" w:eastAsia="宋体" w:hAnsi="Arial" w:cs="Arial"/>
                <w:color w:val="262626"/>
                <w:sz w:val="18"/>
                <w:szCs w:val="18"/>
              </w:rPr>
              <w:t>4,363 </w:t>
            </w:r>
          </w:p>
        </w:tc>
        <w:tc>
          <w:tcPr>
            <w:tcW w:w="0" w:type="auto"/>
            <w:shd w:val="clear" w:color="auto" w:fill="auto"/>
            <w:tcMar>
              <w:top w:w="40" w:type="dxa"/>
              <w:left w:w="0" w:type="dxa"/>
              <w:bottom w:w="40" w:type="dxa"/>
              <w:right w:w="20" w:type="dxa"/>
            </w:tcMar>
            <w:vAlign w:val="bottom"/>
          </w:tcPr>
          <w:p w14:paraId="5C7C6190" w14:textId="77777777" w:rsidR="0008009C" w:rsidRDefault="0008009C">
            <w:pPr>
              <w:jc w:val="right"/>
              <w:rPr>
                <w:rFonts w:ascii="宋体"/>
              </w:rPr>
            </w:pPr>
          </w:p>
        </w:tc>
      </w:tr>
      <w:tr w:rsidR="0008009C" w14:paraId="5C7C619B" w14:textId="77777777">
        <w:tc>
          <w:tcPr>
            <w:tcW w:w="0" w:type="auto"/>
            <w:gridSpan w:val="3"/>
            <w:shd w:val="clear" w:color="auto" w:fill="auto"/>
            <w:tcMar>
              <w:top w:w="40" w:type="dxa"/>
              <w:left w:w="20" w:type="dxa"/>
              <w:bottom w:w="40" w:type="dxa"/>
              <w:right w:w="20" w:type="dxa"/>
            </w:tcMar>
            <w:vAlign w:val="bottom"/>
          </w:tcPr>
          <w:p w14:paraId="5C7C6192" w14:textId="77777777" w:rsidR="0008009C" w:rsidRDefault="00936FDF">
            <w:pPr>
              <w:textAlignment w:val="bottom"/>
            </w:pPr>
            <w:r>
              <w:rPr>
                <w:rFonts w:ascii="Arial" w:eastAsia="宋体" w:hAnsi="Arial" w:cs="Arial"/>
                <w:b/>
                <w:bCs/>
                <w:color w:val="262626"/>
                <w:sz w:val="18"/>
                <w:szCs w:val="18"/>
              </w:rPr>
              <w:t>Total assets held for sale</w:t>
            </w:r>
          </w:p>
        </w:tc>
        <w:tc>
          <w:tcPr>
            <w:tcW w:w="0" w:type="auto"/>
            <w:gridSpan w:val="3"/>
            <w:shd w:val="clear" w:color="auto" w:fill="auto"/>
            <w:tcMar>
              <w:top w:w="0" w:type="dxa"/>
              <w:left w:w="20" w:type="dxa"/>
              <w:bottom w:w="0" w:type="dxa"/>
              <w:right w:w="20" w:type="dxa"/>
            </w:tcMar>
          </w:tcPr>
          <w:p w14:paraId="5C7C6193"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194"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195" w14:textId="77777777" w:rsidR="0008009C" w:rsidRDefault="00936FDF">
            <w:pPr>
              <w:jc w:val="right"/>
              <w:textAlignment w:val="bottom"/>
            </w:pPr>
            <w:r>
              <w:rPr>
                <w:rFonts w:ascii="Arial" w:eastAsia="宋体" w:hAnsi="Arial" w:cs="Arial"/>
                <w:b/>
                <w:bCs/>
                <w:color w:val="0068B5"/>
                <w:sz w:val="18"/>
                <w:szCs w:val="18"/>
              </w:rPr>
              <w:t>5,482</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19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197"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198"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199" w14:textId="77777777" w:rsidR="0008009C" w:rsidRDefault="00936FDF">
            <w:pPr>
              <w:jc w:val="right"/>
              <w:textAlignment w:val="bottom"/>
            </w:pPr>
            <w:r>
              <w:rPr>
                <w:rFonts w:ascii="Arial" w:eastAsia="宋体" w:hAnsi="Arial" w:cs="Arial"/>
                <w:b/>
                <w:bCs/>
                <w:color w:val="262626"/>
                <w:sz w:val="18"/>
                <w:szCs w:val="18"/>
              </w:rPr>
              <w:t>5,325</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19A" w14:textId="77777777" w:rsidR="0008009C" w:rsidRDefault="0008009C">
            <w:pPr>
              <w:jc w:val="right"/>
              <w:rPr>
                <w:rFonts w:ascii="宋体"/>
              </w:rPr>
            </w:pPr>
          </w:p>
        </w:tc>
      </w:tr>
    </w:tbl>
    <w:p w14:paraId="5C7C619C" w14:textId="77777777" w:rsidR="0008009C" w:rsidRDefault="00936FDF">
      <w:pPr>
        <w:spacing w:after="180"/>
      </w:pPr>
      <w:r>
        <w:rPr>
          <w:rFonts w:ascii="Arial" w:eastAsia="宋体" w:hAnsi="Arial" w:cs="Arial"/>
          <w:color w:val="262626"/>
          <w:sz w:val="18"/>
          <w:szCs w:val="18"/>
        </w:rPr>
        <w:t xml:space="preserve">We </w:t>
      </w:r>
      <w:r>
        <w:rPr>
          <w:rFonts w:ascii="Arial" w:eastAsia="宋体" w:hAnsi="Arial" w:cs="Arial"/>
          <w:color w:val="262626"/>
          <w:sz w:val="18"/>
          <w:szCs w:val="18"/>
        </w:rPr>
        <w:t>ceased recording depreciation on property, plant and equipment as of the date the assets triggered held for sale accounting. Total capital purchases of approximately $1.8 billion expected in 2021 prior to the first closing will be classified as assets held</w:t>
      </w:r>
      <w:r>
        <w:rPr>
          <w:rFonts w:ascii="Arial" w:eastAsia="宋体" w:hAnsi="Arial" w:cs="Arial"/>
          <w:color w:val="262626"/>
          <w:sz w:val="18"/>
          <w:szCs w:val="18"/>
        </w:rPr>
        <w:t xml:space="preserve"> for sale in the Consolidated Condensed Balance Sheets and within additions to held for sale NAND property, plant and equipment on the Consolidated Condensed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8009C" w14:paraId="5C7C61A3" w14:textId="77777777">
        <w:tc>
          <w:tcPr>
            <w:tcW w:w="50" w:type="pct"/>
            <w:shd w:val="clear" w:color="auto" w:fill="auto"/>
          </w:tcPr>
          <w:p w14:paraId="5C7C619D" w14:textId="77777777" w:rsidR="0008009C" w:rsidRDefault="0008009C">
            <w:pPr>
              <w:rPr>
                <w:rFonts w:ascii="宋体"/>
              </w:rPr>
            </w:pPr>
          </w:p>
        </w:tc>
        <w:tc>
          <w:tcPr>
            <w:tcW w:w="511" w:type="pct"/>
            <w:shd w:val="clear" w:color="auto" w:fill="auto"/>
          </w:tcPr>
          <w:p w14:paraId="5C7C619E" w14:textId="77777777" w:rsidR="0008009C" w:rsidRDefault="0008009C">
            <w:pPr>
              <w:rPr>
                <w:rFonts w:ascii="宋体"/>
              </w:rPr>
            </w:pPr>
          </w:p>
        </w:tc>
        <w:tc>
          <w:tcPr>
            <w:tcW w:w="5" w:type="pct"/>
            <w:shd w:val="clear" w:color="auto" w:fill="auto"/>
          </w:tcPr>
          <w:p w14:paraId="5C7C619F" w14:textId="77777777" w:rsidR="0008009C" w:rsidRDefault="0008009C">
            <w:pPr>
              <w:rPr>
                <w:rFonts w:ascii="宋体"/>
              </w:rPr>
            </w:pPr>
          </w:p>
        </w:tc>
        <w:tc>
          <w:tcPr>
            <w:tcW w:w="50" w:type="pct"/>
            <w:shd w:val="clear" w:color="auto" w:fill="auto"/>
          </w:tcPr>
          <w:p w14:paraId="5C7C61A0" w14:textId="77777777" w:rsidR="0008009C" w:rsidRDefault="0008009C">
            <w:pPr>
              <w:rPr>
                <w:rFonts w:ascii="宋体"/>
              </w:rPr>
            </w:pPr>
          </w:p>
        </w:tc>
        <w:tc>
          <w:tcPr>
            <w:tcW w:w="4378" w:type="pct"/>
            <w:shd w:val="clear" w:color="auto" w:fill="auto"/>
          </w:tcPr>
          <w:p w14:paraId="5C7C61A1" w14:textId="77777777" w:rsidR="0008009C" w:rsidRDefault="0008009C">
            <w:pPr>
              <w:rPr>
                <w:rFonts w:ascii="宋体"/>
              </w:rPr>
            </w:pPr>
          </w:p>
        </w:tc>
        <w:tc>
          <w:tcPr>
            <w:tcW w:w="5" w:type="pct"/>
            <w:shd w:val="clear" w:color="auto" w:fill="auto"/>
          </w:tcPr>
          <w:p w14:paraId="5C7C61A2" w14:textId="77777777" w:rsidR="0008009C" w:rsidRDefault="0008009C">
            <w:pPr>
              <w:rPr>
                <w:rFonts w:ascii="宋体"/>
              </w:rPr>
            </w:pPr>
          </w:p>
        </w:tc>
      </w:tr>
      <w:tr w:rsidR="0008009C" w14:paraId="5C7C61A6"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C7C61A4" w14:textId="77777777" w:rsidR="0008009C" w:rsidRDefault="00936FDF">
            <w:pPr>
              <w:textAlignment w:val="bottom"/>
            </w:pPr>
            <w:r>
              <w:rPr>
                <w:rFonts w:ascii="Arial" w:eastAsia="宋体" w:hAnsi="Arial" w:cs="Arial"/>
                <w:color w:val="FFFFFF"/>
                <w:sz w:val="28"/>
                <w:szCs w:val="28"/>
              </w:rPr>
              <w:t xml:space="preserve">Note 9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C7C61A5" w14:textId="77777777" w:rsidR="0008009C" w:rsidRDefault="00936FDF">
            <w:pPr>
              <w:textAlignment w:val="bottom"/>
            </w:pPr>
            <w:r>
              <w:rPr>
                <w:rFonts w:ascii="Arial" w:eastAsia="宋体" w:hAnsi="Arial" w:cs="Arial"/>
                <w:color w:val="0068B5"/>
                <w:sz w:val="28"/>
                <w:szCs w:val="28"/>
              </w:rPr>
              <w:t>Borrowings</w:t>
            </w:r>
          </w:p>
        </w:tc>
      </w:tr>
    </w:tbl>
    <w:p w14:paraId="5C7C61A7" w14:textId="77777777" w:rsidR="0008009C" w:rsidRDefault="00936FDF">
      <w:pPr>
        <w:spacing w:before="180" w:after="180"/>
      </w:pPr>
      <w:r>
        <w:rPr>
          <w:rFonts w:ascii="Arial" w:eastAsia="宋体" w:hAnsi="Arial" w:cs="Arial"/>
          <w:color w:val="262626"/>
          <w:sz w:val="18"/>
          <w:szCs w:val="18"/>
        </w:rPr>
        <w:t xml:space="preserve">In March 2021, we entered into a $5.0 </w:t>
      </w:r>
      <w:r>
        <w:rPr>
          <w:rFonts w:ascii="Arial" w:eastAsia="宋体" w:hAnsi="Arial" w:cs="Arial"/>
          <w:color w:val="262626"/>
          <w:sz w:val="18"/>
          <w:szCs w:val="18"/>
        </w:rPr>
        <w:t>billion variable-rate revolving credit facility which, if drawn, is expected to be used for general corporate purposes. The revolving credit facility matures in March 2026 and had no borrowings outstanding as of March 27, 2021.</w:t>
      </w:r>
    </w:p>
    <w:p w14:paraId="5C7C61A8" w14:textId="77777777" w:rsidR="0008009C" w:rsidRDefault="00936FDF">
      <w:pPr>
        <w:spacing w:after="180"/>
      </w:pPr>
      <w:r>
        <w:rPr>
          <w:rFonts w:ascii="Arial" w:eastAsia="宋体" w:hAnsi="Arial" w:cs="Arial"/>
          <w:color w:val="262626"/>
          <w:sz w:val="18"/>
          <w:szCs w:val="18"/>
        </w:rPr>
        <w:t>We have an ongoing authoriza</w:t>
      </w:r>
      <w:r>
        <w:rPr>
          <w:rFonts w:ascii="Arial" w:eastAsia="宋体" w:hAnsi="Arial" w:cs="Arial"/>
          <w:color w:val="262626"/>
          <w:sz w:val="18"/>
          <w:szCs w:val="18"/>
        </w:rPr>
        <w:t>tion from our Board of Directors to borrow up to $10.0 billion under our commercial paper program.</w:t>
      </w:r>
    </w:p>
    <w:p w14:paraId="5C7C61A9" w14:textId="77777777" w:rsidR="0008009C" w:rsidRDefault="00936FDF">
      <w:pPr>
        <w:spacing w:after="180"/>
      </w:pPr>
      <w:r>
        <w:rPr>
          <w:rFonts w:ascii="Arial" w:eastAsia="宋体" w:hAnsi="Arial" w:cs="Arial"/>
          <w:color w:val="262626"/>
          <w:sz w:val="18"/>
          <w:szCs w:val="18"/>
        </w:rPr>
        <w:t xml:space="preserve">Our senior floating rate notes pay interest quarterly and our senior fixed rate notes pay interest semiannually. We may redeem the fixed rate notes prior to </w:t>
      </w:r>
      <w:r>
        <w:rPr>
          <w:rFonts w:ascii="Arial" w:eastAsia="宋体" w:hAnsi="Arial" w:cs="Arial"/>
          <w:color w:val="262626"/>
          <w:sz w:val="18"/>
          <w:szCs w:val="18"/>
        </w:rPr>
        <w:t>their maturity at our option at specified redemption prices and subject to certain restrictions. The obligations under our notes rank equally in right of payment with all of our other existing and future senior unsecured indebtedness and effectively rank j</w:t>
      </w:r>
      <w:r>
        <w:rPr>
          <w:rFonts w:ascii="Arial" w:eastAsia="宋体" w:hAnsi="Arial" w:cs="Arial"/>
          <w:color w:val="262626"/>
          <w:sz w:val="18"/>
          <w:szCs w:val="18"/>
        </w:rPr>
        <w:t>unior to all liabilities of our subsidiaries.</w:t>
      </w:r>
    </w:p>
    <w:p w14:paraId="5C7C61AA" w14:textId="77777777" w:rsidR="0008009C" w:rsidRDefault="0008009C">
      <w:pPr>
        <w:spacing w:after="180"/>
      </w:pPr>
    </w:p>
    <w:p w14:paraId="5C7C61AB" w14:textId="77777777" w:rsidR="0008009C" w:rsidRDefault="0008009C">
      <w:pPr>
        <w:spacing w:after="180"/>
      </w:pPr>
    </w:p>
    <w:p w14:paraId="5C7C61AC" w14:textId="77777777" w:rsidR="0008009C" w:rsidRDefault="0008009C">
      <w:pPr>
        <w:spacing w:after="180"/>
      </w:pPr>
    </w:p>
    <w:p w14:paraId="5C7C61AD" w14:textId="77777777" w:rsidR="0008009C" w:rsidRDefault="0008009C">
      <w:pPr>
        <w:spacing w:after="180"/>
      </w:pPr>
    </w:p>
    <w:p w14:paraId="5C7C61AE" w14:textId="77777777" w:rsidR="0008009C" w:rsidRDefault="0008009C">
      <w:pPr>
        <w:spacing w:after="180"/>
      </w:pPr>
    </w:p>
    <w:p w14:paraId="5C7C61AF" w14:textId="77777777" w:rsidR="0008009C" w:rsidRDefault="0008009C">
      <w:pPr>
        <w:spacing w:after="180"/>
      </w:pPr>
    </w:p>
    <w:p w14:paraId="5C7C61B0" w14:textId="77777777" w:rsidR="0008009C" w:rsidRDefault="0008009C">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8009C" w14:paraId="5C7C61BD" w14:textId="77777777">
        <w:tc>
          <w:tcPr>
            <w:tcW w:w="50" w:type="pct"/>
            <w:shd w:val="clear" w:color="auto" w:fill="auto"/>
            <w:vAlign w:val="bottom"/>
          </w:tcPr>
          <w:p w14:paraId="5C7C61B1" w14:textId="77777777" w:rsidR="0008009C" w:rsidRDefault="0008009C">
            <w:pPr>
              <w:rPr>
                <w:rFonts w:ascii="宋体"/>
              </w:rPr>
            </w:pPr>
          </w:p>
        </w:tc>
        <w:tc>
          <w:tcPr>
            <w:tcW w:w="238" w:type="pct"/>
            <w:shd w:val="clear" w:color="auto" w:fill="auto"/>
            <w:vAlign w:val="bottom"/>
          </w:tcPr>
          <w:p w14:paraId="5C7C61B2" w14:textId="77777777" w:rsidR="0008009C" w:rsidRDefault="0008009C">
            <w:pPr>
              <w:rPr>
                <w:rFonts w:ascii="宋体"/>
              </w:rPr>
            </w:pPr>
          </w:p>
        </w:tc>
        <w:tc>
          <w:tcPr>
            <w:tcW w:w="5" w:type="pct"/>
            <w:shd w:val="clear" w:color="auto" w:fill="auto"/>
            <w:vAlign w:val="bottom"/>
          </w:tcPr>
          <w:p w14:paraId="5C7C61B3" w14:textId="77777777" w:rsidR="0008009C" w:rsidRDefault="0008009C">
            <w:pPr>
              <w:rPr>
                <w:rFonts w:ascii="宋体"/>
              </w:rPr>
            </w:pPr>
          </w:p>
        </w:tc>
        <w:tc>
          <w:tcPr>
            <w:tcW w:w="50" w:type="pct"/>
            <w:shd w:val="clear" w:color="auto" w:fill="auto"/>
            <w:vAlign w:val="bottom"/>
          </w:tcPr>
          <w:p w14:paraId="5C7C61B4" w14:textId="77777777" w:rsidR="0008009C" w:rsidRDefault="0008009C">
            <w:pPr>
              <w:rPr>
                <w:rFonts w:ascii="宋体"/>
              </w:rPr>
            </w:pPr>
          </w:p>
        </w:tc>
        <w:tc>
          <w:tcPr>
            <w:tcW w:w="983" w:type="pct"/>
            <w:shd w:val="clear" w:color="auto" w:fill="auto"/>
            <w:vAlign w:val="bottom"/>
          </w:tcPr>
          <w:p w14:paraId="5C7C61B5" w14:textId="77777777" w:rsidR="0008009C" w:rsidRDefault="0008009C">
            <w:pPr>
              <w:rPr>
                <w:rFonts w:ascii="宋体"/>
              </w:rPr>
            </w:pPr>
          </w:p>
        </w:tc>
        <w:tc>
          <w:tcPr>
            <w:tcW w:w="5" w:type="pct"/>
            <w:shd w:val="clear" w:color="auto" w:fill="auto"/>
            <w:vAlign w:val="bottom"/>
          </w:tcPr>
          <w:p w14:paraId="5C7C61B6" w14:textId="77777777" w:rsidR="0008009C" w:rsidRDefault="0008009C">
            <w:pPr>
              <w:rPr>
                <w:rFonts w:ascii="宋体"/>
              </w:rPr>
            </w:pPr>
          </w:p>
        </w:tc>
        <w:tc>
          <w:tcPr>
            <w:tcW w:w="50" w:type="pct"/>
            <w:shd w:val="clear" w:color="auto" w:fill="auto"/>
            <w:vAlign w:val="bottom"/>
          </w:tcPr>
          <w:p w14:paraId="5C7C61B7" w14:textId="77777777" w:rsidR="0008009C" w:rsidRDefault="0008009C">
            <w:pPr>
              <w:rPr>
                <w:rFonts w:ascii="宋体"/>
              </w:rPr>
            </w:pPr>
          </w:p>
        </w:tc>
        <w:tc>
          <w:tcPr>
            <w:tcW w:w="2035" w:type="pct"/>
            <w:shd w:val="clear" w:color="auto" w:fill="auto"/>
            <w:vAlign w:val="bottom"/>
          </w:tcPr>
          <w:p w14:paraId="5C7C61B8" w14:textId="77777777" w:rsidR="0008009C" w:rsidRDefault="0008009C">
            <w:pPr>
              <w:rPr>
                <w:rFonts w:ascii="宋体"/>
              </w:rPr>
            </w:pPr>
          </w:p>
        </w:tc>
        <w:tc>
          <w:tcPr>
            <w:tcW w:w="5" w:type="pct"/>
            <w:shd w:val="clear" w:color="auto" w:fill="auto"/>
            <w:vAlign w:val="bottom"/>
          </w:tcPr>
          <w:p w14:paraId="5C7C61B9" w14:textId="77777777" w:rsidR="0008009C" w:rsidRDefault="0008009C">
            <w:pPr>
              <w:rPr>
                <w:rFonts w:ascii="宋体"/>
              </w:rPr>
            </w:pPr>
          </w:p>
        </w:tc>
        <w:tc>
          <w:tcPr>
            <w:tcW w:w="50" w:type="pct"/>
            <w:shd w:val="clear" w:color="auto" w:fill="auto"/>
            <w:vAlign w:val="bottom"/>
          </w:tcPr>
          <w:p w14:paraId="5C7C61BA" w14:textId="77777777" w:rsidR="0008009C" w:rsidRDefault="0008009C">
            <w:pPr>
              <w:rPr>
                <w:rFonts w:ascii="宋体"/>
              </w:rPr>
            </w:pPr>
          </w:p>
        </w:tc>
        <w:tc>
          <w:tcPr>
            <w:tcW w:w="1522" w:type="pct"/>
            <w:shd w:val="clear" w:color="auto" w:fill="auto"/>
            <w:vAlign w:val="bottom"/>
          </w:tcPr>
          <w:p w14:paraId="5C7C61BB" w14:textId="77777777" w:rsidR="0008009C" w:rsidRDefault="0008009C">
            <w:pPr>
              <w:rPr>
                <w:rFonts w:ascii="宋体"/>
              </w:rPr>
            </w:pPr>
          </w:p>
        </w:tc>
        <w:tc>
          <w:tcPr>
            <w:tcW w:w="5" w:type="pct"/>
            <w:shd w:val="clear" w:color="auto" w:fill="auto"/>
            <w:vAlign w:val="bottom"/>
          </w:tcPr>
          <w:p w14:paraId="5C7C61BC" w14:textId="77777777" w:rsidR="0008009C" w:rsidRDefault="0008009C">
            <w:pPr>
              <w:rPr>
                <w:rFonts w:ascii="宋体"/>
              </w:rPr>
            </w:pPr>
          </w:p>
        </w:tc>
      </w:tr>
      <w:tr w:rsidR="0008009C" w14:paraId="5C7C61C2"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61BE"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11" wp14:editId="5C7C7D12">
                  <wp:extent cx="304800" cy="304800"/>
                  <wp:effectExtent l="0" t="0" r="0" b="0"/>
                  <wp:docPr id="101" name="图片 65"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65"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1BF"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61C0" w14:textId="77777777" w:rsidR="0008009C" w:rsidRDefault="00936FDF">
            <w:pPr>
              <w:textAlignment w:val="center"/>
            </w:pPr>
            <w:r>
              <w:rPr>
                <w:rFonts w:ascii="Arial" w:eastAsia="宋体" w:hAnsi="Arial" w:cs="Arial"/>
                <w:color w:val="262626"/>
                <w:sz w:val="16"/>
                <w:szCs w:val="16"/>
              </w:rPr>
              <w:t> Notes to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1C1" w14:textId="77777777" w:rsidR="0008009C" w:rsidRDefault="00936FDF">
            <w:pPr>
              <w:jc w:val="right"/>
              <w:textAlignment w:val="center"/>
            </w:pPr>
            <w:r>
              <w:rPr>
                <w:rFonts w:ascii="Arial" w:eastAsia="宋体" w:hAnsi="Arial" w:cs="Arial"/>
                <w:color w:val="262626"/>
                <w:sz w:val="16"/>
                <w:szCs w:val="16"/>
              </w:rPr>
              <w:t>13</w:t>
            </w:r>
          </w:p>
        </w:tc>
      </w:tr>
    </w:tbl>
    <w:p w14:paraId="5C7C61C3" w14:textId="77777777" w:rsidR="0008009C" w:rsidRDefault="00936FDF">
      <w:r>
        <w:pict w14:anchorId="5C7C7D13">
          <v:rect id="_x0000_i1039" style="width:415.3pt;height:1.5pt" o:hralign="center" o:hrstd="t" o:hr="t" fillcolor="#a0a0a0" stroked="f"/>
        </w:pict>
      </w:r>
    </w:p>
    <w:p w14:paraId="5C7C61C4" w14:textId="77777777" w:rsidR="0008009C" w:rsidRDefault="00936FDF">
      <w:pPr>
        <w:spacing w:after="180"/>
        <w:jc w:val="right"/>
      </w:pPr>
      <w:hyperlink r:id="rId38" w:anchor="i3a00378f6cc84b1c9cfc83239548ad53_7" w:history="1">
        <w:r>
          <w:rPr>
            <w:rStyle w:val="a5"/>
            <w:rFonts w:ascii="Arial" w:eastAsia="宋体" w:hAnsi="Arial" w:cs="Arial"/>
            <w:b/>
            <w:bCs/>
            <w:sz w:val="16"/>
            <w:szCs w:val="16"/>
          </w:rPr>
          <w:t>Table of Contents</w:t>
        </w:r>
      </w:hyperlink>
    </w:p>
    <w:p w14:paraId="5C7C61C5" w14:textId="77777777" w:rsidR="0008009C" w:rsidRDefault="0008009C">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8009C" w14:paraId="5C7C61CC" w14:textId="77777777">
        <w:tc>
          <w:tcPr>
            <w:tcW w:w="50" w:type="pct"/>
            <w:shd w:val="clear" w:color="auto" w:fill="auto"/>
          </w:tcPr>
          <w:p w14:paraId="5C7C61C6" w14:textId="77777777" w:rsidR="0008009C" w:rsidRDefault="0008009C">
            <w:pPr>
              <w:rPr>
                <w:rFonts w:ascii="宋体"/>
              </w:rPr>
            </w:pPr>
          </w:p>
        </w:tc>
        <w:tc>
          <w:tcPr>
            <w:tcW w:w="511" w:type="pct"/>
            <w:shd w:val="clear" w:color="auto" w:fill="auto"/>
          </w:tcPr>
          <w:p w14:paraId="5C7C61C7" w14:textId="77777777" w:rsidR="0008009C" w:rsidRDefault="0008009C">
            <w:pPr>
              <w:rPr>
                <w:rFonts w:ascii="宋体"/>
              </w:rPr>
            </w:pPr>
          </w:p>
        </w:tc>
        <w:tc>
          <w:tcPr>
            <w:tcW w:w="5" w:type="pct"/>
            <w:shd w:val="clear" w:color="auto" w:fill="auto"/>
          </w:tcPr>
          <w:p w14:paraId="5C7C61C8" w14:textId="77777777" w:rsidR="0008009C" w:rsidRDefault="0008009C">
            <w:pPr>
              <w:rPr>
                <w:rFonts w:ascii="宋体"/>
              </w:rPr>
            </w:pPr>
          </w:p>
        </w:tc>
        <w:tc>
          <w:tcPr>
            <w:tcW w:w="50" w:type="pct"/>
            <w:shd w:val="clear" w:color="auto" w:fill="auto"/>
          </w:tcPr>
          <w:p w14:paraId="5C7C61C9" w14:textId="77777777" w:rsidR="0008009C" w:rsidRDefault="0008009C">
            <w:pPr>
              <w:rPr>
                <w:rFonts w:ascii="宋体"/>
              </w:rPr>
            </w:pPr>
          </w:p>
        </w:tc>
        <w:tc>
          <w:tcPr>
            <w:tcW w:w="4378" w:type="pct"/>
            <w:shd w:val="clear" w:color="auto" w:fill="auto"/>
          </w:tcPr>
          <w:p w14:paraId="5C7C61CA" w14:textId="77777777" w:rsidR="0008009C" w:rsidRDefault="0008009C">
            <w:pPr>
              <w:rPr>
                <w:rFonts w:ascii="宋体"/>
              </w:rPr>
            </w:pPr>
          </w:p>
        </w:tc>
        <w:tc>
          <w:tcPr>
            <w:tcW w:w="5" w:type="pct"/>
            <w:shd w:val="clear" w:color="auto" w:fill="auto"/>
          </w:tcPr>
          <w:p w14:paraId="5C7C61CB" w14:textId="77777777" w:rsidR="0008009C" w:rsidRDefault="0008009C">
            <w:pPr>
              <w:rPr>
                <w:rFonts w:ascii="宋体"/>
              </w:rPr>
            </w:pPr>
          </w:p>
        </w:tc>
      </w:tr>
      <w:tr w:rsidR="0008009C" w14:paraId="5C7C61C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C7C61CD" w14:textId="77777777" w:rsidR="0008009C" w:rsidRDefault="00936FDF">
            <w:pPr>
              <w:textAlignment w:val="bottom"/>
            </w:pPr>
            <w:r>
              <w:rPr>
                <w:rFonts w:ascii="Arial" w:eastAsia="宋体" w:hAnsi="Arial" w:cs="Arial"/>
                <w:color w:val="FFFFFF"/>
                <w:sz w:val="28"/>
                <w:szCs w:val="28"/>
              </w:rPr>
              <w:t xml:space="preserve">Note 10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C7C61CE" w14:textId="77777777" w:rsidR="0008009C" w:rsidRDefault="00936FDF">
            <w:pPr>
              <w:textAlignment w:val="bottom"/>
            </w:pPr>
            <w:r>
              <w:rPr>
                <w:rFonts w:ascii="Arial" w:eastAsia="宋体" w:hAnsi="Arial" w:cs="Arial"/>
                <w:color w:val="0068B5"/>
                <w:sz w:val="28"/>
                <w:szCs w:val="28"/>
              </w:rPr>
              <w:t>Fair Value</w:t>
            </w:r>
          </w:p>
        </w:tc>
      </w:tr>
    </w:tbl>
    <w:p w14:paraId="5C7C61D0" w14:textId="77777777" w:rsidR="0008009C" w:rsidRDefault="00936FDF">
      <w:pPr>
        <w:spacing w:before="300" w:after="180"/>
      </w:pPr>
      <w:r>
        <w:rPr>
          <w:rFonts w:ascii="Arial" w:eastAsia="宋体" w:hAnsi="Arial" w:cs="Arial"/>
          <w:color w:val="0068B5"/>
        </w:rPr>
        <w:t xml:space="preserve">Assets and Liabilities Measured and Recorded at </w:t>
      </w:r>
      <w:r>
        <w:rPr>
          <w:rFonts w:ascii="Arial" w:eastAsia="宋体" w:hAnsi="Arial" w:cs="Arial"/>
          <w:color w:val="0068B5"/>
        </w:rPr>
        <w:t>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39"/>
        <w:gridCol w:w="1351"/>
        <w:gridCol w:w="38"/>
        <w:gridCol w:w="36"/>
        <w:gridCol w:w="36"/>
        <w:gridCol w:w="36"/>
        <w:gridCol w:w="122"/>
        <w:gridCol w:w="564"/>
        <w:gridCol w:w="37"/>
        <w:gridCol w:w="37"/>
        <w:gridCol w:w="49"/>
        <w:gridCol w:w="37"/>
        <w:gridCol w:w="121"/>
        <w:gridCol w:w="601"/>
        <w:gridCol w:w="36"/>
        <w:gridCol w:w="36"/>
        <w:gridCol w:w="48"/>
        <w:gridCol w:w="36"/>
        <w:gridCol w:w="121"/>
        <w:gridCol w:w="563"/>
        <w:gridCol w:w="36"/>
        <w:gridCol w:w="36"/>
        <w:gridCol w:w="36"/>
        <w:gridCol w:w="36"/>
        <w:gridCol w:w="121"/>
        <w:gridCol w:w="601"/>
        <w:gridCol w:w="36"/>
        <w:gridCol w:w="36"/>
        <w:gridCol w:w="36"/>
        <w:gridCol w:w="36"/>
        <w:gridCol w:w="122"/>
        <w:gridCol w:w="564"/>
        <w:gridCol w:w="37"/>
        <w:gridCol w:w="37"/>
        <w:gridCol w:w="49"/>
        <w:gridCol w:w="37"/>
        <w:gridCol w:w="121"/>
        <w:gridCol w:w="601"/>
        <w:gridCol w:w="36"/>
        <w:gridCol w:w="36"/>
        <w:gridCol w:w="48"/>
        <w:gridCol w:w="36"/>
        <w:gridCol w:w="121"/>
        <w:gridCol w:w="563"/>
        <w:gridCol w:w="36"/>
        <w:gridCol w:w="36"/>
        <w:gridCol w:w="36"/>
        <w:gridCol w:w="36"/>
        <w:gridCol w:w="121"/>
        <w:gridCol w:w="601"/>
        <w:gridCol w:w="36"/>
        <w:gridCol w:w="36"/>
        <w:gridCol w:w="36"/>
      </w:tblGrid>
      <w:tr w:rsidR="0008009C" w14:paraId="5C7C6206" w14:textId="77777777">
        <w:tc>
          <w:tcPr>
            <w:tcW w:w="50" w:type="pct"/>
            <w:shd w:val="clear" w:color="auto" w:fill="auto"/>
          </w:tcPr>
          <w:p w14:paraId="5C7C61D1" w14:textId="77777777" w:rsidR="0008009C" w:rsidRDefault="0008009C">
            <w:pPr>
              <w:rPr>
                <w:rFonts w:ascii="宋体"/>
              </w:rPr>
            </w:pPr>
          </w:p>
        </w:tc>
        <w:tc>
          <w:tcPr>
            <w:tcW w:w="1994" w:type="pct"/>
            <w:shd w:val="clear" w:color="auto" w:fill="auto"/>
          </w:tcPr>
          <w:p w14:paraId="5C7C61D2" w14:textId="77777777" w:rsidR="0008009C" w:rsidRDefault="0008009C">
            <w:pPr>
              <w:rPr>
                <w:rFonts w:ascii="宋体"/>
              </w:rPr>
            </w:pPr>
          </w:p>
        </w:tc>
        <w:tc>
          <w:tcPr>
            <w:tcW w:w="5" w:type="pct"/>
            <w:shd w:val="clear" w:color="auto" w:fill="auto"/>
          </w:tcPr>
          <w:p w14:paraId="5C7C61D3" w14:textId="77777777" w:rsidR="0008009C" w:rsidRDefault="0008009C">
            <w:pPr>
              <w:rPr>
                <w:rFonts w:ascii="宋体"/>
              </w:rPr>
            </w:pPr>
          </w:p>
        </w:tc>
        <w:tc>
          <w:tcPr>
            <w:tcW w:w="5" w:type="pct"/>
            <w:shd w:val="clear" w:color="auto" w:fill="auto"/>
          </w:tcPr>
          <w:p w14:paraId="5C7C61D4" w14:textId="77777777" w:rsidR="0008009C" w:rsidRDefault="0008009C">
            <w:pPr>
              <w:rPr>
                <w:rFonts w:ascii="宋体"/>
              </w:rPr>
            </w:pPr>
          </w:p>
        </w:tc>
        <w:tc>
          <w:tcPr>
            <w:tcW w:w="24" w:type="pct"/>
            <w:shd w:val="clear" w:color="auto" w:fill="auto"/>
          </w:tcPr>
          <w:p w14:paraId="5C7C61D5" w14:textId="77777777" w:rsidR="0008009C" w:rsidRDefault="0008009C">
            <w:pPr>
              <w:rPr>
                <w:rFonts w:ascii="宋体"/>
              </w:rPr>
            </w:pPr>
          </w:p>
        </w:tc>
        <w:tc>
          <w:tcPr>
            <w:tcW w:w="5" w:type="pct"/>
            <w:shd w:val="clear" w:color="auto" w:fill="auto"/>
          </w:tcPr>
          <w:p w14:paraId="5C7C61D6" w14:textId="77777777" w:rsidR="0008009C" w:rsidRDefault="0008009C">
            <w:pPr>
              <w:rPr>
                <w:rFonts w:ascii="宋体"/>
              </w:rPr>
            </w:pPr>
          </w:p>
        </w:tc>
        <w:tc>
          <w:tcPr>
            <w:tcW w:w="50" w:type="pct"/>
            <w:shd w:val="clear" w:color="auto" w:fill="auto"/>
          </w:tcPr>
          <w:p w14:paraId="5C7C61D7" w14:textId="77777777" w:rsidR="0008009C" w:rsidRDefault="0008009C">
            <w:pPr>
              <w:rPr>
                <w:rFonts w:ascii="宋体"/>
              </w:rPr>
            </w:pPr>
          </w:p>
        </w:tc>
        <w:tc>
          <w:tcPr>
            <w:tcW w:w="279" w:type="pct"/>
            <w:shd w:val="clear" w:color="auto" w:fill="auto"/>
          </w:tcPr>
          <w:p w14:paraId="5C7C61D8" w14:textId="77777777" w:rsidR="0008009C" w:rsidRDefault="0008009C">
            <w:pPr>
              <w:rPr>
                <w:rFonts w:ascii="宋体"/>
              </w:rPr>
            </w:pPr>
          </w:p>
        </w:tc>
        <w:tc>
          <w:tcPr>
            <w:tcW w:w="5" w:type="pct"/>
            <w:shd w:val="clear" w:color="auto" w:fill="auto"/>
          </w:tcPr>
          <w:p w14:paraId="5C7C61D9" w14:textId="77777777" w:rsidR="0008009C" w:rsidRDefault="0008009C">
            <w:pPr>
              <w:rPr>
                <w:rFonts w:ascii="宋体"/>
              </w:rPr>
            </w:pPr>
          </w:p>
        </w:tc>
        <w:tc>
          <w:tcPr>
            <w:tcW w:w="5" w:type="pct"/>
            <w:shd w:val="clear" w:color="auto" w:fill="auto"/>
          </w:tcPr>
          <w:p w14:paraId="5C7C61DA" w14:textId="77777777" w:rsidR="0008009C" w:rsidRDefault="0008009C">
            <w:pPr>
              <w:rPr>
                <w:rFonts w:ascii="宋体"/>
              </w:rPr>
            </w:pPr>
          </w:p>
        </w:tc>
        <w:tc>
          <w:tcPr>
            <w:tcW w:w="24" w:type="pct"/>
            <w:shd w:val="clear" w:color="auto" w:fill="auto"/>
          </w:tcPr>
          <w:p w14:paraId="5C7C61DB" w14:textId="77777777" w:rsidR="0008009C" w:rsidRDefault="0008009C">
            <w:pPr>
              <w:rPr>
                <w:rFonts w:ascii="宋体"/>
              </w:rPr>
            </w:pPr>
          </w:p>
        </w:tc>
        <w:tc>
          <w:tcPr>
            <w:tcW w:w="5" w:type="pct"/>
            <w:shd w:val="clear" w:color="auto" w:fill="auto"/>
          </w:tcPr>
          <w:p w14:paraId="5C7C61DC" w14:textId="77777777" w:rsidR="0008009C" w:rsidRDefault="0008009C">
            <w:pPr>
              <w:rPr>
                <w:rFonts w:ascii="宋体"/>
              </w:rPr>
            </w:pPr>
          </w:p>
        </w:tc>
        <w:tc>
          <w:tcPr>
            <w:tcW w:w="50" w:type="pct"/>
            <w:shd w:val="clear" w:color="auto" w:fill="auto"/>
          </w:tcPr>
          <w:p w14:paraId="5C7C61DD" w14:textId="77777777" w:rsidR="0008009C" w:rsidRDefault="0008009C">
            <w:pPr>
              <w:rPr>
                <w:rFonts w:ascii="宋体"/>
              </w:rPr>
            </w:pPr>
          </w:p>
        </w:tc>
        <w:tc>
          <w:tcPr>
            <w:tcW w:w="279" w:type="pct"/>
            <w:shd w:val="clear" w:color="auto" w:fill="auto"/>
          </w:tcPr>
          <w:p w14:paraId="5C7C61DE" w14:textId="77777777" w:rsidR="0008009C" w:rsidRDefault="0008009C">
            <w:pPr>
              <w:rPr>
                <w:rFonts w:ascii="宋体"/>
              </w:rPr>
            </w:pPr>
          </w:p>
        </w:tc>
        <w:tc>
          <w:tcPr>
            <w:tcW w:w="5" w:type="pct"/>
            <w:shd w:val="clear" w:color="auto" w:fill="auto"/>
          </w:tcPr>
          <w:p w14:paraId="5C7C61DF" w14:textId="77777777" w:rsidR="0008009C" w:rsidRDefault="0008009C">
            <w:pPr>
              <w:rPr>
                <w:rFonts w:ascii="宋体"/>
              </w:rPr>
            </w:pPr>
          </w:p>
        </w:tc>
        <w:tc>
          <w:tcPr>
            <w:tcW w:w="5" w:type="pct"/>
            <w:shd w:val="clear" w:color="auto" w:fill="auto"/>
          </w:tcPr>
          <w:p w14:paraId="5C7C61E0" w14:textId="77777777" w:rsidR="0008009C" w:rsidRDefault="0008009C">
            <w:pPr>
              <w:rPr>
                <w:rFonts w:ascii="宋体"/>
              </w:rPr>
            </w:pPr>
          </w:p>
        </w:tc>
        <w:tc>
          <w:tcPr>
            <w:tcW w:w="24" w:type="pct"/>
            <w:shd w:val="clear" w:color="auto" w:fill="auto"/>
          </w:tcPr>
          <w:p w14:paraId="5C7C61E1" w14:textId="77777777" w:rsidR="0008009C" w:rsidRDefault="0008009C">
            <w:pPr>
              <w:rPr>
                <w:rFonts w:ascii="宋体"/>
              </w:rPr>
            </w:pPr>
          </w:p>
        </w:tc>
        <w:tc>
          <w:tcPr>
            <w:tcW w:w="5" w:type="pct"/>
            <w:shd w:val="clear" w:color="auto" w:fill="auto"/>
          </w:tcPr>
          <w:p w14:paraId="5C7C61E2" w14:textId="77777777" w:rsidR="0008009C" w:rsidRDefault="0008009C">
            <w:pPr>
              <w:rPr>
                <w:rFonts w:ascii="宋体"/>
              </w:rPr>
            </w:pPr>
          </w:p>
        </w:tc>
        <w:tc>
          <w:tcPr>
            <w:tcW w:w="50" w:type="pct"/>
            <w:shd w:val="clear" w:color="auto" w:fill="auto"/>
          </w:tcPr>
          <w:p w14:paraId="5C7C61E3" w14:textId="77777777" w:rsidR="0008009C" w:rsidRDefault="0008009C">
            <w:pPr>
              <w:rPr>
                <w:rFonts w:ascii="宋体"/>
              </w:rPr>
            </w:pPr>
          </w:p>
        </w:tc>
        <w:tc>
          <w:tcPr>
            <w:tcW w:w="279" w:type="pct"/>
            <w:shd w:val="clear" w:color="auto" w:fill="auto"/>
          </w:tcPr>
          <w:p w14:paraId="5C7C61E4" w14:textId="77777777" w:rsidR="0008009C" w:rsidRDefault="0008009C">
            <w:pPr>
              <w:rPr>
                <w:rFonts w:ascii="宋体"/>
              </w:rPr>
            </w:pPr>
          </w:p>
        </w:tc>
        <w:tc>
          <w:tcPr>
            <w:tcW w:w="5" w:type="pct"/>
            <w:shd w:val="clear" w:color="auto" w:fill="auto"/>
          </w:tcPr>
          <w:p w14:paraId="5C7C61E5" w14:textId="77777777" w:rsidR="0008009C" w:rsidRDefault="0008009C">
            <w:pPr>
              <w:rPr>
                <w:rFonts w:ascii="宋体"/>
              </w:rPr>
            </w:pPr>
          </w:p>
        </w:tc>
        <w:tc>
          <w:tcPr>
            <w:tcW w:w="5" w:type="pct"/>
            <w:shd w:val="clear" w:color="auto" w:fill="auto"/>
          </w:tcPr>
          <w:p w14:paraId="5C7C61E6" w14:textId="77777777" w:rsidR="0008009C" w:rsidRDefault="0008009C">
            <w:pPr>
              <w:rPr>
                <w:rFonts w:ascii="宋体"/>
              </w:rPr>
            </w:pPr>
          </w:p>
        </w:tc>
        <w:tc>
          <w:tcPr>
            <w:tcW w:w="24" w:type="pct"/>
            <w:shd w:val="clear" w:color="auto" w:fill="auto"/>
          </w:tcPr>
          <w:p w14:paraId="5C7C61E7" w14:textId="77777777" w:rsidR="0008009C" w:rsidRDefault="0008009C">
            <w:pPr>
              <w:rPr>
                <w:rFonts w:ascii="宋体"/>
              </w:rPr>
            </w:pPr>
          </w:p>
        </w:tc>
        <w:tc>
          <w:tcPr>
            <w:tcW w:w="5" w:type="pct"/>
            <w:shd w:val="clear" w:color="auto" w:fill="auto"/>
          </w:tcPr>
          <w:p w14:paraId="5C7C61E8" w14:textId="77777777" w:rsidR="0008009C" w:rsidRDefault="0008009C">
            <w:pPr>
              <w:rPr>
                <w:rFonts w:ascii="宋体"/>
              </w:rPr>
            </w:pPr>
          </w:p>
        </w:tc>
        <w:tc>
          <w:tcPr>
            <w:tcW w:w="50" w:type="pct"/>
            <w:shd w:val="clear" w:color="auto" w:fill="auto"/>
          </w:tcPr>
          <w:p w14:paraId="5C7C61E9" w14:textId="77777777" w:rsidR="0008009C" w:rsidRDefault="0008009C">
            <w:pPr>
              <w:rPr>
                <w:rFonts w:ascii="宋体"/>
              </w:rPr>
            </w:pPr>
          </w:p>
        </w:tc>
        <w:tc>
          <w:tcPr>
            <w:tcW w:w="279" w:type="pct"/>
            <w:shd w:val="clear" w:color="auto" w:fill="auto"/>
          </w:tcPr>
          <w:p w14:paraId="5C7C61EA" w14:textId="77777777" w:rsidR="0008009C" w:rsidRDefault="0008009C">
            <w:pPr>
              <w:rPr>
                <w:rFonts w:ascii="宋体"/>
              </w:rPr>
            </w:pPr>
          </w:p>
        </w:tc>
        <w:tc>
          <w:tcPr>
            <w:tcW w:w="5" w:type="pct"/>
            <w:shd w:val="clear" w:color="auto" w:fill="auto"/>
          </w:tcPr>
          <w:p w14:paraId="5C7C61EB" w14:textId="77777777" w:rsidR="0008009C" w:rsidRDefault="0008009C">
            <w:pPr>
              <w:rPr>
                <w:rFonts w:ascii="宋体"/>
              </w:rPr>
            </w:pPr>
          </w:p>
        </w:tc>
        <w:tc>
          <w:tcPr>
            <w:tcW w:w="5" w:type="pct"/>
            <w:shd w:val="clear" w:color="auto" w:fill="auto"/>
          </w:tcPr>
          <w:p w14:paraId="5C7C61EC" w14:textId="77777777" w:rsidR="0008009C" w:rsidRDefault="0008009C">
            <w:pPr>
              <w:rPr>
                <w:rFonts w:ascii="宋体"/>
              </w:rPr>
            </w:pPr>
          </w:p>
        </w:tc>
        <w:tc>
          <w:tcPr>
            <w:tcW w:w="24" w:type="pct"/>
            <w:shd w:val="clear" w:color="auto" w:fill="auto"/>
          </w:tcPr>
          <w:p w14:paraId="5C7C61ED" w14:textId="77777777" w:rsidR="0008009C" w:rsidRDefault="0008009C">
            <w:pPr>
              <w:rPr>
                <w:rFonts w:ascii="宋体"/>
              </w:rPr>
            </w:pPr>
          </w:p>
        </w:tc>
        <w:tc>
          <w:tcPr>
            <w:tcW w:w="5" w:type="pct"/>
            <w:shd w:val="clear" w:color="auto" w:fill="auto"/>
          </w:tcPr>
          <w:p w14:paraId="5C7C61EE" w14:textId="77777777" w:rsidR="0008009C" w:rsidRDefault="0008009C">
            <w:pPr>
              <w:rPr>
                <w:rFonts w:ascii="宋体"/>
              </w:rPr>
            </w:pPr>
          </w:p>
        </w:tc>
        <w:tc>
          <w:tcPr>
            <w:tcW w:w="50" w:type="pct"/>
            <w:shd w:val="clear" w:color="auto" w:fill="auto"/>
          </w:tcPr>
          <w:p w14:paraId="5C7C61EF" w14:textId="77777777" w:rsidR="0008009C" w:rsidRDefault="0008009C">
            <w:pPr>
              <w:rPr>
                <w:rFonts w:ascii="宋体"/>
              </w:rPr>
            </w:pPr>
          </w:p>
        </w:tc>
        <w:tc>
          <w:tcPr>
            <w:tcW w:w="279" w:type="pct"/>
            <w:shd w:val="clear" w:color="auto" w:fill="auto"/>
          </w:tcPr>
          <w:p w14:paraId="5C7C61F0" w14:textId="77777777" w:rsidR="0008009C" w:rsidRDefault="0008009C">
            <w:pPr>
              <w:rPr>
                <w:rFonts w:ascii="宋体"/>
              </w:rPr>
            </w:pPr>
          </w:p>
        </w:tc>
        <w:tc>
          <w:tcPr>
            <w:tcW w:w="5" w:type="pct"/>
            <w:shd w:val="clear" w:color="auto" w:fill="auto"/>
          </w:tcPr>
          <w:p w14:paraId="5C7C61F1" w14:textId="77777777" w:rsidR="0008009C" w:rsidRDefault="0008009C">
            <w:pPr>
              <w:rPr>
                <w:rFonts w:ascii="宋体"/>
              </w:rPr>
            </w:pPr>
          </w:p>
        </w:tc>
        <w:tc>
          <w:tcPr>
            <w:tcW w:w="5" w:type="pct"/>
            <w:shd w:val="clear" w:color="auto" w:fill="auto"/>
          </w:tcPr>
          <w:p w14:paraId="5C7C61F2" w14:textId="77777777" w:rsidR="0008009C" w:rsidRDefault="0008009C">
            <w:pPr>
              <w:rPr>
                <w:rFonts w:ascii="宋体"/>
              </w:rPr>
            </w:pPr>
          </w:p>
        </w:tc>
        <w:tc>
          <w:tcPr>
            <w:tcW w:w="24" w:type="pct"/>
            <w:shd w:val="clear" w:color="auto" w:fill="auto"/>
          </w:tcPr>
          <w:p w14:paraId="5C7C61F3" w14:textId="77777777" w:rsidR="0008009C" w:rsidRDefault="0008009C">
            <w:pPr>
              <w:rPr>
                <w:rFonts w:ascii="宋体"/>
              </w:rPr>
            </w:pPr>
          </w:p>
        </w:tc>
        <w:tc>
          <w:tcPr>
            <w:tcW w:w="5" w:type="pct"/>
            <w:shd w:val="clear" w:color="auto" w:fill="auto"/>
          </w:tcPr>
          <w:p w14:paraId="5C7C61F4" w14:textId="77777777" w:rsidR="0008009C" w:rsidRDefault="0008009C">
            <w:pPr>
              <w:rPr>
                <w:rFonts w:ascii="宋体"/>
              </w:rPr>
            </w:pPr>
          </w:p>
        </w:tc>
        <w:tc>
          <w:tcPr>
            <w:tcW w:w="50" w:type="pct"/>
            <w:shd w:val="clear" w:color="auto" w:fill="auto"/>
          </w:tcPr>
          <w:p w14:paraId="5C7C61F5" w14:textId="77777777" w:rsidR="0008009C" w:rsidRDefault="0008009C">
            <w:pPr>
              <w:rPr>
                <w:rFonts w:ascii="宋体"/>
              </w:rPr>
            </w:pPr>
          </w:p>
        </w:tc>
        <w:tc>
          <w:tcPr>
            <w:tcW w:w="279" w:type="pct"/>
            <w:shd w:val="clear" w:color="auto" w:fill="auto"/>
          </w:tcPr>
          <w:p w14:paraId="5C7C61F6" w14:textId="77777777" w:rsidR="0008009C" w:rsidRDefault="0008009C">
            <w:pPr>
              <w:rPr>
                <w:rFonts w:ascii="宋体"/>
              </w:rPr>
            </w:pPr>
          </w:p>
        </w:tc>
        <w:tc>
          <w:tcPr>
            <w:tcW w:w="5" w:type="pct"/>
            <w:shd w:val="clear" w:color="auto" w:fill="auto"/>
          </w:tcPr>
          <w:p w14:paraId="5C7C61F7" w14:textId="77777777" w:rsidR="0008009C" w:rsidRDefault="0008009C">
            <w:pPr>
              <w:rPr>
                <w:rFonts w:ascii="宋体"/>
              </w:rPr>
            </w:pPr>
          </w:p>
        </w:tc>
        <w:tc>
          <w:tcPr>
            <w:tcW w:w="5" w:type="pct"/>
            <w:shd w:val="clear" w:color="auto" w:fill="auto"/>
          </w:tcPr>
          <w:p w14:paraId="5C7C61F8" w14:textId="77777777" w:rsidR="0008009C" w:rsidRDefault="0008009C">
            <w:pPr>
              <w:rPr>
                <w:rFonts w:ascii="宋体"/>
              </w:rPr>
            </w:pPr>
          </w:p>
        </w:tc>
        <w:tc>
          <w:tcPr>
            <w:tcW w:w="24" w:type="pct"/>
            <w:shd w:val="clear" w:color="auto" w:fill="auto"/>
          </w:tcPr>
          <w:p w14:paraId="5C7C61F9" w14:textId="77777777" w:rsidR="0008009C" w:rsidRDefault="0008009C">
            <w:pPr>
              <w:rPr>
                <w:rFonts w:ascii="宋体"/>
              </w:rPr>
            </w:pPr>
          </w:p>
        </w:tc>
        <w:tc>
          <w:tcPr>
            <w:tcW w:w="5" w:type="pct"/>
            <w:shd w:val="clear" w:color="auto" w:fill="auto"/>
          </w:tcPr>
          <w:p w14:paraId="5C7C61FA" w14:textId="77777777" w:rsidR="0008009C" w:rsidRDefault="0008009C">
            <w:pPr>
              <w:rPr>
                <w:rFonts w:ascii="宋体"/>
              </w:rPr>
            </w:pPr>
          </w:p>
        </w:tc>
        <w:tc>
          <w:tcPr>
            <w:tcW w:w="50" w:type="pct"/>
            <w:shd w:val="clear" w:color="auto" w:fill="auto"/>
          </w:tcPr>
          <w:p w14:paraId="5C7C61FB" w14:textId="77777777" w:rsidR="0008009C" w:rsidRDefault="0008009C">
            <w:pPr>
              <w:rPr>
                <w:rFonts w:ascii="宋体"/>
              </w:rPr>
            </w:pPr>
          </w:p>
        </w:tc>
        <w:tc>
          <w:tcPr>
            <w:tcW w:w="279" w:type="pct"/>
            <w:shd w:val="clear" w:color="auto" w:fill="auto"/>
          </w:tcPr>
          <w:p w14:paraId="5C7C61FC" w14:textId="77777777" w:rsidR="0008009C" w:rsidRDefault="0008009C">
            <w:pPr>
              <w:rPr>
                <w:rFonts w:ascii="宋体"/>
              </w:rPr>
            </w:pPr>
          </w:p>
        </w:tc>
        <w:tc>
          <w:tcPr>
            <w:tcW w:w="5" w:type="pct"/>
            <w:shd w:val="clear" w:color="auto" w:fill="auto"/>
          </w:tcPr>
          <w:p w14:paraId="5C7C61FD" w14:textId="77777777" w:rsidR="0008009C" w:rsidRDefault="0008009C">
            <w:pPr>
              <w:rPr>
                <w:rFonts w:ascii="宋体"/>
              </w:rPr>
            </w:pPr>
          </w:p>
        </w:tc>
        <w:tc>
          <w:tcPr>
            <w:tcW w:w="5" w:type="pct"/>
            <w:shd w:val="clear" w:color="auto" w:fill="auto"/>
          </w:tcPr>
          <w:p w14:paraId="5C7C61FE" w14:textId="77777777" w:rsidR="0008009C" w:rsidRDefault="0008009C">
            <w:pPr>
              <w:rPr>
                <w:rFonts w:ascii="宋体"/>
              </w:rPr>
            </w:pPr>
          </w:p>
        </w:tc>
        <w:tc>
          <w:tcPr>
            <w:tcW w:w="24" w:type="pct"/>
            <w:shd w:val="clear" w:color="auto" w:fill="auto"/>
          </w:tcPr>
          <w:p w14:paraId="5C7C61FF" w14:textId="77777777" w:rsidR="0008009C" w:rsidRDefault="0008009C">
            <w:pPr>
              <w:rPr>
                <w:rFonts w:ascii="宋体"/>
              </w:rPr>
            </w:pPr>
          </w:p>
        </w:tc>
        <w:tc>
          <w:tcPr>
            <w:tcW w:w="5" w:type="pct"/>
            <w:shd w:val="clear" w:color="auto" w:fill="auto"/>
          </w:tcPr>
          <w:p w14:paraId="5C7C6200" w14:textId="77777777" w:rsidR="0008009C" w:rsidRDefault="0008009C">
            <w:pPr>
              <w:rPr>
                <w:rFonts w:ascii="宋体"/>
              </w:rPr>
            </w:pPr>
          </w:p>
        </w:tc>
        <w:tc>
          <w:tcPr>
            <w:tcW w:w="50" w:type="pct"/>
            <w:shd w:val="clear" w:color="auto" w:fill="auto"/>
          </w:tcPr>
          <w:p w14:paraId="5C7C6201" w14:textId="77777777" w:rsidR="0008009C" w:rsidRDefault="0008009C">
            <w:pPr>
              <w:rPr>
                <w:rFonts w:ascii="宋体"/>
              </w:rPr>
            </w:pPr>
          </w:p>
        </w:tc>
        <w:tc>
          <w:tcPr>
            <w:tcW w:w="280" w:type="pct"/>
            <w:shd w:val="clear" w:color="auto" w:fill="auto"/>
          </w:tcPr>
          <w:p w14:paraId="5C7C6202" w14:textId="77777777" w:rsidR="0008009C" w:rsidRDefault="0008009C">
            <w:pPr>
              <w:rPr>
                <w:rFonts w:ascii="宋体"/>
              </w:rPr>
            </w:pPr>
          </w:p>
        </w:tc>
        <w:tc>
          <w:tcPr>
            <w:tcW w:w="5" w:type="pct"/>
            <w:shd w:val="clear" w:color="auto" w:fill="auto"/>
          </w:tcPr>
          <w:p w14:paraId="5C7C6203" w14:textId="77777777" w:rsidR="0008009C" w:rsidRDefault="0008009C">
            <w:pPr>
              <w:rPr>
                <w:rFonts w:ascii="宋体"/>
              </w:rPr>
            </w:pPr>
          </w:p>
        </w:tc>
        <w:tc>
          <w:tcPr>
            <w:tcW w:w="0" w:type="auto"/>
            <w:shd w:val="clear" w:color="auto" w:fill="auto"/>
          </w:tcPr>
          <w:p w14:paraId="5C7C6204" w14:textId="77777777" w:rsidR="0008009C" w:rsidRDefault="0008009C">
            <w:pPr>
              <w:rPr>
                <w:rFonts w:ascii="宋体"/>
                <w:vanish/>
              </w:rPr>
            </w:pPr>
          </w:p>
        </w:tc>
        <w:tc>
          <w:tcPr>
            <w:tcW w:w="0" w:type="auto"/>
            <w:shd w:val="clear" w:color="auto" w:fill="auto"/>
          </w:tcPr>
          <w:p w14:paraId="5C7C6205" w14:textId="77777777" w:rsidR="0008009C" w:rsidRDefault="0008009C">
            <w:pPr>
              <w:rPr>
                <w:rFonts w:ascii="宋体"/>
                <w:vanish/>
              </w:rPr>
            </w:pPr>
          </w:p>
        </w:tc>
      </w:tr>
      <w:tr w:rsidR="0008009C" w14:paraId="5C7C620E" w14:textId="77777777">
        <w:tc>
          <w:tcPr>
            <w:tcW w:w="0" w:type="auto"/>
            <w:gridSpan w:val="3"/>
            <w:shd w:val="clear" w:color="auto" w:fill="auto"/>
            <w:tcMar>
              <w:top w:w="0" w:type="dxa"/>
              <w:left w:w="20" w:type="dxa"/>
              <w:bottom w:w="0" w:type="dxa"/>
              <w:right w:w="20" w:type="dxa"/>
            </w:tcMar>
          </w:tcPr>
          <w:p w14:paraId="5C7C620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08" w14:textId="77777777" w:rsidR="0008009C" w:rsidRDefault="0008009C">
            <w:pPr>
              <w:rPr>
                <w:rFonts w:ascii="宋体"/>
              </w:rPr>
            </w:pPr>
          </w:p>
        </w:tc>
        <w:tc>
          <w:tcPr>
            <w:tcW w:w="0" w:type="auto"/>
            <w:gridSpan w:val="21"/>
            <w:shd w:val="clear" w:color="auto" w:fill="auto"/>
            <w:tcMar>
              <w:top w:w="40" w:type="dxa"/>
              <w:left w:w="20" w:type="dxa"/>
              <w:bottom w:w="40" w:type="dxa"/>
              <w:right w:w="20" w:type="dxa"/>
            </w:tcMar>
            <w:vAlign w:val="bottom"/>
          </w:tcPr>
          <w:p w14:paraId="5C7C6209"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shd w:val="clear" w:color="auto" w:fill="auto"/>
            <w:tcMar>
              <w:top w:w="0" w:type="dxa"/>
              <w:left w:w="20" w:type="dxa"/>
              <w:bottom w:w="0" w:type="dxa"/>
              <w:right w:w="20" w:type="dxa"/>
            </w:tcMar>
          </w:tcPr>
          <w:p w14:paraId="5C7C620A" w14:textId="77777777" w:rsidR="0008009C" w:rsidRDefault="0008009C">
            <w:pPr>
              <w:rPr>
                <w:rFonts w:ascii="宋体"/>
              </w:rPr>
            </w:pPr>
          </w:p>
        </w:tc>
        <w:tc>
          <w:tcPr>
            <w:tcW w:w="0" w:type="auto"/>
            <w:gridSpan w:val="21"/>
            <w:shd w:val="clear" w:color="auto" w:fill="auto"/>
            <w:tcMar>
              <w:top w:w="40" w:type="dxa"/>
              <w:left w:w="20" w:type="dxa"/>
              <w:bottom w:w="40" w:type="dxa"/>
              <w:right w:w="20" w:type="dxa"/>
            </w:tcMar>
            <w:vAlign w:val="bottom"/>
          </w:tcPr>
          <w:p w14:paraId="5C7C620B" w14:textId="77777777" w:rsidR="0008009C" w:rsidRDefault="00936FDF">
            <w:pPr>
              <w:jc w:val="center"/>
              <w:textAlignment w:val="bottom"/>
            </w:pPr>
            <w:r>
              <w:rPr>
                <w:rFonts w:ascii="Arial" w:eastAsia="宋体" w:hAnsi="Arial" w:cs="Arial"/>
                <w:b/>
                <w:bCs/>
                <w:color w:val="262626"/>
                <w:sz w:val="18"/>
                <w:szCs w:val="18"/>
              </w:rPr>
              <w:t>Dec 26, 2020</w:t>
            </w:r>
          </w:p>
        </w:tc>
        <w:tc>
          <w:tcPr>
            <w:tcW w:w="0" w:type="auto"/>
            <w:shd w:val="clear" w:color="auto" w:fill="auto"/>
          </w:tcPr>
          <w:p w14:paraId="5C7C620C" w14:textId="77777777" w:rsidR="0008009C" w:rsidRDefault="0008009C">
            <w:pPr>
              <w:rPr>
                <w:rFonts w:ascii="宋体"/>
                <w:vanish/>
              </w:rPr>
            </w:pPr>
          </w:p>
        </w:tc>
        <w:tc>
          <w:tcPr>
            <w:tcW w:w="0" w:type="auto"/>
            <w:shd w:val="clear" w:color="auto" w:fill="auto"/>
          </w:tcPr>
          <w:p w14:paraId="5C7C620D" w14:textId="77777777" w:rsidR="0008009C" w:rsidRDefault="0008009C">
            <w:pPr>
              <w:rPr>
                <w:rFonts w:ascii="宋体"/>
                <w:vanish/>
              </w:rPr>
            </w:pPr>
          </w:p>
        </w:tc>
      </w:tr>
      <w:tr w:rsidR="0008009C" w14:paraId="5C7C621A" w14:textId="77777777">
        <w:tc>
          <w:tcPr>
            <w:tcW w:w="0" w:type="auto"/>
            <w:gridSpan w:val="3"/>
            <w:shd w:val="clear" w:color="auto" w:fill="auto"/>
            <w:tcMar>
              <w:top w:w="0" w:type="dxa"/>
              <w:left w:w="20" w:type="dxa"/>
              <w:bottom w:w="0" w:type="dxa"/>
              <w:right w:w="20" w:type="dxa"/>
            </w:tcMar>
          </w:tcPr>
          <w:p w14:paraId="5C7C620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10" w14:textId="77777777" w:rsidR="0008009C" w:rsidRDefault="0008009C">
            <w:pPr>
              <w:rPr>
                <w:rFonts w:ascii="宋体"/>
              </w:rPr>
            </w:pPr>
          </w:p>
        </w:tc>
        <w:tc>
          <w:tcPr>
            <w:tcW w:w="0" w:type="auto"/>
            <w:gridSpan w:val="15"/>
            <w:tcBorders>
              <w:top w:val="single" w:sz="8" w:space="0" w:color="0068B5"/>
            </w:tcBorders>
            <w:shd w:val="clear" w:color="auto" w:fill="auto"/>
            <w:tcMar>
              <w:top w:w="40" w:type="dxa"/>
              <w:left w:w="20" w:type="dxa"/>
              <w:bottom w:w="40" w:type="dxa"/>
              <w:right w:w="20" w:type="dxa"/>
            </w:tcMar>
            <w:vAlign w:val="bottom"/>
          </w:tcPr>
          <w:p w14:paraId="5C7C6211" w14:textId="77777777" w:rsidR="0008009C" w:rsidRDefault="00936FDF">
            <w:pPr>
              <w:jc w:val="center"/>
              <w:textAlignment w:val="bottom"/>
            </w:pPr>
            <w:r>
              <w:rPr>
                <w:rFonts w:ascii="Arial" w:eastAsia="宋体" w:hAnsi="Arial" w:cs="Arial"/>
                <w:b/>
                <w:bCs/>
                <w:color w:val="262626"/>
                <w:sz w:val="18"/>
                <w:szCs w:val="18"/>
              </w:rPr>
              <w:t>Fair Value Measured and Recorded at Reporting Date Using</w:t>
            </w:r>
          </w:p>
        </w:tc>
        <w:tc>
          <w:tcPr>
            <w:tcW w:w="0" w:type="auto"/>
            <w:gridSpan w:val="3"/>
            <w:tcBorders>
              <w:top w:val="single" w:sz="8" w:space="0" w:color="0068B5"/>
            </w:tcBorders>
            <w:shd w:val="clear" w:color="auto" w:fill="auto"/>
            <w:tcMar>
              <w:top w:w="0" w:type="dxa"/>
              <w:left w:w="20" w:type="dxa"/>
              <w:bottom w:w="0" w:type="dxa"/>
              <w:right w:w="20" w:type="dxa"/>
            </w:tcMar>
          </w:tcPr>
          <w:p w14:paraId="5C7C6212"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213" w14:textId="77777777" w:rsidR="0008009C" w:rsidRDefault="00936FDF">
            <w:pPr>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tcPr>
          <w:p w14:paraId="5C7C6214" w14:textId="77777777" w:rsidR="0008009C" w:rsidRDefault="0008009C">
            <w:pPr>
              <w:rPr>
                <w:rFonts w:ascii="宋体"/>
              </w:rPr>
            </w:pPr>
          </w:p>
        </w:tc>
        <w:tc>
          <w:tcPr>
            <w:tcW w:w="0" w:type="auto"/>
            <w:gridSpan w:val="15"/>
            <w:tcBorders>
              <w:top w:val="single" w:sz="8" w:space="0" w:color="0068B5"/>
            </w:tcBorders>
            <w:shd w:val="clear" w:color="auto" w:fill="auto"/>
            <w:tcMar>
              <w:top w:w="40" w:type="dxa"/>
              <w:left w:w="20" w:type="dxa"/>
              <w:bottom w:w="40" w:type="dxa"/>
              <w:right w:w="20" w:type="dxa"/>
            </w:tcMar>
            <w:vAlign w:val="bottom"/>
          </w:tcPr>
          <w:p w14:paraId="5C7C6215" w14:textId="77777777" w:rsidR="0008009C" w:rsidRDefault="00936FDF">
            <w:pPr>
              <w:jc w:val="center"/>
              <w:textAlignment w:val="bottom"/>
            </w:pPr>
            <w:r>
              <w:rPr>
                <w:rFonts w:ascii="Arial" w:eastAsia="宋体" w:hAnsi="Arial" w:cs="Arial"/>
                <w:b/>
                <w:bCs/>
                <w:color w:val="262626"/>
                <w:sz w:val="18"/>
                <w:szCs w:val="18"/>
              </w:rPr>
              <w:t>Fair Value Measured and Recorded at Reporting Date Using</w:t>
            </w:r>
          </w:p>
        </w:tc>
        <w:tc>
          <w:tcPr>
            <w:tcW w:w="0" w:type="auto"/>
            <w:gridSpan w:val="3"/>
            <w:tcBorders>
              <w:top w:val="single" w:sz="8" w:space="0" w:color="0068B5"/>
            </w:tcBorders>
            <w:shd w:val="clear" w:color="auto" w:fill="auto"/>
            <w:tcMar>
              <w:top w:w="0" w:type="dxa"/>
              <w:left w:w="20" w:type="dxa"/>
              <w:bottom w:w="0" w:type="dxa"/>
              <w:right w:w="20" w:type="dxa"/>
            </w:tcMar>
          </w:tcPr>
          <w:p w14:paraId="5C7C6216"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217" w14:textId="77777777" w:rsidR="0008009C" w:rsidRDefault="00936FDF">
            <w:pPr>
              <w:textAlignment w:val="bottom"/>
            </w:pPr>
            <w:r>
              <w:rPr>
                <w:rFonts w:ascii="Arial" w:eastAsia="宋体" w:hAnsi="Arial" w:cs="Arial"/>
                <w:b/>
                <w:bCs/>
                <w:color w:val="262626"/>
                <w:sz w:val="18"/>
                <w:szCs w:val="18"/>
              </w:rPr>
              <w:t> </w:t>
            </w:r>
          </w:p>
        </w:tc>
        <w:tc>
          <w:tcPr>
            <w:tcW w:w="0" w:type="auto"/>
            <w:shd w:val="clear" w:color="auto" w:fill="auto"/>
          </w:tcPr>
          <w:p w14:paraId="5C7C6218" w14:textId="77777777" w:rsidR="0008009C" w:rsidRDefault="0008009C">
            <w:pPr>
              <w:rPr>
                <w:rFonts w:ascii="宋体"/>
                <w:vanish/>
              </w:rPr>
            </w:pPr>
          </w:p>
        </w:tc>
        <w:tc>
          <w:tcPr>
            <w:tcW w:w="0" w:type="auto"/>
            <w:shd w:val="clear" w:color="auto" w:fill="auto"/>
          </w:tcPr>
          <w:p w14:paraId="5C7C6219" w14:textId="77777777" w:rsidR="0008009C" w:rsidRDefault="0008009C">
            <w:pPr>
              <w:rPr>
                <w:rFonts w:ascii="宋体"/>
                <w:vanish/>
              </w:rPr>
            </w:pPr>
          </w:p>
        </w:tc>
      </w:tr>
      <w:tr w:rsidR="0008009C" w14:paraId="5C7C622E" w14:textId="77777777">
        <w:tc>
          <w:tcPr>
            <w:tcW w:w="0" w:type="auto"/>
            <w:gridSpan w:val="3"/>
            <w:shd w:val="clear" w:color="auto" w:fill="auto"/>
            <w:tcMar>
              <w:top w:w="40" w:type="dxa"/>
              <w:left w:w="20" w:type="dxa"/>
              <w:bottom w:w="40" w:type="dxa"/>
              <w:right w:w="20" w:type="dxa"/>
            </w:tcMar>
            <w:vAlign w:val="bottom"/>
          </w:tcPr>
          <w:p w14:paraId="5C7C621B"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621C"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21D" w14:textId="77777777" w:rsidR="0008009C" w:rsidRDefault="00936FDF">
            <w:pPr>
              <w:jc w:val="center"/>
              <w:textAlignment w:val="bottom"/>
            </w:pPr>
            <w:r>
              <w:rPr>
                <w:rFonts w:ascii="Arial" w:eastAsia="宋体" w:hAnsi="Arial" w:cs="Arial"/>
                <w:b/>
                <w:bCs/>
                <w:color w:val="262626"/>
                <w:sz w:val="18"/>
                <w:szCs w:val="18"/>
              </w:rPr>
              <w:t>Level 1</w:t>
            </w:r>
          </w:p>
        </w:tc>
        <w:tc>
          <w:tcPr>
            <w:tcW w:w="0" w:type="auto"/>
            <w:gridSpan w:val="3"/>
            <w:tcBorders>
              <w:top w:val="single" w:sz="8" w:space="0" w:color="0068B5"/>
            </w:tcBorders>
            <w:shd w:val="clear" w:color="auto" w:fill="auto"/>
            <w:tcMar>
              <w:top w:w="0" w:type="dxa"/>
              <w:left w:w="20" w:type="dxa"/>
              <w:bottom w:w="0" w:type="dxa"/>
              <w:right w:w="20" w:type="dxa"/>
            </w:tcMar>
          </w:tcPr>
          <w:p w14:paraId="5C7C621E"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21F" w14:textId="77777777" w:rsidR="0008009C" w:rsidRDefault="00936FDF">
            <w:pPr>
              <w:jc w:val="center"/>
              <w:textAlignment w:val="bottom"/>
            </w:pPr>
            <w:r>
              <w:rPr>
                <w:rFonts w:ascii="Arial" w:eastAsia="宋体" w:hAnsi="Arial" w:cs="Arial"/>
                <w:b/>
                <w:bCs/>
                <w:color w:val="262626"/>
                <w:sz w:val="18"/>
                <w:szCs w:val="18"/>
              </w:rPr>
              <w:t>Level 2</w:t>
            </w:r>
          </w:p>
        </w:tc>
        <w:tc>
          <w:tcPr>
            <w:tcW w:w="0" w:type="auto"/>
            <w:gridSpan w:val="3"/>
            <w:tcBorders>
              <w:top w:val="single" w:sz="8" w:space="0" w:color="0068B5"/>
            </w:tcBorders>
            <w:shd w:val="clear" w:color="auto" w:fill="auto"/>
            <w:tcMar>
              <w:top w:w="0" w:type="dxa"/>
              <w:left w:w="20" w:type="dxa"/>
              <w:bottom w:w="0" w:type="dxa"/>
              <w:right w:w="20" w:type="dxa"/>
            </w:tcMar>
          </w:tcPr>
          <w:p w14:paraId="5C7C6220"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221" w14:textId="77777777" w:rsidR="0008009C" w:rsidRDefault="00936FDF">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tcPr>
          <w:p w14:paraId="5C7C6222"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223" w14:textId="77777777" w:rsidR="0008009C" w:rsidRDefault="00936FDF">
            <w:pPr>
              <w:jc w:val="cente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tcPr>
          <w:p w14:paraId="5C7C6224"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225" w14:textId="77777777" w:rsidR="0008009C" w:rsidRDefault="00936FDF">
            <w:pPr>
              <w:jc w:val="center"/>
              <w:textAlignment w:val="bottom"/>
            </w:pPr>
            <w:r>
              <w:rPr>
                <w:rFonts w:ascii="Arial" w:eastAsia="宋体" w:hAnsi="Arial" w:cs="Arial"/>
                <w:b/>
                <w:bCs/>
                <w:color w:val="262626"/>
                <w:sz w:val="18"/>
                <w:szCs w:val="18"/>
              </w:rPr>
              <w:t>Level 1</w:t>
            </w:r>
          </w:p>
        </w:tc>
        <w:tc>
          <w:tcPr>
            <w:tcW w:w="0" w:type="auto"/>
            <w:gridSpan w:val="3"/>
            <w:tcBorders>
              <w:top w:val="single" w:sz="8" w:space="0" w:color="0068B5"/>
            </w:tcBorders>
            <w:shd w:val="clear" w:color="auto" w:fill="auto"/>
            <w:tcMar>
              <w:top w:w="0" w:type="dxa"/>
              <w:left w:w="20" w:type="dxa"/>
              <w:bottom w:w="0" w:type="dxa"/>
              <w:right w:w="20" w:type="dxa"/>
            </w:tcMar>
          </w:tcPr>
          <w:p w14:paraId="5C7C6226"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227" w14:textId="77777777" w:rsidR="0008009C" w:rsidRDefault="00936FDF">
            <w:pPr>
              <w:jc w:val="center"/>
              <w:textAlignment w:val="bottom"/>
            </w:pPr>
            <w:r>
              <w:rPr>
                <w:rFonts w:ascii="Arial" w:eastAsia="宋体" w:hAnsi="Arial" w:cs="Arial"/>
                <w:b/>
                <w:bCs/>
                <w:color w:val="262626"/>
                <w:sz w:val="18"/>
                <w:szCs w:val="18"/>
              </w:rPr>
              <w:t>Level 2</w:t>
            </w:r>
          </w:p>
        </w:tc>
        <w:tc>
          <w:tcPr>
            <w:tcW w:w="0" w:type="auto"/>
            <w:gridSpan w:val="3"/>
            <w:tcBorders>
              <w:top w:val="single" w:sz="8" w:space="0" w:color="0068B5"/>
            </w:tcBorders>
            <w:shd w:val="clear" w:color="auto" w:fill="auto"/>
            <w:tcMar>
              <w:top w:w="0" w:type="dxa"/>
              <w:left w:w="20" w:type="dxa"/>
              <w:bottom w:w="0" w:type="dxa"/>
              <w:right w:w="20" w:type="dxa"/>
            </w:tcMar>
          </w:tcPr>
          <w:p w14:paraId="5C7C6228"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229" w14:textId="77777777" w:rsidR="0008009C" w:rsidRDefault="00936FDF">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tcPr>
          <w:p w14:paraId="5C7C622A"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22B" w14:textId="77777777" w:rsidR="0008009C" w:rsidRDefault="00936FDF">
            <w:pPr>
              <w:jc w:val="center"/>
              <w:textAlignment w:val="bottom"/>
            </w:pPr>
            <w:r>
              <w:rPr>
                <w:rFonts w:ascii="Arial" w:eastAsia="宋体" w:hAnsi="Arial" w:cs="Arial"/>
                <w:b/>
                <w:bCs/>
                <w:color w:val="262626"/>
                <w:sz w:val="18"/>
                <w:szCs w:val="18"/>
              </w:rPr>
              <w:t>Total</w:t>
            </w:r>
          </w:p>
        </w:tc>
        <w:tc>
          <w:tcPr>
            <w:tcW w:w="0" w:type="auto"/>
            <w:shd w:val="clear" w:color="auto" w:fill="auto"/>
          </w:tcPr>
          <w:p w14:paraId="5C7C622C" w14:textId="77777777" w:rsidR="0008009C" w:rsidRDefault="0008009C">
            <w:pPr>
              <w:rPr>
                <w:rFonts w:ascii="宋体"/>
                <w:vanish/>
              </w:rPr>
            </w:pPr>
          </w:p>
        </w:tc>
        <w:tc>
          <w:tcPr>
            <w:tcW w:w="0" w:type="auto"/>
            <w:shd w:val="clear" w:color="auto" w:fill="auto"/>
          </w:tcPr>
          <w:p w14:paraId="5C7C622D" w14:textId="77777777" w:rsidR="0008009C" w:rsidRDefault="0008009C">
            <w:pPr>
              <w:rPr>
                <w:rFonts w:ascii="宋体"/>
                <w:vanish/>
              </w:rPr>
            </w:pPr>
          </w:p>
        </w:tc>
      </w:tr>
      <w:tr w:rsidR="0008009C" w14:paraId="5C7C6242"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622F" w14:textId="77777777" w:rsidR="0008009C" w:rsidRDefault="00936FDF">
            <w:pPr>
              <w:textAlignment w:val="top"/>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tcPr>
          <w:p w14:paraId="5C7C6230"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23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32"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23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34"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23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36"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23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38"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23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3A"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23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3C"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23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3E"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23F" w14:textId="77777777" w:rsidR="0008009C" w:rsidRDefault="0008009C">
            <w:pPr>
              <w:rPr>
                <w:rFonts w:ascii="宋体"/>
              </w:rPr>
            </w:pPr>
          </w:p>
        </w:tc>
        <w:tc>
          <w:tcPr>
            <w:tcW w:w="0" w:type="auto"/>
            <w:shd w:val="clear" w:color="auto" w:fill="auto"/>
          </w:tcPr>
          <w:p w14:paraId="5C7C6240" w14:textId="77777777" w:rsidR="0008009C" w:rsidRDefault="0008009C">
            <w:pPr>
              <w:rPr>
                <w:rFonts w:ascii="宋体"/>
                <w:vanish/>
              </w:rPr>
            </w:pPr>
          </w:p>
        </w:tc>
        <w:tc>
          <w:tcPr>
            <w:tcW w:w="0" w:type="auto"/>
            <w:shd w:val="clear" w:color="auto" w:fill="auto"/>
          </w:tcPr>
          <w:p w14:paraId="5C7C6241" w14:textId="77777777" w:rsidR="0008009C" w:rsidRDefault="0008009C">
            <w:pPr>
              <w:rPr>
                <w:rFonts w:ascii="宋体"/>
                <w:vanish/>
              </w:rPr>
            </w:pPr>
          </w:p>
        </w:tc>
      </w:tr>
      <w:tr w:rsidR="0008009C" w14:paraId="5C7C6256" w14:textId="77777777">
        <w:tc>
          <w:tcPr>
            <w:tcW w:w="0" w:type="auto"/>
            <w:gridSpan w:val="3"/>
            <w:shd w:val="clear" w:color="auto" w:fill="auto"/>
            <w:tcMar>
              <w:top w:w="40" w:type="dxa"/>
              <w:left w:w="20" w:type="dxa"/>
              <w:bottom w:w="40" w:type="dxa"/>
              <w:right w:w="20" w:type="dxa"/>
            </w:tcMar>
          </w:tcPr>
          <w:p w14:paraId="5C7C6243" w14:textId="77777777" w:rsidR="0008009C" w:rsidRDefault="00936FDF">
            <w:pPr>
              <w:textAlignment w:val="top"/>
            </w:pPr>
            <w:r>
              <w:rPr>
                <w:rFonts w:ascii="Arial" w:eastAsia="宋体" w:hAnsi="Arial" w:cs="Arial"/>
                <w:color w:val="262626"/>
                <w:sz w:val="18"/>
                <w:szCs w:val="18"/>
              </w:rPr>
              <w:t>Cash equivalents:</w:t>
            </w:r>
          </w:p>
        </w:tc>
        <w:tc>
          <w:tcPr>
            <w:tcW w:w="0" w:type="auto"/>
            <w:gridSpan w:val="3"/>
            <w:shd w:val="clear" w:color="auto" w:fill="auto"/>
            <w:tcMar>
              <w:top w:w="0" w:type="dxa"/>
              <w:left w:w="20" w:type="dxa"/>
              <w:bottom w:w="0" w:type="dxa"/>
              <w:right w:w="20" w:type="dxa"/>
            </w:tcMar>
          </w:tcPr>
          <w:p w14:paraId="5C7C624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4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4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4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4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4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4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4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4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4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4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4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5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5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5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53" w14:textId="77777777" w:rsidR="0008009C" w:rsidRDefault="0008009C">
            <w:pPr>
              <w:rPr>
                <w:rFonts w:ascii="宋体"/>
              </w:rPr>
            </w:pPr>
          </w:p>
        </w:tc>
        <w:tc>
          <w:tcPr>
            <w:tcW w:w="0" w:type="auto"/>
            <w:shd w:val="clear" w:color="auto" w:fill="auto"/>
          </w:tcPr>
          <w:p w14:paraId="5C7C6254" w14:textId="77777777" w:rsidR="0008009C" w:rsidRDefault="0008009C">
            <w:pPr>
              <w:rPr>
                <w:rFonts w:ascii="宋体"/>
                <w:vanish/>
              </w:rPr>
            </w:pPr>
          </w:p>
        </w:tc>
        <w:tc>
          <w:tcPr>
            <w:tcW w:w="0" w:type="auto"/>
            <w:shd w:val="clear" w:color="auto" w:fill="auto"/>
          </w:tcPr>
          <w:p w14:paraId="5C7C6255" w14:textId="77777777" w:rsidR="0008009C" w:rsidRDefault="0008009C">
            <w:pPr>
              <w:rPr>
                <w:rFonts w:ascii="宋体"/>
                <w:vanish/>
              </w:rPr>
            </w:pPr>
          </w:p>
        </w:tc>
      </w:tr>
      <w:tr w:rsidR="0008009C" w14:paraId="5C7C627A" w14:textId="77777777">
        <w:tc>
          <w:tcPr>
            <w:tcW w:w="0" w:type="auto"/>
            <w:gridSpan w:val="3"/>
            <w:shd w:val="clear" w:color="auto" w:fill="auto"/>
            <w:tcMar>
              <w:top w:w="40" w:type="dxa"/>
              <w:left w:w="140" w:type="dxa"/>
              <w:bottom w:w="40" w:type="dxa"/>
              <w:right w:w="20" w:type="dxa"/>
            </w:tcMar>
          </w:tcPr>
          <w:p w14:paraId="5C7C6257" w14:textId="77777777" w:rsidR="0008009C" w:rsidRDefault="00936FDF">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tcPr>
          <w:p w14:paraId="5C7C6258"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259"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625A"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25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5C"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25D"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625E" w14:textId="77777777" w:rsidR="0008009C" w:rsidRDefault="00936FDF">
            <w:pPr>
              <w:jc w:val="right"/>
              <w:textAlignment w:val="bottom"/>
            </w:pPr>
            <w:r>
              <w:rPr>
                <w:rFonts w:ascii="Arial" w:eastAsia="宋体" w:hAnsi="Arial" w:cs="Arial"/>
                <w:color w:val="0068B5"/>
                <w:sz w:val="18"/>
                <w:szCs w:val="18"/>
              </w:rPr>
              <w:t>297 </w:t>
            </w:r>
          </w:p>
        </w:tc>
        <w:tc>
          <w:tcPr>
            <w:tcW w:w="0" w:type="auto"/>
            <w:shd w:val="clear" w:color="auto" w:fill="auto"/>
            <w:tcMar>
              <w:top w:w="40" w:type="dxa"/>
              <w:left w:w="0" w:type="dxa"/>
              <w:bottom w:w="40" w:type="dxa"/>
              <w:right w:w="20" w:type="dxa"/>
            </w:tcMar>
            <w:vAlign w:val="bottom"/>
          </w:tcPr>
          <w:p w14:paraId="5C7C625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60"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261"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6262"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26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64"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265"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6266" w14:textId="77777777" w:rsidR="0008009C" w:rsidRDefault="00936FDF">
            <w:pPr>
              <w:jc w:val="right"/>
              <w:textAlignment w:val="bottom"/>
            </w:pPr>
            <w:r>
              <w:rPr>
                <w:rFonts w:ascii="Arial" w:eastAsia="宋体" w:hAnsi="Arial" w:cs="Arial"/>
                <w:color w:val="0068B5"/>
                <w:sz w:val="18"/>
                <w:szCs w:val="18"/>
              </w:rPr>
              <w:t>297 </w:t>
            </w:r>
          </w:p>
        </w:tc>
        <w:tc>
          <w:tcPr>
            <w:tcW w:w="0" w:type="auto"/>
            <w:shd w:val="clear" w:color="auto" w:fill="auto"/>
            <w:tcMar>
              <w:top w:w="40" w:type="dxa"/>
              <w:left w:w="0" w:type="dxa"/>
              <w:bottom w:w="40" w:type="dxa"/>
              <w:right w:w="20" w:type="dxa"/>
            </w:tcMar>
            <w:vAlign w:val="bottom"/>
          </w:tcPr>
          <w:p w14:paraId="5C7C626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68"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269"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626A"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26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6C"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26D"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626E" w14:textId="77777777" w:rsidR="0008009C" w:rsidRDefault="00936FDF">
            <w:pPr>
              <w:jc w:val="right"/>
              <w:textAlignment w:val="bottom"/>
            </w:pPr>
            <w:r>
              <w:rPr>
                <w:rFonts w:ascii="Arial" w:eastAsia="宋体" w:hAnsi="Arial" w:cs="Arial"/>
                <w:color w:val="262626"/>
                <w:sz w:val="18"/>
                <w:szCs w:val="18"/>
              </w:rPr>
              <w:t>50 </w:t>
            </w:r>
          </w:p>
        </w:tc>
        <w:tc>
          <w:tcPr>
            <w:tcW w:w="0" w:type="auto"/>
            <w:shd w:val="clear" w:color="auto" w:fill="auto"/>
            <w:tcMar>
              <w:top w:w="40" w:type="dxa"/>
              <w:left w:w="0" w:type="dxa"/>
              <w:bottom w:w="40" w:type="dxa"/>
              <w:right w:w="20" w:type="dxa"/>
            </w:tcMar>
            <w:vAlign w:val="bottom"/>
          </w:tcPr>
          <w:p w14:paraId="5C7C626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70"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271"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6272"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27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74"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275"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6276" w14:textId="77777777" w:rsidR="0008009C" w:rsidRDefault="00936FDF">
            <w:pPr>
              <w:jc w:val="right"/>
              <w:textAlignment w:val="bottom"/>
            </w:pPr>
            <w:r>
              <w:rPr>
                <w:rFonts w:ascii="Arial" w:eastAsia="宋体" w:hAnsi="Arial" w:cs="Arial"/>
                <w:color w:val="262626"/>
                <w:sz w:val="18"/>
                <w:szCs w:val="18"/>
              </w:rPr>
              <w:t>50 </w:t>
            </w:r>
          </w:p>
        </w:tc>
        <w:tc>
          <w:tcPr>
            <w:tcW w:w="0" w:type="auto"/>
            <w:shd w:val="clear" w:color="auto" w:fill="auto"/>
            <w:tcMar>
              <w:top w:w="40" w:type="dxa"/>
              <w:left w:w="0" w:type="dxa"/>
              <w:bottom w:w="40" w:type="dxa"/>
              <w:right w:w="20" w:type="dxa"/>
            </w:tcMar>
            <w:vAlign w:val="bottom"/>
          </w:tcPr>
          <w:p w14:paraId="5C7C6277" w14:textId="77777777" w:rsidR="0008009C" w:rsidRDefault="0008009C">
            <w:pPr>
              <w:jc w:val="right"/>
              <w:rPr>
                <w:rFonts w:ascii="宋体"/>
              </w:rPr>
            </w:pPr>
          </w:p>
        </w:tc>
        <w:tc>
          <w:tcPr>
            <w:tcW w:w="0" w:type="auto"/>
            <w:shd w:val="clear" w:color="auto" w:fill="auto"/>
          </w:tcPr>
          <w:p w14:paraId="5C7C6278" w14:textId="77777777" w:rsidR="0008009C" w:rsidRDefault="0008009C">
            <w:pPr>
              <w:rPr>
                <w:rFonts w:ascii="宋体"/>
                <w:vanish/>
              </w:rPr>
            </w:pPr>
          </w:p>
        </w:tc>
        <w:tc>
          <w:tcPr>
            <w:tcW w:w="0" w:type="auto"/>
            <w:shd w:val="clear" w:color="auto" w:fill="auto"/>
          </w:tcPr>
          <w:p w14:paraId="5C7C6279" w14:textId="77777777" w:rsidR="0008009C" w:rsidRDefault="0008009C">
            <w:pPr>
              <w:rPr>
                <w:rFonts w:ascii="宋体"/>
                <w:vanish/>
              </w:rPr>
            </w:pPr>
          </w:p>
        </w:tc>
      </w:tr>
      <w:tr w:rsidR="0008009C" w14:paraId="5C7C6296" w14:textId="77777777">
        <w:tc>
          <w:tcPr>
            <w:tcW w:w="0" w:type="auto"/>
            <w:gridSpan w:val="3"/>
            <w:shd w:val="clear" w:color="auto" w:fill="auto"/>
            <w:tcMar>
              <w:top w:w="40" w:type="dxa"/>
              <w:left w:w="140" w:type="dxa"/>
              <w:bottom w:w="40" w:type="dxa"/>
              <w:right w:w="20" w:type="dxa"/>
            </w:tcMar>
          </w:tcPr>
          <w:p w14:paraId="5C7C627B" w14:textId="77777777" w:rsidR="0008009C" w:rsidRDefault="00936FDF">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tcPr>
          <w:p w14:paraId="5C7C627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7D" w14:textId="77777777" w:rsidR="0008009C" w:rsidRDefault="00936FDF">
            <w:pPr>
              <w:jc w:val="right"/>
              <w:textAlignment w:val="bottom"/>
            </w:pPr>
            <w:r>
              <w:rPr>
                <w:rFonts w:ascii="Arial" w:eastAsia="宋体" w:hAnsi="Arial" w:cs="Arial"/>
                <w:color w:val="0068B5"/>
                <w:sz w:val="18"/>
                <w:szCs w:val="18"/>
              </w:rPr>
              <w:t>2,130 </w:t>
            </w:r>
          </w:p>
        </w:tc>
        <w:tc>
          <w:tcPr>
            <w:tcW w:w="0" w:type="auto"/>
            <w:shd w:val="clear" w:color="auto" w:fill="auto"/>
            <w:tcMar>
              <w:top w:w="40" w:type="dxa"/>
              <w:left w:w="0" w:type="dxa"/>
              <w:bottom w:w="40" w:type="dxa"/>
              <w:right w:w="20" w:type="dxa"/>
            </w:tcMar>
            <w:vAlign w:val="bottom"/>
          </w:tcPr>
          <w:p w14:paraId="5C7C627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7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80" w14:textId="77777777" w:rsidR="0008009C" w:rsidRDefault="00936FDF">
            <w:pPr>
              <w:jc w:val="right"/>
              <w:textAlignment w:val="bottom"/>
            </w:pPr>
            <w:r>
              <w:rPr>
                <w:rFonts w:ascii="Arial" w:eastAsia="宋体" w:hAnsi="Arial" w:cs="Arial"/>
                <w:color w:val="0068B5"/>
                <w:sz w:val="18"/>
                <w:szCs w:val="18"/>
              </w:rPr>
              <w:t>849 </w:t>
            </w:r>
          </w:p>
        </w:tc>
        <w:tc>
          <w:tcPr>
            <w:tcW w:w="0" w:type="auto"/>
            <w:shd w:val="clear" w:color="auto" w:fill="auto"/>
            <w:tcMar>
              <w:top w:w="40" w:type="dxa"/>
              <w:left w:w="0" w:type="dxa"/>
              <w:bottom w:w="40" w:type="dxa"/>
              <w:right w:w="20" w:type="dxa"/>
            </w:tcMar>
            <w:vAlign w:val="bottom"/>
          </w:tcPr>
          <w:p w14:paraId="5C7C628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8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83"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28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8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86" w14:textId="77777777" w:rsidR="0008009C" w:rsidRDefault="00936FDF">
            <w:pPr>
              <w:jc w:val="right"/>
              <w:textAlignment w:val="bottom"/>
            </w:pPr>
            <w:r>
              <w:rPr>
                <w:rFonts w:ascii="Arial" w:eastAsia="宋体" w:hAnsi="Arial" w:cs="Arial"/>
                <w:color w:val="0068B5"/>
                <w:sz w:val="18"/>
                <w:szCs w:val="18"/>
              </w:rPr>
              <w:t>2,979 </w:t>
            </w:r>
          </w:p>
        </w:tc>
        <w:tc>
          <w:tcPr>
            <w:tcW w:w="0" w:type="auto"/>
            <w:shd w:val="clear" w:color="auto" w:fill="auto"/>
            <w:tcMar>
              <w:top w:w="40" w:type="dxa"/>
              <w:left w:w="0" w:type="dxa"/>
              <w:bottom w:w="40" w:type="dxa"/>
              <w:right w:w="20" w:type="dxa"/>
            </w:tcMar>
            <w:vAlign w:val="bottom"/>
          </w:tcPr>
          <w:p w14:paraId="5C7C628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8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89" w14:textId="77777777" w:rsidR="0008009C" w:rsidRDefault="00936FDF">
            <w:pPr>
              <w:jc w:val="right"/>
              <w:textAlignment w:val="bottom"/>
            </w:pPr>
            <w:r>
              <w:rPr>
                <w:rFonts w:ascii="Arial" w:eastAsia="宋体" w:hAnsi="Arial" w:cs="Arial"/>
                <w:color w:val="262626"/>
                <w:sz w:val="18"/>
                <w:szCs w:val="18"/>
              </w:rPr>
              <w:t>2,781 </w:t>
            </w:r>
          </w:p>
        </w:tc>
        <w:tc>
          <w:tcPr>
            <w:tcW w:w="0" w:type="auto"/>
            <w:shd w:val="clear" w:color="auto" w:fill="auto"/>
            <w:tcMar>
              <w:top w:w="40" w:type="dxa"/>
              <w:left w:w="0" w:type="dxa"/>
              <w:bottom w:w="40" w:type="dxa"/>
              <w:right w:w="20" w:type="dxa"/>
            </w:tcMar>
            <w:vAlign w:val="bottom"/>
          </w:tcPr>
          <w:p w14:paraId="5C7C628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8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8C" w14:textId="77777777" w:rsidR="0008009C" w:rsidRDefault="00936FDF">
            <w:pPr>
              <w:jc w:val="right"/>
              <w:textAlignment w:val="bottom"/>
            </w:pPr>
            <w:r>
              <w:rPr>
                <w:rFonts w:ascii="Arial" w:eastAsia="宋体" w:hAnsi="Arial" w:cs="Arial"/>
                <w:color w:val="262626"/>
                <w:sz w:val="18"/>
                <w:szCs w:val="18"/>
              </w:rPr>
              <w:t>636 </w:t>
            </w:r>
          </w:p>
        </w:tc>
        <w:tc>
          <w:tcPr>
            <w:tcW w:w="0" w:type="auto"/>
            <w:shd w:val="clear" w:color="auto" w:fill="auto"/>
            <w:tcMar>
              <w:top w:w="40" w:type="dxa"/>
              <w:left w:w="0" w:type="dxa"/>
              <w:bottom w:w="40" w:type="dxa"/>
              <w:right w:w="20" w:type="dxa"/>
            </w:tcMar>
            <w:vAlign w:val="bottom"/>
          </w:tcPr>
          <w:p w14:paraId="5C7C628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8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8F"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29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9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92" w14:textId="77777777" w:rsidR="0008009C" w:rsidRDefault="00936FDF">
            <w:pPr>
              <w:jc w:val="right"/>
              <w:textAlignment w:val="bottom"/>
            </w:pPr>
            <w:r>
              <w:rPr>
                <w:rFonts w:ascii="Arial" w:eastAsia="宋体" w:hAnsi="Arial" w:cs="Arial"/>
                <w:color w:val="262626"/>
                <w:sz w:val="18"/>
                <w:szCs w:val="18"/>
              </w:rPr>
              <w:t>3,417 </w:t>
            </w:r>
          </w:p>
        </w:tc>
        <w:tc>
          <w:tcPr>
            <w:tcW w:w="0" w:type="auto"/>
            <w:shd w:val="clear" w:color="auto" w:fill="auto"/>
            <w:tcMar>
              <w:top w:w="40" w:type="dxa"/>
              <w:left w:w="0" w:type="dxa"/>
              <w:bottom w:w="40" w:type="dxa"/>
              <w:right w:w="20" w:type="dxa"/>
            </w:tcMar>
            <w:vAlign w:val="bottom"/>
          </w:tcPr>
          <w:p w14:paraId="5C7C6293" w14:textId="77777777" w:rsidR="0008009C" w:rsidRDefault="0008009C">
            <w:pPr>
              <w:jc w:val="right"/>
              <w:rPr>
                <w:rFonts w:ascii="宋体"/>
              </w:rPr>
            </w:pPr>
          </w:p>
        </w:tc>
        <w:tc>
          <w:tcPr>
            <w:tcW w:w="0" w:type="auto"/>
            <w:shd w:val="clear" w:color="auto" w:fill="auto"/>
          </w:tcPr>
          <w:p w14:paraId="5C7C6294" w14:textId="77777777" w:rsidR="0008009C" w:rsidRDefault="0008009C">
            <w:pPr>
              <w:rPr>
                <w:rFonts w:ascii="宋体"/>
                <w:vanish/>
              </w:rPr>
            </w:pPr>
          </w:p>
        </w:tc>
        <w:tc>
          <w:tcPr>
            <w:tcW w:w="0" w:type="auto"/>
            <w:shd w:val="clear" w:color="auto" w:fill="auto"/>
          </w:tcPr>
          <w:p w14:paraId="5C7C6295" w14:textId="77777777" w:rsidR="0008009C" w:rsidRDefault="0008009C">
            <w:pPr>
              <w:rPr>
                <w:rFonts w:ascii="宋体"/>
                <w:vanish/>
              </w:rPr>
            </w:pPr>
          </w:p>
        </w:tc>
      </w:tr>
      <w:tr w:rsidR="0008009C" w14:paraId="5C7C62B2" w14:textId="77777777">
        <w:tc>
          <w:tcPr>
            <w:tcW w:w="0" w:type="auto"/>
            <w:gridSpan w:val="3"/>
            <w:shd w:val="clear" w:color="auto" w:fill="auto"/>
            <w:tcMar>
              <w:top w:w="40" w:type="dxa"/>
              <w:left w:w="140" w:type="dxa"/>
              <w:bottom w:w="40" w:type="dxa"/>
              <w:right w:w="20" w:type="dxa"/>
            </w:tcMar>
          </w:tcPr>
          <w:p w14:paraId="5C7C6297" w14:textId="77777777" w:rsidR="0008009C" w:rsidRDefault="00936FDF">
            <w:pPr>
              <w:textAlignment w:val="top"/>
            </w:pPr>
            <w:r>
              <w:rPr>
                <w:rFonts w:ascii="Arial" w:eastAsia="宋体" w:hAnsi="Arial" w:cs="Arial"/>
                <w:color w:val="262626"/>
                <w:sz w:val="18"/>
                <w:szCs w:val="18"/>
              </w:rPr>
              <w:t>Government debt²</w:t>
            </w:r>
          </w:p>
        </w:tc>
        <w:tc>
          <w:tcPr>
            <w:tcW w:w="0" w:type="auto"/>
            <w:gridSpan w:val="3"/>
            <w:shd w:val="clear" w:color="auto" w:fill="auto"/>
            <w:tcMar>
              <w:top w:w="0" w:type="dxa"/>
              <w:left w:w="20" w:type="dxa"/>
              <w:bottom w:w="0" w:type="dxa"/>
              <w:right w:w="20" w:type="dxa"/>
            </w:tcMar>
          </w:tcPr>
          <w:p w14:paraId="5C7C629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99"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29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9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9C" w14:textId="77777777" w:rsidR="0008009C" w:rsidRDefault="00936FDF">
            <w:pPr>
              <w:jc w:val="right"/>
              <w:textAlignment w:val="bottom"/>
            </w:pPr>
            <w:r>
              <w:rPr>
                <w:rFonts w:ascii="Arial" w:eastAsia="宋体" w:hAnsi="Arial" w:cs="Arial"/>
                <w:color w:val="0068B5"/>
                <w:sz w:val="18"/>
                <w:szCs w:val="18"/>
              </w:rPr>
              <w:t>33 </w:t>
            </w:r>
          </w:p>
        </w:tc>
        <w:tc>
          <w:tcPr>
            <w:tcW w:w="0" w:type="auto"/>
            <w:shd w:val="clear" w:color="auto" w:fill="auto"/>
            <w:tcMar>
              <w:top w:w="40" w:type="dxa"/>
              <w:left w:w="0" w:type="dxa"/>
              <w:bottom w:w="40" w:type="dxa"/>
              <w:right w:w="20" w:type="dxa"/>
            </w:tcMar>
            <w:vAlign w:val="bottom"/>
          </w:tcPr>
          <w:p w14:paraId="5C7C629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9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9F"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2A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A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A2" w14:textId="77777777" w:rsidR="0008009C" w:rsidRDefault="00936FDF">
            <w:pPr>
              <w:jc w:val="right"/>
              <w:textAlignment w:val="bottom"/>
            </w:pPr>
            <w:r>
              <w:rPr>
                <w:rFonts w:ascii="Arial" w:eastAsia="宋体" w:hAnsi="Arial" w:cs="Arial"/>
                <w:color w:val="0068B5"/>
                <w:sz w:val="18"/>
                <w:szCs w:val="18"/>
              </w:rPr>
              <w:t>33 </w:t>
            </w:r>
          </w:p>
        </w:tc>
        <w:tc>
          <w:tcPr>
            <w:tcW w:w="0" w:type="auto"/>
            <w:shd w:val="clear" w:color="auto" w:fill="auto"/>
            <w:tcMar>
              <w:top w:w="40" w:type="dxa"/>
              <w:left w:w="0" w:type="dxa"/>
              <w:bottom w:w="40" w:type="dxa"/>
              <w:right w:w="20" w:type="dxa"/>
            </w:tcMar>
            <w:vAlign w:val="bottom"/>
          </w:tcPr>
          <w:p w14:paraId="5C7C62A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A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A5"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2A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A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A8"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2A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A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AB"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2A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A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AE"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2AF" w14:textId="77777777" w:rsidR="0008009C" w:rsidRDefault="0008009C">
            <w:pPr>
              <w:jc w:val="right"/>
              <w:rPr>
                <w:rFonts w:ascii="宋体"/>
              </w:rPr>
            </w:pPr>
          </w:p>
        </w:tc>
        <w:tc>
          <w:tcPr>
            <w:tcW w:w="0" w:type="auto"/>
            <w:shd w:val="clear" w:color="auto" w:fill="auto"/>
          </w:tcPr>
          <w:p w14:paraId="5C7C62B0" w14:textId="77777777" w:rsidR="0008009C" w:rsidRDefault="0008009C">
            <w:pPr>
              <w:rPr>
                <w:rFonts w:ascii="宋体"/>
                <w:vanish/>
              </w:rPr>
            </w:pPr>
          </w:p>
        </w:tc>
        <w:tc>
          <w:tcPr>
            <w:tcW w:w="0" w:type="auto"/>
            <w:shd w:val="clear" w:color="auto" w:fill="auto"/>
          </w:tcPr>
          <w:p w14:paraId="5C7C62B1" w14:textId="77777777" w:rsidR="0008009C" w:rsidRDefault="0008009C">
            <w:pPr>
              <w:rPr>
                <w:rFonts w:ascii="宋体"/>
                <w:vanish/>
              </w:rPr>
            </w:pPr>
          </w:p>
        </w:tc>
      </w:tr>
      <w:tr w:rsidR="0008009C" w14:paraId="5C7C62CE" w14:textId="77777777">
        <w:tc>
          <w:tcPr>
            <w:tcW w:w="0" w:type="auto"/>
            <w:gridSpan w:val="3"/>
            <w:shd w:val="clear" w:color="auto" w:fill="auto"/>
            <w:tcMar>
              <w:top w:w="40" w:type="dxa"/>
              <w:left w:w="140" w:type="dxa"/>
              <w:bottom w:w="40" w:type="dxa"/>
              <w:right w:w="20" w:type="dxa"/>
            </w:tcMar>
          </w:tcPr>
          <w:p w14:paraId="5C7C62B3" w14:textId="77777777" w:rsidR="0008009C" w:rsidRDefault="00936FDF">
            <w:pPr>
              <w:textAlignment w:val="top"/>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tcPr>
          <w:p w14:paraId="5C7C62B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B5"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2B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B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B8" w14:textId="77777777" w:rsidR="0008009C" w:rsidRDefault="00936FDF">
            <w:pPr>
              <w:jc w:val="right"/>
              <w:textAlignment w:val="bottom"/>
            </w:pPr>
            <w:r>
              <w:rPr>
                <w:rFonts w:ascii="Arial" w:eastAsia="宋体" w:hAnsi="Arial" w:cs="Arial"/>
                <w:color w:val="0068B5"/>
                <w:sz w:val="18"/>
                <w:szCs w:val="18"/>
              </w:rPr>
              <w:t>1,350 </w:t>
            </w:r>
          </w:p>
        </w:tc>
        <w:tc>
          <w:tcPr>
            <w:tcW w:w="0" w:type="auto"/>
            <w:shd w:val="clear" w:color="auto" w:fill="auto"/>
            <w:tcMar>
              <w:top w:w="40" w:type="dxa"/>
              <w:left w:w="0" w:type="dxa"/>
              <w:bottom w:w="40" w:type="dxa"/>
              <w:right w:w="20" w:type="dxa"/>
            </w:tcMar>
            <w:vAlign w:val="bottom"/>
          </w:tcPr>
          <w:p w14:paraId="5C7C62B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B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BB"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2B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B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BE" w14:textId="77777777" w:rsidR="0008009C" w:rsidRDefault="00936FDF">
            <w:pPr>
              <w:jc w:val="right"/>
              <w:textAlignment w:val="bottom"/>
            </w:pPr>
            <w:r>
              <w:rPr>
                <w:rFonts w:ascii="Arial" w:eastAsia="宋体" w:hAnsi="Arial" w:cs="Arial"/>
                <w:color w:val="0068B5"/>
                <w:sz w:val="18"/>
                <w:szCs w:val="18"/>
              </w:rPr>
              <w:t>1,350 </w:t>
            </w:r>
          </w:p>
        </w:tc>
        <w:tc>
          <w:tcPr>
            <w:tcW w:w="0" w:type="auto"/>
            <w:shd w:val="clear" w:color="auto" w:fill="auto"/>
            <w:tcMar>
              <w:top w:w="40" w:type="dxa"/>
              <w:left w:w="0" w:type="dxa"/>
              <w:bottom w:w="40" w:type="dxa"/>
              <w:right w:w="20" w:type="dxa"/>
            </w:tcMar>
            <w:vAlign w:val="bottom"/>
          </w:tcPr>
          <w:p w14:paraId="5C7C62B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C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C1"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2C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C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C4" w14:textId="77777777" w:rsidR="0008009C" w:rsidRDefault="00936FDF">
            <w:pPr>
              <w:jc w:val="right"/>
              <w:textAlignment w:val="bottom"/>
            </w:pPr>
            <w:r>
              <w:rPr>
                <w:rFonts w:ascii="Arial" w:eastAsia="宋体" w:hAnsi="Arial" w:cs="Arial"/>
                <w:color w:val="262626"/>
                <w:sz w:val="18"/>
                <w:szCs w:val="18"/>
              </w:rPr>
              <w:t>1,900 </w:t>
            </w:r>
          </w:p>
        </w:tc>
        <w:tc>
          <w:tcPr>
            <w:tcW w:w="0" w:type="auto"/>
            <w:shd w:val="clear" w:color="auto" w:fill="auto"/>
            <w:tcMar>
              <w:top w:w="40" w:type="dxa"/>
              <w:left w:w="0" w:type="dxa"/>
              <w:bottom w:w="40" w:type="dxa"/>
              <w:right w:w="20" w:type="dxa"/>
            </w:tcMar>
            <w:vAlign w:val="bottom"/>
          </w:tcPr>
          <w:p w14:paraId="5C7C62C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C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C7"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2C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C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CA" w14:textId="77777777" w:rsidR="0008009C" w:rsidRDefault="00936FDF">
            <w:pPr>
              <w:jc w:val="right"/>
              <w:textAlignment w:val="bottom"/>
            </w:pPr>
            <w:r>
              <w:rPr>
                <w:rFonts w:ascii="Arial" w:eastAsia="宋体" w:hAnsi="Arial" w:cs="Arial"/>
                <w:color w:val="262626"/>
                <w:sz w:val="18"/>
                <w:szCs w:val="18"/>
              </w:rPr>
              <w:t>1,900 </w:t>
            </w:r>
          </w:p>
        </w:tc>
        <w:tc>
          <w:tcPr>
            <w:tcW w:w="0" w:type="auto"/>
            <w:shd w:val="clear" w:color="auto" w:fill="auto"/>
            <w:tcMar>
              <w:top w:w="40" w:type="dxa"/>
              <w:left w:w="0" w:type="dxa"/>
              <w:bottom w:w="40" w:type="dxa"/>
              <w:right w:w="20" w:type="dxa"/>
            </w:tcMar>
            <w:vAlign w:val="bottom"/>
          </w:tcPr>
          <w:p w14:paraId="5C7C62CB" w14:textId="77777777" w:rsidR="0008009C" w:rsidRDefault="0008009C">
            <w:pPr>
              <w:jc w:val="right"/>
              <w:rPr>
                <w:rFonts w:ascii="宋体"/>
              </w:rPr>
            </w:pPr>
          </w:p>
        </w:tc>
        <w:tc>
          <w:tcPr>
            <w:tcW w:w="0" w:type="auto"/>
            <w:shd w:val="clear" w:color="auto" w:fill="auto"/>
          </w:tcPr>
          <w:p w14:paraId="5C7C62CC" w14:textId="77777777" w:rsidR="0008009C" w:rsidRDefault="0008009C">
            <w:pPr>
              <w:rPr>
                <w:rFonts w:ascii="宋体"/>
                <w:vanish/>
              </w:rPr>
            </w:pPr>
          </w:p>
        </w:tc>
        <w:tc>
          <w:tcPr>
            <w:tcW w:w="0" w:type="auto"/>
            <w:shd w:val="clear" w:color="auto" w:fill="auto"/>
          </w:tcPr>
          <w:p w14:paraId="5C7C62CD" w14:textId="77777777" w:rsidR="0008009C" w:rsidRDefault="0008009C">
            <w:pPr>
              <w:rPr>
                <w:rFonts w:ascii="宋体"/>
                <w:vanish/>
              </w:rPr>
            </w:pPr>
          </w:p>
        </w:tc>
      </w:tr>
      <w:tr w:rsidR="0008009C" w14:paraId="5C7C62E2" w14:textId="77777777">
        <w:tc>
          <w:tcPr>
            <w:tcW w:w="0" w:type="auto"/>
            <w:gridSpan w:val="3"/>
            <w:shd w:val="clear" w:color="auto" w:fill="auto"/>
            <w:tcMar>
              <w:top w:w="40" w:type="dxa"/>
              <w:left w:w="20" w:type="dxa"/>
              <w:bottom w:w="40" w:type="dxa"/>
              <w:right w:w="20" w:type="dxa"/>
            </w:tcMar>
          </w:tcPr>
          <w:p w14:paraId="5C7C62CF" w14:textId="77777777" w:rsidR="0008009C" w:rsidRDefault="00936FDF">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tcPr>
          <w:p w14:paraId="5C7C62D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D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D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D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D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D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D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D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D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D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D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D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D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D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D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2DF" w14:textId="77777777" w:rsidR="0008009C" w:rsidRDefault="0008009C">
            <w:pPr>
              <w:rPr>
                <w:rFonts w:ascii="宋体"/>
              </w:rPr>
            </w:pPr>
          </w:p>
        </w:tc>
        <w:tc>
          <w:tcPr>
            <w:tcW w:w="0" w:type="auto"/>
            <w:shd w:val="clear" w:color="auto" w:fill="auto"/>
          </w:tcPr>
          <w:p w14:paraId="5C7C62E0" w14:textId="77777777" w:rsidR="0008009C" w:rsidRDefault="0008009C">
            <w:pPr>
              <w:rPr>
                <w:rFonts w:ascii="宋体"/>
                <w:vanish/>
              </w:rPr>
            </w:pPr>
          </w:p>
        </w:tc>
        <w:tc>
          <w:tcPr>
            <w:tcW w:w="0" w:type="auto"/>
            <w:shd w:val="clear" w:color="auto" w:fill="auto"/>
          </w:tcPr>
          <w:p w14:paraId="5C7C62E1" w14:textId="77777777" w:rsidR="0008009C" w:rsidRDefault="0008009C">
            <w:pPr>
              <w:rPr>
                <w:rFonts w:ascii="宋体"/>
                <w:vanish/>
              </w:rPr>
            </w:pPr>
          </w:p>
        </w:tc>
      </w:tr>
      <w:tr w:rsidR="0008009C" w14:paraId="5C7C62FE" w14:textId="77777777">
        <w:tc>
          <w:tcPr>
            <w:tcW w:w="0" w:type="auto"/>
            <w:gridSpan w:val="3"/>
            <w:shd w:val="clear" w:color="auto" w:fill="auto"/>
            <w:tcMar>
              <w:top w:w="40" w:type="dxa"/>
              <w:left w:w="140" w:type="dxa"/>
              <w:bottom w:w="40" w:type="dxa"/>
              <w:right w:w="20" w:type="dxa"/>
            </w:tcMar>
          </w:tcPr>
          <w:p w14:paraId="5C7C62E3" w14:textId="77777777" w:rsidR="0008009C" w:rsidRDefault="00936FDF">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tcPr>
          <w:p w14:paraId="5C7C62E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E5"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2E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E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E8" w14:textId="77777777" w:rsidR="0008009C" w:rsidRDefault="00936FDF">
            <w:pPr>
              <w:jc w:val="right"/>
              <w:textAlignment w:val="bottom"/>
            </w:pPr>
            <w:r>
              <w:rPr>
                <w:rFonts w:ascii="Arial" w:eastAsia="宋体" w:hAnsi="Arial" w:cs="Arial"/>
                <w:color w:val="0068B5"/>
                <w:sz w:val="18"/>
                <w:szCs w:val="18"/>
              </w:rPr>
              <w:t>851 </w:t>
            </w:r>
          </w:p>
        </w:tc>
        <w:tc>
          <w:tcPr>
            <w:tcW w:w="0" w:type="auto"/>
            <w:shd w:val="clear" w:color="auto" w:fill="auto"/>
            <w:tcMar>
              <w:top w:w="40" w:type="dxa"/>
              <w:left w:w="0" w:type="dxa"/>
              <w:bottom w:w="40" w:type="dxa"/>
              <w:right w:w="20" w:type="dxa"/>
            </w:tcMar>
            <w:vAlign w:val="bottom"/>
          </w:tcPr>
          <w:p w14:paraId="5C7C62E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E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EB"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2E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E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EE" w14:textId="77777777" w:rsidR="0008009C" w:rsidRDefault="00936FDF">
            <w:pPr>
              <w:jc w:val="right"/>
              <w:textAlignment w:val="bottom"/>
            </w:pPr>
            <w:r>
              <w:rPr>
                <w:rFonts w:ascii="Arial" w:eastAsia="宋体" w:hAnsi="Arial" w:cs="Arial"/>
                <w:color w:val="0068B5"/>
                <w:sz w:val="18"/>
                <w:szCs w:val="18"/>
              </w:rPr>
              <w:t>851 </w:t>
            </w:r>
          </w:p>
        </w:tc>
        <w:tc>
          <w:tcPr>
            <w:tcW w:w="0" w:type="auto"/>
            <w:shd w:val="clear" w:color="auto" w:fill="auto"/>
            <w:tcMar>
              <w:top w:w="40" w:type="dxa"/>
              <w:left w:w="0" w:type="dxa"/>
              <w:bottom w:w="40" w:type="dxa"/>
              <w:right w:w="20" w:type="dxa"/>
            </w:tcMar>
            <w:vAlign w:val="bottom"/>
          </w:tcPr>
          <w:p w14:paraId="5C7C62E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F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F1"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2F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F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F4" w14:textId="77777777" w:rsidR="0008009C" w:rsidRDefault="00936FDF">
            <w:pPr>
              <w:jc w:val="right"/>
              <w:textAlignment w:val="bottom"/>
            </w:pPr>
            <w:r>
              <w:rPr>
                <w:rFonts w:ascii="Arial" w:eastAsia="宋体" w:hAnsi="Arial" w:cs="Arial"/>
                <w:color w:val="262626"/>
                <w:sz w:val="18"/>
                <w:szCs w:val="18"/>
              </w:rPr>
              <w:t>428 </w:t>
            </w:r>
          </w:p>
        </w:tc>
        <w:tc>
          <w:tcPr>
            <w:tcW w:w="0" w:type="auto"/>
            <w:shd w:val="clear" w:color="auto" w:fill="auto"/>
            <w:tcMar>
              <w:top w:w="40" w:type="dxa"/>
              <w:left w:w="0" w:type="dxa"/>
              <w:bottom w:w="40" w:type="dxa"/>
              <w:right w:w="20" w:type="dxa"/>
            </w:tcMar>
            <w:vAlign w:val="bottom"/>
          </w:tcPr>
          <w:p w14:paraId="5C7C62F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F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F7"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2F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2F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2FA" w14:textId="77777777" w:rsidR="0008009C" w:rsidRDefault="00936FDF">
            <w:pPr>
              <w:jc w:val="right"/>
              <w:textAlignment w:val="bottom"/>
            </w:pPr>
            <w:r>
              <w:rPr>
                <w:rFonts w:ascii="Arial" w:eastAsia="宋体" w:hAnsi="Arial" w:cs="Arial"/>
                <w:color w:val="262626"/>
                <w:sz w:val="18"/>
                <w:szCs w:val="18"/>
              </w:rPr>
              <w:t>428 </w:t>
            </w:r>
          </w:p>
        </w:tc>
        <w:tc>
          <w:tcPr>
            <w:tcW w:w="0" w:type="auto"/>
            <w:shd w:val="clear" w:color="auto" w:fill="auto"/>
            <w:tcMar>
              <w:top w:w="40" w:type="dxa"/>
              <w:left w:w="0" w:type="dxa"/>
              <w:bottom w:w="40" w:type="dxa"/>
              <w:right w:w="20" w:type="dxa"/>
            </w:tcMar>
            <w:vAlign w:val="bottom"/>
          </w:tcPr>
          <w:p w14:paraId="5C7C62FB" w14:textId="77777777" w:rsidR="0008009C" w:rsidRDefault="0008009C">
            <w:pPr>
              <w:jc w:val="right"/>
              <w:rPr>
                <w:rFonts w:ascii="宋体"/>
              </w:rPr>
            </w:pPr>
          </w:p>
        </w:tc>
        <w:tc>
          <w:tcPr>
            <w:tcW w:w="0" w:type="auto"/>
            <w:shd w:val="clear" w:color="auto" w:fill="auto"/>
          </w:tcPr>
          <w:p w14:paraId="5C7C62FC" w14:textId="77777777" w:rsidR="0008009C" w:rsidRDefault="0008009C">
            <w:pPr>
              <w:rPr>
                <w:rFonts w:ascii="宋体"/>
                <w:vanish/>
              </w:rPr>
            </w:pPr>
          </w:p>
        </w:tc>
        <w:tc>
          <w:tcPr>
            <w:tcW w:w="0" w:type="auto"/>
            <w:shd w:val="clear" w:color="auto" w:fill="auto"/>
          </w:tcPr>
          <w:p w14:paraId="5C7C62FD" w14:textId="77777777" w:rsidR="0008009C" w:rsidRDefault="0008009C">
            <w:pPr>
              <w:rPr>
                <w:rFonts w:ascii="宋体"/>
                <w:vanish/>
              </w:rPr>
            </w:pPr>
          </w:p>
        </w:tc>
      </w:tr>
      <w:tr w:rsidR="0008009C" w14:paraId="5C7C631A" w14:textId="77777777">
        <w:tc>
          <w:tcPr>
            <w:tcW w:w="0" w:type="auto"/>
            <w:gridSpan w:val="3"/>
            <w:shd w:val="clear" w:color="auto" w:fill="auto"/>
            <w:tcMar>
              <w:top w:w="40" w:type="dxa"/>
              <w:left w:w="140" w:type="dxa"/>
              <w:bottom w:w="40" w:type="dxa"/>
              <w:right w:w="20" w:type="dxa"/>
            </w:tcMar>
          </w:tcPr>
          <w:p w14:paraId="5C7C62FF" w14:textId="77777777" w:rsidR="0008009C" w:rsidRDefault="00936FDF">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tcPr>
          <w:p w14:paraId="5C7C630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01"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30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0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04" w14:textId="77777777" w:rsidR="0008009C" w:rsidRDefault="00936FDF">
            <w:pPr>
              <w:jc w:val="right"/>
              <w:textAlignment w:val="bottom"/>
            </w:pPr>
            <w:r>
              <w:rPr>
                <w:rFonts w:ascii="Arial" w:eastAsia="宋体" w:hAnsi="Arial" w:cs="Arial"/>
                <w:color w:val="0068B5"/>
                <w:sz w:val="18"/>
                <w:szCs w:val="18"/>
              </w:rPr>
              <w:t>878 </w:t>
            </w:r>
          </w:p>
        </w:tc>
        <w:tc>
          <w:tcPr>
            <w:tcW w:w="0" w:type="auto"/>
            <w:shd w:val="clear" w:color="auto" w:fill="auto"/>
            <w:tcMar>
              <w:top w:w="40" w:type="dxa"/>
              <w:left w:w="0" w:type="dxa"/>
              <w:bottom w:w="40" w:type="dxa"/>
              <w:right w:w="20" w:type="dxa"/>
            </w:tcMar>
            <w:vAlign w:val="bottom"/>
          </w:tcPr>
          <w:p w14:paraId="5C7C630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0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07"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30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0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0A" w14:textId="77777777" w:rsidR="0008009C" w:rsidRDefault="00936FDF">
            <w:pPr>
              <w:jc w:val="right"/>
              <w:textAlignment w:val="bottom"/>
            </w:pPr>
            <w:r>
              <w:rPr>
                <w:rFonts w:ascii="Arial" w:eastAsia="宋体" w:hAnsi="Arial" w:cs="Arial"/>
                <w:color w:val="0068B5"/>
                <w:sz w:val="18"/>
                <w:szCs w:val="18"/>
              </w:rPr>
              <w:t>878 </w:t>
            </w:r>
          </w:p>
        </w:tc>
        <w:tc>
          <w:tcPr>
            <w:tcW w:w="0" w:type="auto"/>
            <w:shd w:val="clear" w:color="auto" w:fill="auto"/>
            <w:tcMar>
              <w:top w:w="40" w:type="dxa"/>
              <w:left w:w="0" w:type="dxa"/>
              <w:bottom w:w="40" w:type="dxa"/>
              <w:right w:w="20" w:type="dxa"/>
            </w:tcMar>
            <w:vAlign w:val="bottom"/>
          </w:tcPr>
          <w:p w14:paraId="5C7C630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0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0D"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30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0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10" w14:textId="77777777" w:rsidR="0008009C" w:rsidRDefault="00936FDF">
            <w:pPr>
              <w:jc w:val="right"/>
              <w:textAlignment w:val="bottom"/>
            </w:pPr>
            <w:r>
              <w:rPr>
                <w:rFonts w:ascii="Arial" w:eastAsia="宋体" w:hAnsi="Arial" w:cs="Arial"/>
                <w:color w:val="262626"/>
                <w:sz w:val="18"/>
                <w:szCs w:val="18"/>
              </w:rPr>
              <w:t>1,179 </w:t>
            </w:r>
          </w:p>
        </w:tc>
        <w:tc>
          <w:tcPr>
            <w:tcW w:w="0" w:type="auto"/>
            <w:shd w:val="clear" w:color="auto" w:fill="auto"/>
            <w:tcMar>
              <w:top w:w="40" w:type="dxa"/>
              <w:left w:w="0" w:type="dxa"/>
              <w:bottom w:w="40" w:type="dxa"/>
              <w:right w:w="20" w:type="dxa"/>
            </w:tcMar>
            <w:vAlign w:val="bottom"/>
          </w:tcPr>
          <w:p w14:paraId="5C7C631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1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13"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31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1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16" w14:textId="77777777" w:rsidR="0008009C" w:rsidRDefault="00936FDF">
            <w:pPr>
              <w:jc w:val="right"/>
              <w:textAlignment w:val="bottom"/>
            </w:pPr>
            <w:r>
              <w:rPr>
                <w:rFonts w:ascii="Arial" w:eastAsia="宋体" w:hAnsi="Arial" w:cs="Arial"/>
                <w:color w:val="262626"/>
                <w:sz w:val="18"/>
                <w:szCs w:val="18"/>
              </w:rPr>
              <w:t>1,179 </w:t>
            </w:r>
          </w:p>
        </w:tc>
        <w:tc>
          <w:tcPr>
            <w:tcW w:w="0" w:type="auto"/>
            <w:shd w:val="clear" w:color="auto" w:fill="auto"/>
            <w:tcMar>
              <w:top w:w="40" w:type="dxa"/>
              <w:left w:w="0" w:type="dxa"/>
              <w:bottom w:w="40" w:type="dxa"/>
              <w:right w:w="20" w:type="dxa"/>
            </w:tcMar>
            <w:vAlign w:val="bottom"/>
          </w:tcPr>
          <w:p w14:paraId="5C7C6317" w14:textId="77777777" w:rsidR="0008009C" w:rsidRDefault="0008009C">
            <w:pPr>
              <w:jc w:val="right"/>
              <w:rPr>
                <w:rFonts w:ascii="宋体"/>
              </w:rPr>
            </w:pPr>
          </w:p>
        </w:tc>
        <w:tc>
          <w:tcPr>
            <w:tcW w:w="0" w:type="auto"/>
            <w:shd w:val="clear" w:color="auto" w:fill="auto"/>
          </w:tcPr>
          <w:p w14:paraId="5C7C6318" w14:textId="77777777" w:rsidR="0008009C" w:rsidRDefault="0008009C">
            <w:pPr>
              <w:rPr>
                <w:rFonts w:ascii="宋体"/>
                <w:vanish/>
              </w:rPr>
            </w:pPr>
          </w:p>
        </w:tc>
        <w:tc>
          <w:tcPr>
            <w:tcW w:w="0" w:type="auto"/>
            <w:shd w:val="clear" w:color="auto" w:fill="auto"/>
          </w:tcPr>
          <w:p w14:paraId="5C7C6319" w14:textId="77777777" w:rsidR="0008009C" w:rsidRDefault="0008009C">
            <w:pPr>
              <w:rPr>
                <w:rFonts w:ascii="宋体"/>
                <w:vanish/>
              </w:rPr>
            </w:pPr>
          </w:p>
        </w:tc>
      </w:tr>
      <w:tr w:rsidR="0008009C" w14:paraId="5C7C6336" w14:textId="77777777">
        <w:tc>
          <w:tcPr>
            <w:tcW w:w="0" w:type="auto"/>
            <w:gridSpan w:val="3"/>
            <w:shd w:val="clear" w:color="auto" w:fill="auto"/>
            <w:tcMar>
              <w:top w:w="40" w:type="dxa"/>
              <w:left w:w="140" w:type="dxa"/>
              <w:bottom w:w="40" w:type="dxa"/>
              <w:right w:w="20" w:type="dxa"/>
            </w:tcMar>
          </w:tcPr>
          <w:p w14:paraId="5C7C631B" w14:textId="77777777" w:rsidR="0008009C" w:rsidRDefault="00936FDF">
            <w:pPr>
              <w:textAlignment w:val="top"/>
            </w:pPr>
            <w:r>
              <w:rPr>
                <w:rFonts w:ascii="Arial" w:eastAsia="宋体" w:hAnsi="Arial" w:cs="Arial"/>
                <w:color w:val="262626"/>
                <w:sz w:val="18"/>
                <w:szCs w:val="18"/>
              </w:rPr>
              <w:t>Government debt²</w:t>
            </w:r>
          </w:p>
        </w:tc>
        <w:tc>
          <w:tcPr>
            <w:tcW w:w="0" w:type="auto"/>
            <w:gridSpan w:val="3"/>
            <w:shd w:val="clear" w:color="auto" w:fill="auto"/>
            <w:tcMar>
              <w:top w:w="0" w:type="dxa"/>
              <w:left w:w="20" w:type="dxa"/>
              <w:bottom w:w="0" w:type="dxa"/>
              <w:right w:w="20" w:type="dxa"/>
            </w:tcMar>
          </w:tcPr>
          <w:p w14:paraId="5C7C631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1D"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31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1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20" w14:textId="77777777" w:rsidR="0008009C" w:rsidRDefault="00936FDF">
            <w:pPr>
              <w:jc w:val="right"/>
              <w:textAlignment w:val="bottom"/>
            </w:pPr>
            <w:r>
              <w:rPr>
                <w:rFonts w:ascii="Arial" w:eastAsia="宋体" w:hAnsi="Arial" w:cs="Arial"/>
                <w:color w:val="0068B5"/>
                <w:sz w:val="18"/>
                <w:szCs w:val="18"/>
              </w:rPr>
              <w:t>688 </w:t>
            </w:r>
          </w:p>
        </w:tc>
        <w:tc>
          <w:tcPr>
            <w:tcW w:w="0" w:type="auto"/>
            <w:shd w:val="clear" w:color="auto" w:fill="auto"/>
            <w:tcMar>
              <w:top w:w="40" w:type="dxa"/>
              <w:left w:w="0" w:type="dxa"/>
              <w:bottom w:w="40" w:type="dxa"/>
              <w:right w:w="20" w:type="dxa"/>
            </w:tcMar>
            <w:vAlign w:val="bottom"/>
          </w:tcPr>
          <w:p w14:paraId="5C7C632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2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23"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32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2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26" w14:textId="77777777" w:rsidR="0008009C" w:rsidRDefault="00936FDF">
            <w:pPr>
              <w:jc w:val="right"/>
              <w:textAlignment w:val="bottom"/>
            </w:pPr>
            <w:r>
              <w:rPr>
                <w:rFonts w:ascii="Arial" w:eastAsia="宋体" w:hAnsi="Arial" w:cs="Arial"/>
                <w:color w:val="0068B5"/>
                <w:sz w:val="18"/>
                <w:szCs w:val="18"/>
              </w:rPr>
              <w:t>688 </w:t>
            </w:r>
          </w:p>
        </w:tc>
        <w:tc>
          <w:tcPr>
            <w:tcW w:w="0" w:type="auto"/>
            <w:shd w:val="clear" w:color="auto" w:fill="auto"/>
            <w:tcMar>
              <w:top w:w="40" w:type="dxa"/>
              <w:left w:w="0" w:type="dxa"/>
              <w:bottom w:w="40" w:type="dxa"/>
              <w:right w:w="20" w:type="dxa"/>
            </w:tcMar>
            <w:vAlign w:val="bottom"/>
          </w:tcPr>
          <w:p w14:paraId="5C7C632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2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29"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32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2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2C" w14:textId="77777777" w:rsidR="0008009C" w:rsidRDefault="00936FDF">
            <w:pPr>
              <w:jc w:val="right"/>
              <w:textAlignment w:val="bottom"/>
            </w:pPr>
            <w:r>
              <w:rPr>
                <w:rFonts w:ascii="Arial" w:eastAsia="宋体" w:hAnsi="Arial" w:cs="Arial"/>
                <w:color w:val="262626"/>
                <w:sz w:val="18"/>
                <w:szCs w:val="18"/>
              </w:rPr>
              <w:t>685 </w:t>
            </w:r>
          </w:p>
        </w:tc>
        <w:tc>
          <w:tcPr>
            <w:tcW w:w="0" w:type="auto"/>
            <w:shd w:val="clear" w:color="auto" w:fill="auto"/>
            <w:tcMar>
              <w:top w:w="40" w:type="dxa"/>
              <w:left w:w="0" w:type="dxa"/>
              <w:bottom w:w="40" w:type="dxa"/>
              <w:right w:w="20" w:type="dxa"/>
            </w:tcMar>
            <w:vAlign w:val="bottom"/>
          </w:tcPr>
          <w:p w14:paraId="5C7C632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2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2F"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33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3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32" w14:textId="77777777" w:rsidR="0008009C" w:rsidRDefault="00936FDF">
            <w:pPr>
              <w:jc w:val="right"/>
              <w:textAlignment w:val="bottom"/>
            </w:pPr>
            <w:r>
              <w:rPr>
                <w:rFonts w:ascii="Arial" w:eastAsia="宋体" w:hAnsi="Arial" w:cs="Arial"/>
                <w:color w:val="262626"/>
                <w:sz w:val="18"/>
                <w:szCs w:val="18"/>
              </w:rPr>
              <w:t>685 </w:t>
            </w:r>
          </w:p>
        </w:tc>
        <w:tc>
          <w:tcPr>
            <w:tcW w:w="0" w:type="auto"/>
            <w:shd w:val="clear" w:color="auto" w:fill="auto"/>
            <w:tcMar>
              <w:top w:w="40" w:type="dxa"/>
              <w:left w:w="0" w:type="dxa"/>
              <w:bottom w:w="40" w:type="dxa"/>
              <w:right w:w="20" w:type="dxa"/>
            </w:tcMar>
            <w:vAlign w:val="bottom"/>
          </w:tcPr>
          <w:p w14:paraId="5C7C6333" w14:textId="77777777" w:rsidR="0008009C" w:rsidRDefault="0008009C">
            <w:pPr>
              <w:jc w:val="right"/>
              <w:rPr>
                <w:rFonts w:ascii="宋体"/>
              </w:rPr>
            </w:pPr>
          </w:p>
        </w:tc>
        <w:tc>
          <w:tcPr>
            <w:tcW w:w="0" w:type="auto"/>
            <w:shd w:val="clear" w:color="auto" w:fill="auto"/>
          </w:tcPr>
          <w:p w14:paraId="5C7C6334" w14:textId="77777777" w:rsidR="0008009C" w:rsidRDefault="0008009C">
            <w:pPr>
              <w:rPr>
                <w:rFonts w:ascii="宋体"/>
                <w:vanish/>
              </w:rPr>
            </w:pPr>
          </w:p>
        </w:tc>
        <w:tc>
          <w:tcPr>
            <w:tcW w:w="0" w:type="auto"/>
            <w:shd w:val="clear" w:color="auto" w:fill="auto"/>
          </w:tcPr>
          <w:p w14:paraId="5C7C6335" w14:textId="77777777" w:rsidR="0008009C" w:rsidRDefault="0008009C">
            <w:pPr>
              <w:rPr>
                <w:rFonts w:ascii="宋体"/>
                <w:vanish/>
              </w:rPr>
            </w:pPr>
          </w:p>
        </w:tc>
      </w:tr>
      <w:tr w:rsidR="0008009C" w14:paraId="5C7C634A" w14:textId="77777777">
        <w:tc>
          <w:tcPr>
            <w:tcW w:w="0" w:type="auto"/>
            <w:gridSpan w:val="3"/>
            <w:shd w:val="clear" w:color="auto" w:fill="auto"/>
            <w:tcMar>
              <w:top w:w="40" w:type="dxa"/>
              <w:left w:w="20" w:type="dxa"/>
              <w:bottom w:w="40" w:type="dxa"/>
              <w:right w:w="20" w:type="dxa"/>
            </w:tcMar>
          </w:tcPr>
          <w:p w14:paraId="5C7C6337" w14:textId="77777777" w:rsidR="0008009C" w:rsidRDefault="00936FDF">
            <w:pPr>
              <w:textAlignment w:val="top"/>
            </w:pPr>
            <w:r>
              <w:rPr>
                <w:rFonts w:ascii="Arial" w:eastAsia="宋体" w:hAnsi="Arial" w:cs="Arial"/>
                <w:color w:val="262626"/>
                <w:sz w:val="18"/>
                <w:szCs w:val="18"/>
              </w:rPr>
              <w:t>Trading assets:</w:t>
            </w:r>
          </w:p>
        </w:tc>
        <w:tc>
          <w:tcPr>
            <w:tcW w:w="0" w:type="auto"/>
            <w:gridSpan w:val="3"/>
            <w:shd w:val="clear" w:color="auto" w:fill="auto"/>
            <w:tcMar>
              <w:top w:w="0" w:type="dxa"/>
              <w:left w:w="20" w:type="dxa"/>
              <w:bottom w:w="0" w:type="dxa"/>
              <w:right w:w="20" w:type="dxa"/>
            </w:tcMar>
          </w:tcPr>
          <w:p w14:paraId="5C7C633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3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3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3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3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3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3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3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4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4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4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4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4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4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4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47" w14:textId="77777777" w:rsidR="0008009C" w:rsidRDefault="0008009C">
            <w:pPr>
              <w:rPr>
                <w:rFonts w:ascii="宋体"/>
              </w:rPr>
            </w:pPr>
          </w:p>
        </w:tc>
        <w:tc>
          <w:tcPr>
            <w:tcW w:w="0" w:type="auto"/>
            <w:shd w:val="clear" w:color="auto" w:fill="auto"/>
          </w:tcPr>
          <w:p w14:paraId="5C7C6348" w14:textId="77777777" w:rsidR="0008009C" w:rsidRDefault="0008009C">
            <w:pPr>
              <w:rPr>
                <w:rFonts w:ascii="宋体"/>
                <w:vanish/>
              </w:rPr>
            </w:pPr>
          </w:p>
        </w:tc>
        <w:tc>
          <w:tcPr>
            <w:tcW w:w="0" w:type="auto"/>
            <w:shd w:val="clear" w:color="auto" w:fill="auto"/>
          </w:tcPr>
          <w:p w14:paraId="5C7C6349" w14:textId="77777777" w:rsidR="0008009C" w:rsidRDefault="0008009C">
            <w:pPr>
              <w:rPr>
                <w:rFonts w:ascii="宋体"/>
                <w:vanish/>
              </w:rPr>
            </w:pPr>
          </w:p>
        </w:tc>
      </w:tr>
      <w:tr w:rsidR="0008009C" w14:paraId="5C7C635E" w14:textId="77777777">
        <w:trPr>
          <w:hidden/>
        </w:trPr>
        <w:tc>
          <w:tcPr>
            <w:tcW w:w="0" w:type="auto"/>
            <w:gridSpan w:val="3"/>
            <w:shd w:val="clear" w:color="auto" w:fill="auto"/>
          </w:tcPr>
          <w:p w14:paraId="5C7C634B" w14:textId="77777777" w:rsidR="0008009C" w:rsidRDefault="0008009C">
            <w:pPr>
              <w:rPr>
                <w:rFonts w:ascii="宋体"/>
                <w:vanish/>
              </w:rPr>
            </w:pPr>
          </w:p>
        </w:tc>
        <w:tc>
          <w:tcPr>
            <w:tcW w:w="0" w:type="auto"/>
            <w:gridSpan w:val="3"/>
            <w:shd w:val="clear" w:color="auto" w:fill="auto"/>
          </w:tcPr>
          <w:p w14:paraId="5C7C634C" w14:textId="77777777" w:rsidR="0008009C" w:rsidRDefault="0008009C">
            <w:pPr>
              <w:rPr>
                <w:rFonts w:ascii="宋体"/>
                <w:vanish/>
              </w:rPr>
            </w:pPr>
          </w:p>
        </w:tc>
        <w:tc>
          <w:tcPr>
            <w:tcW w:w="0" w:type="auto"/>
            <w:gridSpan w:val="3"/>
            <w:shd w:val="clear" w:color="auto" w:fill="auto"/>
          </w:tcPr>
          <w:p w14:paraId="5C7C634D" w14:textId="77777777" w:rsidR="0008009C" w:rsidRDefault="0008009C">
            <w:pPr>
              <w:rPr>
                <w:rFonts w:ascii="宋体"/>
                <w:vanish/>
              </w:rPr>
            </w:pPr>
          </w:p>
        </w:tc>
        <w:tc>
          <w:tcPr>
            <w:tcW w:w="0" w:type="auto"/>
            <w:gridSpan w:val="3"/>
            <w:shd w:val="clear" w:color="auto" w:fill="auto"/>
          </w:tcPr>
          <w:p w14:paraId="5C7C634E" w14:textId="77777777" w:rsidR="0008009C" w:rsidRDefault="0008009C">
            <w:pPr>
              <w:rPr>
                <w:rFonts w:ascii="宋体"/>
                <w:vanish/>
              </w:rPr>
            </w:pPr>
          </w:p>
        </w:tc>
        <w:tc>
          <w:tcPr>
            <w:tcW w:w="0" w:type="auto"/>
            <w:gridSpan w:val="3"/>
            <w:shd w:val="clear" w:color="auto" w:fill="auto"/>
          </w:tcPr>
          <w:p w14:paraId="5C7C634F" w14:textId="77777777" w:rsidR="0008009C" w:rsidRDefault="0008009C">
            <w:pPr>
              <w:rPr>
                <w:rFonts w:ascii="宋体"/>
                <w:vanish/>
              </w:rPr>
            </w:pPr>
          </w:p>
        </w:tc>
        <w:tc>
          <w:tcPr>
            <w:tcW w:w="0" w:type="auto"/>
            <w:gridSpan w:val="3"/>
            <w:shd w:val="clear" w:color="auto" w:fill="auto"/>
          </w:tcPr>
          <w:p w14:paraId="5C7C6350" w14:textId="77777777" w:rsidR="0008009C" w:rsidRDefault="0008009C">
            <w:pPr>
              <w:rPr>
                <w:rFonts w:ascii="宋体"/>
                <w:vanish/>
              </w:rPr>
            </w:pPr>
          </w:p>
        </w:tc>
        <w:tc>
          <w:tcPr>
            <w:tcW w:w="0" w:type="auto"/>
            <w:gridSpan w:val="3"/>
            <w:shd w:val="clear" w:color="auto" w:fill="auto"/>
          </w:tcPr>
          <w:p w14:paraId="5C7C6351" w14:textId="77777777" w:rsidR="0008009C" w:rsidRDefault="0008009C">
            <w:pPr>
              <w:rPr>
                <w:rFonts w:ascii="宋体"/>
                <w:vanish/>
              </w:rPr>
            </w:pPr>
          </w:p>
        </w:tc>
        <w:tc>
          <w:tcPr>
            <w:tcW w:w="0" w:type="auto"/>
            <w:gridSpan w:val="3"/>
            <w:shd w:val="clear" w:color="auto" w:fill="auto"/>
          </w:tcPr>
          <w:p w14:paraId="5C7C6352" w14:textId="77777777" w:rsidR="0008009C" w:rsidRDefault="0008009C">
            <w:pPr>
              <w:rPr>
                <w:rFonts w:ascii="宋体"/>
                <w:vanish/>
              </w:rPr>
            </w:pPr>
          </w:p>
        </w:tc>
        <w:tc>
          <w:tcPr>
            <w:tcW w:w="0" w:type="auto"/>
            <w:gridSpan w:val="3"/>
            <w:shd w:val="clear" w:color="auto" w:fill="auto"/>
          </w:tcPr>
          <w:p w14:paraId="5C7C6353" w14:textId="77777777" w:rsidR="0008009C" w:rsidRDefault="0008009C">
            <w:pPr>
              <w:rPr>
                <w:rFonts w:ascii="宋体"/>
                <w:vanish/>
              </w:rPr>
            </w:pPr>
          </w:p>
        </w:tc>
        <w:tc>
          <w:tcPr>
            <w:tcW w:w="0" w:type="auto"/>
            <w:gridSpan w:val="3"/>
            <w:shd w:val="clear" w:color="auto" w:fill="auto"/>
          </w:tcPr>
          <w:p w14:paraId="5C7C6354" w14:textId="77777777" w:rsidR="0008009C" w:rsidRDefault="0008009C">
            <w:pPr>
              <w:rPr>
                <w:rFonts w:ascii="宋体"/>
                <w:vanish/>
              </w:rPr>
            </w:pPr>
          </w:p>
        </w:tc>
        <w:tc>
          <w:tcPr>
            <w:tcW w:w="0" w:type="auto"/>
            <w:gridSpan w:val="3"/>
            <w:shd w:val="clear" w:color="auto" w:fill="auto"/>
          </w:tcPr>
          <w:p w14:paraId="5C7C6355" w14:textId="77777777" w:rsidR="0008009C" w:rsidRDefault="0008009C">
            <w:pPr>
              <w:rPr>
                <w:rFonts w:ascii="宋体"/>
                <w:vanish/>
              </w:rPr>
            </w:pPr>
          </w:p>
        </w:tc>
        <w:tc>
          <w:tcPr>
            <w:tcW w:w="0" w:type="auto"/>
            <w:gridSpan w:val="3"/>
            <w:shd w:val="clear" w:color="auto" w:fill="auto"/>
          </w:tcPr>
          <w:p w14:paraId="5C7C6356" w14:textId="77777777" w:rsidR="0008009C" w:rsidRDefault="0008009C">
            <w:pPr>
              <w:rPr>
                <w:rFonts w:ascii="宋体"/>
                <w:vanish/>
              </w:rPr>
            </w:pPr>
          </w:p>
        </w:tc>
        <w:tc>
          <w:tcPr>
            <w:tcW w:w="0" w:type="auto"/>
            <w:gridSpan w:val="3"/>
            <w:shd w:val="clear" w:color="auto" w:fill="auto"/>
          </w:tcPr>
          <w:p w14:paraId="5C7C6357" w14:textId="77777777" w:rsidR="0008009C" w:rsidRDefault="0008009C">
            <w:pPr>
              <w:rPr>
                <w:rFonts w:ascii="宋体"/>
                <w:vanish/>
              </w:rPr>
            </w:pPr>
          </w:p>
        </w:tc>
        <w:tc>
          <w:tcPr>
            <w:tcW w:w="0" w:type="auto"/>
            <w:gridSpan w:val="3"/>
            <w:shd w:val="clear" w:color="auto" w:fill="auto"/>
          </w:tcPr>
          <w:p w14:paraId="5C7C6358" w14:textId="77777777" w:rsidR="0008009C" w:rsidRDefault="0008009C">
            <w:pPr>
              <w:rPr>
                <w:rFonts w:ascii="宋体"/>
                <w:vanish/>
              </w:rPr>
            </w:pPr>
          </w:p>
        </w:tc>
        <w:tc>
          <w:tcPr>
            <w:tcW w:w="0" w:type="auto"/>
            <w:gridSpan w:val="3"/>
            <w:shd w:val="clear" w:color="auto" w:fill="auto"/>
          </w:tcPr>
          <w:p w14:paraId="5C7C6359" w14:textId="77777777" w:rsidR="0008009C" w:rsidRDefault="0008009C">
            <w:pPr>
              <w:rPr>
                <w:rFonts w:ascii="宋体"/>
                <w:vanish/>
              </w:rPr>
            </w:pPr>
          </w:p>
        </w:tc>
        <w:tc>
          <w:tcPr>
            <w:tcW w:w="0" w:type="auto"/>
            <w:gridSpan w:val="3"/>
            <w:shd w:val="clear" w:color="auto" w:fill="auto"/>
          </w:tcPr>
          <w:p w14:paraId="5C7C635A" w14:textId="77777777" w:rsidR="0008009C" w:rsidRDefault="0008009C">
            <w:pPr>
              <w:rPr>
                <w:rFonts w:ascii="宋体"/>
                <w:vanish/>
              </w:rPr>
            </w:pPr>
          </w:p>
        </w:tc>
        <w:tc>
          <w:tcPr>
            <w:tcW w:w="0" w:type="auto"/>
            <w:gridSpan w:val="3"/>
            <w:shd w:val="clear" w:color="auto" w:fill="auto"/>
          </w:tcPr>
          <w:p w14:paraId="5C7C635B" w14:textId="77777777" w:rsidR="0008009C" w:rsidRDefault="0008009C">
            <w:pPr>
              <w:rPr>
                <w:rFonts w:ascii="宋体"/>
                <w:vanish/>
              </w:rPr>
            </w:pPr>
          </w:p>
        </w:tc>
        <w:tc>
          <w:tcPr>
            <w:tcW w:w="0" w:type="auto"/>
            <w:shd w:val="clear" w:color="auto" w:fill="auto"/>
          </w:tcPr>
          <w:p w14:paraId="5C7C635C" w14:textId="77777777" w:rsidR="0008009C" w:rsidRDefault="0008009C">
            <w:pPr>
              <w:rPr>
                <w:rFonts w:ascii="宋体"/>
                <w:vanish/>
              </w:rPr>
            </w:pPr>
          </w:p>
        </w:tc>
        <w:tc>
          <w:tcPr>
            <w:tcW w:w="0" w:type="auto"/>
            <w:shd w:val="clear" w:color="auto" w:fill="auto"/>
          </w:tcPr>
          <w:p w14:paraId="5C7C635D" w14:textId="77777777" w:rsidR="0008009C" w:rsidRDefault="0008009C">
            <w:pPr>
              <w:rPr>
                <w:rFonts w:ascii="宋体"/>
                <w:vanish/>
              </w:rPr>
            </w:pPr>
          </w:p>
        </w:tc>
      </w:tr>
      <w:tr w:rsidR="0008009C" w14:paraId="5C7C637A" w14:textId="77777777">
        <w:tc>
          <w:tcPr>
            <w:tcW w:w="0" w:type="auto"/>
            <w:gridSpan w:val="3"/>
            <w:shd w:val="clear" w:color="auto" w:fill="auto"/>
            <w:tcMar>
              <w:top w:w="40" w:type="dxa"/>
              <w:left w:w="140" w:type="dxa"/>
              <w:bottom w:w="40" w:type="dxa"/>
              <w:right w:w="20" w:type="dxa"/>
            </w:tcMar>
          </w:tcPr>
          <w:p w14:paraId="5C7C635F" w14:textId="77777777" w:rsidR="0008009C" w:rsidRDefault="00936FDF">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tcPr>
          <w:p w14:paraId="5C7C636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61"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36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6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64" w14:textId="77777777" w:rsidR="0008009C" w:rsidRDefault="00936FDF">
            <w:pPr>
              <w:jc w:val="right"/>
              <w:textAlignment w:val="bottom"/>
            </w:pPr>
            <w:r>
              <w:rPr>
                <w:rFonts w:ascii="Arial" w:eastAsia="宋体" w:hAnsi="Arial" w:cs="Arial"/>
                <w:color w:val="0068B5"/>
                <w:sz w:val="18"/>
                <w:szCs w:val="18"/>
              </w:rPr>
              <w:t>4,176 </w:t>
            </w:r>
          </w:p>
        </w:tc>
        <w:tc>
          <w:tcPr>
            <w:tcW w:w="0" w:type="auto"/>
            <w:shd w:val="clear" w:color="auto" w:fill="auto"/>
            <w:tcMar>
              <w:top w:w="40" w:type="dxa"/>
              <w:left w:w="0" w:type="dxa"/>
              <w:bottom w:w="40" w:type="dxa"/>
              <w:right w:w="20" w:type="dxa"/>
            </w:tcMar>
            <w:vAlign w:val="bottom"/>
          </w:tcPr>
          <w:p w14:paraId="5C7C636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6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67"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36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6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6A" w14:textId="77777777" w:rsidR="0008009C" w:rsidRDefault="00936FDF">
            <w:pPr>
              <w:jc w:val="right"/>
              <w:textAlignment w:val="bottom"/>
            </w:pPr>
            <w:r>
              <w:rPr>
                <w:rFonts w:ascii="Arial" w:eastAsia="宋体" w:hAnsi="Arial" w:cs="Arial"/>
                <w:color w:val="0068B5"/>
                <w:sz w:val="18"/>
                <w:szCs w:val="18"/>
              </w:rPr>
              <w:t>4,176 </w:t>
            </w:r>
          </w:p>
        </w:tc>
        <w:tc>
          <w:tcPr>
            <w:tcW w:w="0" w:type="auto"/>
            <w:shd w:val="clear" w:color="auto" w:fill="auto"/>
            <w:tcMar>
              <w:top w:w="40" w:type="dxa"/>
              <w:left w:w="0" w:type="dxa"/>
              <w:bottom w:w="40" w:type="dxa"/>
              <w:right w:w="20" w:type="dxa"/>
            </w:tcMar>
            <w:vAlign w:val="bottom"/>
          </w:tcPr>
          <w:p w14:paraId="5C7C636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6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6D"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36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6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70" w14:textId="77777777" w:rsidR="0008009C" w:rsidRDefault="00936FDF">
            <w:pPr>
              <w:jc w:val="right"/>
              <w:textAlignment w:val="bottom"/>
            </w:pPr>
            <w:r>
              <w:rPr>
                <w:rFonts w:ascii="Arial" w:eastAsia="宋体" w:hAnsi="Arial" w:cs="Arial"/>
                <w:color w:val="262626"/>
                <w:sz w:val="18"/>
                <w:szCs w:val="18"/>
              </w:rPr>
              <w:t>3,815 </w:t>
            </w:r>
          </w:p>
        </w:tc>
        <w:tc>
          <w:tcPr>
            <w:tcW w:w="0" w:type="auto"/>
            <w:shd w:val="clear" w:color="auto" w:fill="auto"/>
            <w:tcMar>
              <w:top w:w="40" w:type="dxa"/>
              <w:left w:w="0" w:type="dxa"/>
              <w:bottom w:w="40" w:type="dxa"/>
              <w:right w:w="20" w:type="dxa"/>
            </w:tcMar>
            <w:vAlign w:val="bottom"/>
          </w:tcPr>
          <w:p w14:paraId="5C7C637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7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73"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37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7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76" w14:textId="77777777" w:rsidR="0008009C" w:rsidRDefault="00936FDF">
            <w:pPr>
              <w:jc w:val="right"/>
              <w:textAlignment w:val="bottom"/>
            </w:pPr>
            <w:r>
              <w:rPr>
                <w:rFonts w:ascii="Arial" w:eastAsia="宋体" w:hAnsi="Arial" w:cs="Arial"/>
                <w:color w:val="262626"/>
                <w:sz w:val="18"/>
                <w:szCs w:val="18"/>
              </w:rPr>
              <w:t>3,815 </w:t>
            </w:r>
          </w:p>
        </w:tc>
        <w:tc>
          <w:tcPr>
            <w:tcW w:w="0" w:type="auto"/>
            <w:shd w:val="clear" w:color="auto" w:fill="auto"/>
            <w:tcMar>
              <w:top w:w="40" w:type="dxa"/>
              <w:left w:w="0" w:type="dxa"/>
              <w:bottom w:w="40" w:type="dxa"/>
              <w:right w:w="20" w:type="dxa"/>
            </w:tcMar>
            <w:vAlign w:val="bottom"/>
          </w:tcPr>
          <w:p w14:paraId="5C7C6377" w14:textId="77777777" w:rsidR="0008009C" w:rsidRDefault="0008009C">
            <w:pPr>
              <w:jc w:val="right"/>
              <w:rPr>
                <w:rFonts w:ascii="宋体"/>
              </w:rPr>
            </w:pPr>
          </w:p>
        </w:tc>
        <w:tc>
          <w:tcPr>
            <w:tcW w:w="0" w:type="auto"/>
            <w:shd w:val="clear" w:color="auto" w:fill="auto"/>
          </w:tcPr>
          <w:p w14:paraId="5C7C6378" w14:textId="77777777" w:rsidR="0008009C" w:rsidRDefault="0008009C">
            <w:pPr>
              <w:rPr>
                <w:rFonts w:ascii="宋体"/>
                <w:vanish/>
              </w:rPr>
            </w:pPr>
          </w:p>
        </w:tc>
        <w:tc>
          <w:tcPr>
            <w:tcW w:w="0" w:type="auto"/>
            <w:shd w:val="clear" w:color="auto" w:fill="auto"/>
          </w:tcPr>
          <w:p w14:paraId="5C7C6379" w14:textId="77777777" w:rsidR="0008009C" w:rsidRDefault="0008009C">
            <w:pPr>
              <w:rPr>
                <w:rFonts w:ascii="宋体"/>
                <w:vanish/>
              </w:rPr>
            </w:pPr>
          </w:p>
        </w:tc>
      </w:tr>
      <w:tr w:rsidR="0008009C" w14:paraId="5C7C6396" w14:textId="77777777">
        <w:tc>
          <w:tcPr>
            <w:tcW w:w="0" w:type="auto"/>
            <w:gridSpan w:val="3"/>
            <w:shd w:val="clear" w:color="auto" w:fill="auto"/>
            <w:tcMar>
              <w:top w:w="40" w:type="dxa"/>
              <w:left w:w="140" w:type="dxa"/>
              <w:bottom w:w="40" w:type="dxa"/>
              <w:right w:w="20" w:type="dxa"/>
            </w:tcMar>
          </w:tcPr>
          <w:p w14:paraId="5C7C637B" w14:textId="77777777" w:rsidR="0008009C" w:rsidRDefault="00936FDF">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tcPr>
          <w:p w14:paraId="5C7C637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7D" w14:textId="77777777" w:rsidR="0008009C" w:rsidRDefault="00936FDF">
            <w:pPr>
              <w:jc w:val="right"/>
              <w:textAlignment w:val="bottom"/>
            </w:pPr>
            <w:r>
              <w:rPr>
                <w:rFonts w:ascii="Arial" w:eastAsia="宋体" w:hAnsi="Arial" w:cs="Arial"/>
                <w:color w:val="0068B5"/>
                <w:sz w:val="18"/>
                <w:szCs w:val="18"/>
              </w:rPr>
              <w:t>110 </w:t>
            </w:r>
          </w:p>
        </w:tc>
        <w:tc>
          <w:tcPr>
            <w:tcW w:w="0" w:type="auto"/>
            <w:shd w:val="clear" w:color="auto" w:fill="auto"/>
            <w:tcMar>
              <w:top w:w="40" w:type="dxa"/>
              <w:left w:w="0" w:type="dxa"/>
              <w:bottom w:w="40" w:type="dxa"/>
              <w:right w:w="20" w:type="dxa"/>
            </w:tcMar>
            <w:vAlign w:val="bottom"/>
          </w:tcPr>
          <w:p w14:paraId="5C7C637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7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80" w14:textId="77777777" w:rsidR="0008009C" w:rsidRDefault="00936FDF">
            <w:pPr>
              <w:jc w:val="right"/>
              <w:textAlignment w:val="bottom"/>
            </w:pPr>
            <w:r>
              <w:rPr>
                <w:rFonts w:ascii="Arial" w:eastAsia="宋体" w:hAnsi="Arial" w:cs="Arial"/>
                <w:color w:val="0068B5"/>
                <w:sz w:val="18"/>
                <w:szCs w:val="18"/>
              </w:rPr>
              <w:t>2,851 </w:t>
            </w:r>
          </w:p>
        </w:tc>
        <w:tc>
          <w:tcPr>
            <w:tcW w:w="0" w:type="auto"/>
            <w:shd w:val="clear" w:color="auto" w:fill="auto"/>
            <w:tcMar>
              <w:top w:w="40" w:type="dxa"/>
              <w:left w:w="0" w:type="dxa"/>
              <w:bottom w:w="40" w:type="dxa"/>
              <w:right w:w="20" w:type="dxa"/>
            </w:tcMar>
            <w:vAlign w:val="bottom"/>
          </w:tcPr>
          <w:p w14:paraId="5C7C638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8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83"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38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8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86" w14:textId="77777777" w:rsidR="0008009C" w:rsidRDefault="00936FDF">
            <w:pPr>
              <w:jc w:val="right"/>
              <w:textAlignment w:val="bottom"/>
            </w:pPr>
            <w:r>
              <w:rPr>
                <w:rFonts w:ascii="Arial" w:eastAsia="宋体" w:hAnsi="Arial" w:cs="Arial"/>
                <w:color w:val="0068B5"/>
                <w:sz w:val="18"/>
                <w:szCs w:val="18"/>
              </w:rPr>
              <w:t>2,961 </w:t>
            </w:r>
          </w:p>
        </w:tc>
        <w:tc>
          <w:tcPr>
            <w:tcW w:w="0" w:type="auto"/>
            <w:shd w:val="clear" w:color="auto" w:fill="auto"/>
            <w:tcMar>
              <w:top w:w="40" w:type="dxa"/>
              <w:left w:w="0" w:type="dxa"/>
              <w:bottom w:w="40" w:type="dxa"/>
              <w:right w:w="20" w:type="dxa"/>
            </w:tcMar>
            <w:vAlign w:val="bottom"/>
          </w:tcPr>
          <w:p w14:paraId="5C7C638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8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89" w14:textId="77777777" w:rsidR="0008009C" w:rsidRDefault="00936FDF">
            <w:pPr>
              <w:jc w:val="right"/>
              <w:textAlignment w:val="bottom"/>
            </w:pPr>
            <w:r>
              <w:rPr>
                <w:rFonts w:ascii="Arial" w:eastAsia="宋体" w:hAnsi="Arial" w:cs="Arial"/>
                <w:color w:val="262626"/>
                <w:sz w:val="18"/>
                <w:szCs w:val="18"/>
              </w:rPr>
              <w:t>131 </w:t>
            </w:r>
          </w:p>
        </w:tc>
        <w:tc>
          <w:tcPr>
            <w:tcW w:w="0" w:type="auto"/>
            <w:shd w:val="clear" w:color="auto" w:fill="auto"/>
            <w:tcMar>
              <w:top w:w="40" w:type="dxa"/>
              <w:left w:w="0" w:type="dxa"/>
              <w:bottom w:w="40" w:type="dxa"/>
              <w:right w:w="20" w:type="dxa"/>
            </w:tcMar>
            <w:vAlign w:val="bottom"/>
          </w:tcPr>
          <w:p w14:paraId="5C7C638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8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8C" w14:textId="77777777" w:rsidR="0008009C" w:rsidRDefault="00936FDF">
            <w:pPr>
              <w:jc w:val="right"/>
              <w:textAlignment w:val="bottom"/>
            </w:pPr>
            <w:r>
              <w:rPr>
                <w:rFonts w:ascii="Arial" w:eastAsia="宋体" w:hAnsi="Arial" w:cs="Arial"/>
                <w:color w:val="262626"/>
                <w:sz w:val="18"/>
                <w:szCs w:val="18"/>
              </w:rPr>
              <w:t>2,847 </w:t>
            </w:r>
          </w:p>
        </w:tc>
        <w:tc>
          <w:tcPr>
            <w:tcW w:w="0" w:type="auto"/>
            <w:shd w:val="clear" w:color="auto" w:fill="auto"/>
            <w:tcMar>
              <w:top w:w="40" w:type="dxa"/>
              <w:left w:w="0" w:type="dxa"/>
              <w:bottom w:w="40" w:type="dxa"/>
              <w:right w:w="20" w:type="dxa"/>
            </w:tcMar>
            <w:vAlign w:val="bottom"/>
          </w:tcPr>
          <w:p w14:paraId="5C7C638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8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8F"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39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9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92" w14:textId="77777777" w:rsidR="0008009C" w:rsidRDefault="00936FDF">
            <w:pPr>
              <w:jc w:val="right"/>
              <w:textAlignment w:val="bottom"/>
            </w:pPr>
            <w:r>
              <w:rPr>
                <w:rFonts w:ascii="Arial" w:eastAsia="宋体" w:hAnsi="Arial" w:cs="Arial"/>
                <w:color w:val="262626"/>
                <w:sz w:val="18"/>
                <w:szCs w:val="18"/>
              </w:rPr>
              <w:t>2,978 </w:t>
            </w:r>
          </w:p>
        </w:tc>
        <w:tc>
          <w:tcPr>
            <w:tcW w:w="0" w:type="auto"/>
            <w:shd w:val="clear" w:color="auto" w:fill="auto"/>
            <w:tcMar>
              <w:top w:w="40" w:type="dxa"/>
              <w:left w:w="0" w:type="dxa"/>
              <w:bottom w:w="40" w:type="dxa"/>
              <w:right w:w="20" w:type="dxa"/>
            </w:tcMar>
            <w:vAlign w:val="bottom"/>
          </w:tcPr>
          <w:p w14:paraId="5C7C6393" w14:textId="77777777" w:rsidR="0008009C" w:rsidRDefault="0008009C">
            <w:pPr>
              <w:jc w:val="right"/>
              <w:rPr>
                <w:rFonts w:ascii="宋体"/>
              </w:rPr>
            </w:pPr>
          </w:p>
        </w:tc>
        <w:tc>
          <w:tcPr>
            <w:tcW w:w="0" w:type="auto"/>
            <w:shd w:val="clear" w:color="auto" w:fill="auto"/>
          </w:tcPr>
          <w:p w14:paraId="5C7C6394" w14:textId="77777777" w:rsidR="0008009C" w:rsidRDefault="0008009C">
            <w:pPr>
              <w:rPr>
                <w:rFonts w:ascii="宋体"/>
                <w:vanish/>
              </w:rPr>
            </w:pPr>
          </w:p>
        </w:tc>
        <w:tc>
          <w:tcPr>
            <w:tcW w:w="0" w:type="auto"/>
            <w:shd w:val="clear" w:color="auto" w:fill="auto"/>
          </w:tcPr>
          <w:p w14:paraId="5C7C6395" w14:textId="77777777" w:rsidR="0008009C" w:rsidRDefault="0008009C">
            <w:pPr>
              <w:rPr>
                <w:rFonts w:ascii="宋体"/>
                <w:vanish/>
              </w:rPr>
            </w:pPr>
          </w:p>
        </w:tc>
      </w:tr>
      <w:tr w:rsidR="0008009C" w14:paraId="5C7C63B2" w14:textId="77777777">
        <w:tc>
          <w:tcPr>
            <w:tcW w:w="0" w:type="auto"/>
            <w:gridSpan w:val="3"/>
            <w:shd w:val="clear" w:color="auto" w:fill="auto"/>
            <w:tcMar>
              <w:top w:w="40" w:type="dxa"/>
              <w:left w:w="140" w:type="dxa"/>
              <w:bottom w:w="40" w:type="dxa"/>
              <w:right w:w="20" w:type="dxa"/>
            </w:tcMar>
          </w:tcPr>
          <w:p w14:paraId="5C7C6397" w14:textId="77777777" w:rsidR="0008009C" w:rsidRDefault="00936FDF">
            <w:pPr>
              <w:textAlignment w:val="top"/>
            </w:pPr>
            <w:r>
              <w:rPr>
                <w:rFonts w:ascii="Arial" w:eastAsia="宋体" w:hAnsi="Arial" w:cs="Arial"/>
                <w:color w:val="262626"/>
                <w:sz w:val="18"/>
                <w:szCs w:val="18"/>
              </w:rPr>
              <w:t>Government debt²</w:t>
            </w:r>
          </w:p>
        </w:tc>
        <w:tc>
          <w:tcPr>
            <w:tcW w:w="0" w:type="auto"/>
            <w:gridSpan w:val="3"/>
            <w:shd w:val="clear" w:color="auto" w:fill="auto"/>
            <w:tcMar>
              <w:top w:w="0" w:type="dxa"/>
              <w:left w:w="20" w:type="dxa"/>
              <w:bottom w:w="0" w:type="dxa"/>
              <w:right w:w="20" w:type="dxa"/>
            </w:tcMar>
          </w:tcPr>
          <w:p w14:paraId="5C7C639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99"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39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9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9C" w14:textId="77777777" w:rsidR="0008009C" w:rsidRDefault="00936FDF">
            <w:pPr>
              <w:jc w:val="right"/>
              <w:textAlignment w:val="bottom"/>
            </w:pPr>
            <w:r>
              <w:rPr>
                <w:rFonts w:ascii="Arial" w:eastAsia="宋体" w:hAnsi="Arial" w:cs="Arial"/>
                <w:color w:val="0068B5"/>
                <w:sz w:val="18"/>
                <w:szCs w:val="18"/>
              </w:rPr>
              <w:t>7,651 </w:t>
            </w:r>
          </w:p>
        </w:tc>
        <w:tc>
          <w:tcPr>
            <w:tcW w:w="0" w:type="auto"/>
            <w:shd w:val="clear" w:color="auto" w:fill="auto"/>
            <w:tcMar>
              <w:top w:w="40" w:type="dxa"/>
              <w:left w:w="0" w:type="dxa"/>
              <w:bottom w:w="40" w:type="dxa"/>
              <w:right w:w="20" w:type="dxa"/>
            </w:tcMar>
            <w:vAlign w:val="bottom"/>
          </w:tcPr>
          <w:p w14:paraId="5C7C639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9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9F"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3A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A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A2" w14:textId="77777777" w:rsidR="0008009C" w:rsidRDefault="00936FDF">
            <w:pPr>
              <w:jc w:val="right"/>
              <w:textAlignment w:val="bottom"/>
            </w:pPr>
            <w:r>
              <w:rPr>
                <w:rFonts w:ascii="Arial" w:eastAsia="宋体" w:hAnsi="Arial" w:cs="Arial"/>
                <w:color w:val="0068B5"/>
                <w:sz w:val="18"/>
                <w:szCs w:val="18"/>
              </w:rPr>
              <w:t>7,651 </w:t>
            </w:r>
          </w:p>
        </w:tc>
        <w:tc>
          <w:tcPr>
            <w:tcW w:w="0" w:type="auto"/>
            <w:shd w:val="clear" w:color="auto" w:fill="auto"/>
            <w:tcMar>
              <w:top w:w="40" w:type="dxa"/>
              <w:left w:w="0" w:type="dxa"/>
              <w:bottom w:w="40" w:type="dxa"/>
              <w:right w:w="20" w:type="dxa"/>
            </w:tcMar>
            <w:vAlign w:val="bottom"/>
          </w:tcPr>
          <w:p w14:paraId="5C7C63A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A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A5"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3A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A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A8" w14:textId="77777777" w:rsidR="0008009C" w:rsidRDefault="00936FDF">
            <w:pPr>
              <w:jc w:val="right"/>
              <w:textAlignment w:val="bottom"/>
            </w:pPr>
            <w:r>
              <w:rPr>
                <w:rFonts w:ascii="Arial" w:eastAsia="宋体" w:hAnsi="Arial" w:cs="Arial"/>
                <w:color w:val="262626"/>
                <w:sz w:val="18"/>
                <w:szCs w:val="18"/>
              </w:rPr>
              <w:t>8,945 </w:t>
            </w:r>
          </w:p>
        </w:tc>
        <w:tc>
          <w:tcPr>
            <w:tcW w:w="0" w:type="auto"/>
            <w:shd w:val="clear" w:color="auto" w:fill="auto"/>
            <w:tcMar>
              <w:top w:w="40" w:type="dxa"/>
              <w:left w:w="0" w:type="dxa"/>
              <w:bottom w:w="40" w:type="dxa"/>
              <w:right w:w="20" w:type="dxa"/>
            </w:tcMar>
            <w:vAlign w:val="bottom"/>
          </w:tcPr>
          <w:p w14:paraId="5C7C63A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A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AB"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3A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A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AE" w14:textId="77777777" w:rsidR="0008009C" w:rsidRDefault="00936FDF">
            <w:pPr>
              <w:jc w:val="right"/>
              <w:textAlignment w:val="bottom"/>
            </w:pPr>
            <w:r>
              <w:rPr>
                <w:rFonts w:ascii="Arial" w:eastAsia="宋体" w:hAnsi="Arial" w:cs="Arial"/>
                <w:color w:val="262626"/>
                <w:sz w:val="18"/>
                <w:szCs w:val="18"/>
              </w:rPr>
              <w:t>8,945 </w:t>
            </w:r>
          </w:p>
        </w:tc>
        <w:tc>
          <w:tcPr>
            <w:tcW w:w="0" w:type="auto"/>
            <w:shd w:val="clear" w:color="auto" w:fill="auto"/>
            <w:tcMar>
              <w:top w:w="40" w:type="dxa"/>
              <w:left w:w="0" w:type="dxa"/>
              <w:bottom w:w="40" w:type="dxa"/>
              <w:right w:w="20" w:type="dxa"/>
            </w:tcMar>
            <w:vAlign w:val="bottom"/>
          </w:tcPr>
          <w:p w14:paraId="5C7C63AF" w14:textId="77777777" w:rsidR="0008009C" w:rsidRDefault="0008009C">
            <w:pPr>
              <w:jc w:val="right"/>
              <w:rPr>
                <w:rFonts w:ascii="宋体"/>
              </w:rPr>
            </w:pPr>
          </w:p>
        </w:tc>
        <w:tc>
          <w:tcPr>
            <w:tcW w:w="0" w:type="auto"/>
            <w:shd w:val="clear" w:color="auto" w:fill="auto"/>
          </w:tcPr>
          <w:p w14:paraId="5C7C63B0" w14:textId="77777777" w:rsidR="0008009C" w:rsidRDefault="0008009C">
            <w:pPr>
              <w:rPr>
                <w:rFonts w:ascii="宋体"/>
                <w:vanish/>
              </w:rPr>
            </w:pPr>
          </w:p>
        </w:tc>
        <w:tc>
          <w:tcPr>
            <w:tcW w:w="0" w:type="auto"/>
            <w:shd w:val="clear" w:color="auto" w:fill="auto"/>
          </w:tcPr>
          <w:p w14:paraId="5C7C63B1" w14:textId="77777777" w:rsidR="0008009C" w:rsidRDefault="0008009C">
            <w:pPr>
              <w:rPr>
                <w:rFonts w:ascii="宋体"/>
                <w:vanish/>
              </w:rPr>
            </w:pPr>
          </w:p>
        </w:tc>
      </w:tr>
      <w:tr w:rsidR="0008009C" w14:paraId="5C7C63C6" w14:textId="77777777">
        <w:tc>
          <w:tcPr>
            <w:tcW w:w="0" w:type="auto"/>
            <w:gridSpan w:val="3"/>
            <w:shd w:val="clear" w:color="auto" w:fill="auto"/>
            <w:tcMar>
              <w:top w:w="40" w:type="dxa"/>
              <w:left w:w="20" w:type="dxa"/>
              <w:bottom w:w="40" w:type="dxa"/>
              <w:right w:w="20" w:type="dxa"/>
            </w:tcMar>
          </w:tcPr>
          <w:p w14:paraId="5C7C63B3" w14:textId="77777777" w:rsidR="0008009C" w:rsidRDefault="00936FDF">
            <w:pPr>
              <w:textAlignment w:val="top"/>
            </w:pPr>
            <w:r>
              <w:rPr>
                <w:rFonts w:ascii="Arial" w:eastAsia="宋体" w:hAnsi="Arial" w:cs="Arial"/>
                <w:color w:val="262626"/>
                <w:sz w:val="18"/>
                <w:szCs w:val="18"/>
              </w:rPr>
              <w:t>Other current assets:</w:t>
            </w:r>
          </w:p>
        </w:tc>
        <w:tc>
          <w:tcPr>
            <w:tcW w:w="0" w:type="auto"/>
            <w:gridSpan w:val="3"/>
            <w:shd w:val="clear" w:color="auto" w:fill="auto"/>
            <w:tcMar>
              <w:top w:w="0" w:type="dxa"/>
              <w:left w:w="20" w:type="dxa"/>
              <w:bottom w:w="0" w:type="dxa"/>
              <w:right w:w="20" w:type="dxa"/>
            </w:tcMar>
          </w:tcPr>
          <w:p w14:paraId="5C7C63B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B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B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B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B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B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B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B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B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B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B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B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C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C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C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3C3" w14:textId="77777777" w:rsidR="0008009C" w:rsidRDefault="0008009C">
            <w:pPr>
              <w:rPr>
                <w:rFonts w:ascii="宋体"/>
              </w:rPr>
            </w:pPr>
          </w:p>
        </w:tc>
        <w:tc>
          <w:tcPr>
            <w:tcW w:w="0" w:type="auto"/>
            <w:shd w:val="clear" w:color="auto" w:fill="auto"/>
          </w:tcPr>
          <w:p w14:paraId="5C7C63C4" w14:textId="77777777" w:rsidR="0008009C" w:rsidRDefault="0008009C">
            <w:pPr>
              <w:rPr>
                <w:rFonts w:ascii="宋体"/>
                <w:vanish/>
              </w:rPr>
            </w:pPr>
          </w:p>
        </w:tc>
        <w:tc>
          <w:tcPr>
            <w:tcW w:w="0" w:type="auto"/>
            <w:shd w:val="clear" w:color="auto" w:fill="auto"/>
          </w:tcPr>
          <w:p w14:paraId="5C7C63C5" w14:textId="77777777" w:rsidR="0008009C" w:rsidRDefault="0008009C">
            <w:pPr>
              <w:rPr>
                <w:rFonts w:ascii="宋体"/>
                <w:vanish/>
              </w:rPr>
            </w:pPr>
          </w:p>
        </w:tc>
      </w:tr>
      <w:tr w:rsidR="0008009C" w14:paraId="5C7C63E2" w14:textId="77777777">
        <w:tc>
          <w:tcPr>
            <w:tcW w:w="0" w:type="auto"/>
            <w:gridSpan w:val="3"/>
            <w:shd w:val="clear" w:color="auto" w:fill="auto"/>
            <w:tcMar>
              <w:top w:w="40" w:type="dxa"/>
              <w:left w:w="140" w:type="dxa"/>
              <w:bottom w:w="40" w:type="dxa"/>
              <w:right w:w="20" w:type="dxa"/>
            </w:tcMar>
          </w:tcPr>
          <w:p w14:paraId="5C7C63C7" w14:textId="77777777" w:rsidR="0008009C" w:rsidRDefault="00936FDF">
            <w:pPr>
              <w:textAlignment w:val="top"/>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tcPr>
          <w:p w14:paraId="5C7C63C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C9" w14:textId="77777777" w:rsidR="0008009C" w:rsidRDefault="00936FDF">
            <w:pPr>
              <w:jc w:val="right"/>
              <w:textAlignment w:val="bottom"/>
            </w:pPr>
            <w:r>
              <w:rPr>
                <w:rFonts w:ascii="Arial" w:eastAsia="宋体" w:hAnsi="Arial" w:cs="Arial"/>
                <w:color w:val="0068B5"/>
                <w:sz w:val="18"/>
                <w:szCs w:val="18"/>
              </w:rPr>
              <w:t>33 </w:t>
            </w:r>
          </w:p>
        </w:tc>
        <w:tc>
          <w:tcPr>
            <w:tcW w:w="0" w:type="auto"/>
            <w:shd w:val="clear" w:color="auto" w:fill="auto"/>
            <w:tcMar>
              <w:top w:w="40" w:type="dxa"/>
              <w:left w:w="0" w:type="dxa"/>
              <w:bottom w:w="40" w:type="dxa"/>
              <w:right w:w="20" w:type="dxa"/>
            </w:tcMar>
            <w:vAlign w:val="bottom"/>
          </w:tcPr>
          <w:p w14:paraId="5C7C63C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C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CC" w14:textId="77777777" w:rsidR="0008009C" w:rsidRDefault="00936FDF">
            <w:pPr>
              <w:jc w:val="right"/>
              <w:textAlignment w:val="bottom"/>
            </w:pPr>
            <w:r>
              <w:rPr>
                <w:rFonts w:ascii="Arial" w:eastAsia="宋体" w:hAnsi="Arial" w:cs="Arial"/>
                <w:color w:val="0068B5"/>
                <w:sz w:val="18"/>
                <w:szCs w:val="18"/>
              </w:rPr>
              <w:t>410 </w:t>
            </w:r>
          </w:p>
        </w:tc>
        <w:tc>
          <w:tcPr>
            <w:tcW w:w="0" w:type="auto"/>
            <w:shd w:val="clear" w:color="auto" w:fill="auto"/>
            <w:tcMar>
              <w:top w:w="40" w:type="dxa"/>
              <w:left w:w="0" w:type="dxa"/>
              <w:bottom w:w="40" w:type="dxa"/>
              <w:right w:w="20" w:type="dxa"/>
            </w:tcMar>
            <w:vAlign w:val="bottom"/>
          </w:tcPr>
          <w:p w14:paraId="5C7C63C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C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CF"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3D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D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D2" w14:textId="77777777" w:rsidR="0008009C" w:rsidRDefault="00936FDF">
            <w:pPr>
              <w:jc w:val="right"/>
              <w:textAlignment w:val="bottom"/>
            </w:pPr>
            <w:r>
              <w:rPr>
                <w:rFonts w:ascii="Arial" w:eastAsia="宋体" w:hAnsi="Arial" w:cs="Arial"/>
                <w:color w:val="0068B5"/>
                <w:sz w:val="18"/>
                <w:szCs w:val="18"/>
              </w:rPr>
              <w:t>443 </w:t>
            </w:r>
          </w:p>
        </w:tc>
        <w:tc>
          <w:tcPr>
            <w:tcW w:w="0" w:type="auto"/>
            <w:shd w:val="clear" w:color="auto" w:fill="auto"/>
            <w:tcMar>
              <w:top w:w="40" w:type="dxa"/>
              <w:left w:w="0" w:type="dxa"/>
              <w:bottom w:w="40" w:type="dxa"/>
              <w:right w:w="20" w:type="dxa"/>
            </w:tcMar>
            <w:vAlign w:val="bottom"/>
          </w:tcPr>
          <w:p w14:paraId="5C7C63D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D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D5" w14:textId="77777777" w:rsidR="0008009C" w:rsidRDefault="00936FDF">
            <w:pPr>
              <w:jc w:val="right"/>
              <w:textAlignment w:val="bottom"/>
            </w:pPr>
            <w:r>
              <w:rPr>
                <w:rFonts w:ascii="Arial" w:eastAsia="宋体" w:hAnsi="Arial" w:cs="Arial"/>
                <w:color w:val="262626"/>
                <w:sz w:val="18"/>
                <w:szCs w:val="18"/>
              </w:rPr>
              <w:t>48 </w:t>
            </w:r>
          </w:p>
        </w:tc>
        <w:tc>
          <w:tcPr>
            <w:tcW w:w="0" w:type="auto"/>
            <w:shd w:val="clear" w:color="auto" w:fill="auto"/>
            <w:tcMar>
              <w:top w:w="40" w:type="dxa"/>
              <w:left w:w="0" w:type="dxa"/>
              <w:bottom w:w="40" w:type="dxa"/>
              <w:right w:w="20" w:type="dxa"/>
            </w:tcMar>
            <w:vAlign w:val="bottom"/>
          </w:tcPr>
          <w:p w14:paraId="5C7C63D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D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D8" w14:textId="77777777" w:rsidR="0008009C" w:rsidRDefault="00936FDF">
            <w:pPr>
              <w:jc w:val="right"/>
              <w:textAlignment w:val="bottom"/>
            </w:pPr>
            <w:r>
              <w:rPr>
                <w:rFonts w:ascii="Arial" w:eastAsia="宋体" w:hAnsi="Arial" w:cs="Arial"/>
                <w:color w:val="262626"/>
                <w:sz w:val="18"/>
                <w:szCs w:val="18"/>
              </w:rPr>
              <w:t>644 </w:t>
            </w:r>
          </w:p>
        </w:tc>
        <w:tc>
          <w:tcPr>
            <w:tcW w:w="0" w:type="auto"/>
            <w:shd w:val="clear" w:color="auto" w:fill="auto"/>
            <w:tcMar>
              <w:top w:w="40" w:type="dxa"/>
              <w:left w:w="0" w:type="dxa"/>
              <w:bottom w:w="40" w:type="dxa"/>
              <w:right w:w="20" w:type="dxa"/>
            </w:tcMar>
            <w:vAlign w:val="bottom"/>
          </w:tcPr>
          <w:p w14:paraId="5C7C63D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D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DB"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3D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D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DE" w14:textId="77777777" w:rsidR="0008009C" w:rsidRDefault="00936FDF">
            <w:pPr>
              <w:jc w:val="right"/>
              <w:textAlignment w:val="bottom"/>
            </w:pPr>
            <w:r>
              <w:rPr>
                <w:rFonts w:ascii="Arial" w:eastAsia="宋体" w:hAnsi="Arial" w:cs="Arial"/>
                <w:color w:val="262626"/>
                <w:sz w:val="18"/>
                <w:szCs w:val="18"/>
              </w:rPr>
              <w:t>692 </w:t>
            </w:r>
          </w:p>
        </w:tc>
        <w:tc>
          <w:tcPr>
            <w:tcW w:w="0" w:type="auto"/>
            <w:shd w:val="clear" w:color="auto" w:fill="auto"/>
            <w:tcMar>
              <w:top w:w="40" w:type="dxa"/>
              <w:left w:w="0" w:type="dxa"/>
              <w:bottom w:w="40" w:type="dxa"/>
              <w:right w:w="20" w:type="dxa"/>
            </w:tcMar>
            <w:vAlign w:val="bottom"/>
          </w:tcPr>
          <w:p w14:paraId="5C7C63DF" w14:textId="77777777" w:rsidR="0008009C" w:rsidRDefault="0008009C">
            <w:pPr>
              <w:jc w:val="right"/>
              <w:rPr>
                <w:rFonts w:ascii="宋体"/>
              </w:rPr>
            </w:pPr>
          </w:p>
        </w:tc>
        <w:tc>
          <w:tcPr>
            <w:tcW w:w="0" w:type="auto"/>
            <w:shd w:val="clear" w:color="auto" w:fill="auto"/>
          </w:tcPr>
          <w:p w14:paraId="5C7C63E0" w14:textId="77777777" w:rsidR="0008009C" w:rsidRDefault="0008009C">
            <w:pPr>
              <w:rPr>
                <w:rFonts w:ascii="宋体"/>
                <w:vanish/>
              </w:rPr>
            </w:pPr>
          </w:p>
        </w:tc>
        <w:tc>
          <w:tcPr>
            <w:tcW w:w="0" w:type="auto"/>
            <w:shd w:val="clear" w:color="auto" w:fill="auto"/>
          </w:tcPr>
          <w:p w14:paraId="5C7C63E1" w14:textId="77777777" w:rsidR="0008009C" w:rsidRDefault="0008009C">
            <w:pPr>
              <w:rPr>
                <w:rFonts w:ascii="宋体"/>
                <w:vanish/>
              </w:rPr>
            </w:pPr>
          </w:p>
        </w:tc>
      </w:tr>
      <w:tr w:rsidR="0008009C" w14:paraId="5C7C63FE" w14:textId="77777777">
        <w:tc>
          <w:tcPr>
            <w:tcW w:w="0" w:type="auto"/>
            <w:gridSpan w:val="3"/>
            <w:shd w:val="clear" w:color="auto" w:fill="auto"/>
            <w:tcMar>
              <w:top w:w="40" w:type="dxa"/>
              <w:left w:w="140" w:type="dxa"/>
              <w:bottom w:w="40" w:type="dxa"/>
              <w:right w:w="20" w:type="dxa"/>
            </w:tcMar>
          </w:tcPr>
          <w:p w14:paraId="5C7C63E3" w14:textId="77777777" w:rsidR="0008009C" w:rsidRDefault="00936FDF">
            <w:pPr>
              <w:textAlignment w:val="top"/>
            </w:pPr>
            <w:r>
              <w:rPr>
                <w:rFonts w:ascii="Arial" w:eastAsia="宋体" w:hAnsi="Arial" w:cs="Arial"/>
                <w:color w:val="262626"/>
                <w:sz w:val="18"/>
                <w:szCs w:val="18"/>
              </w:rPr>
              <w:t>Loans receivable³</w:t>
            </w:r>
          </w:p>
        </w:tc>
        <w:tc>
          <w:tcPr>
            <w:tcW w:w="0" w:type="auto"/>
            <w:gridSpan w:val="3"/>
            <w:shd w:val="clear" w:color="auto" w:fill="auto"/>
            <w:tcMar>
              <w:top w:w="0" w:type="dxa"/>
              <w:left w:w="20" w:type="dxa"/>
              <w:bottom w:w="0" w:type="dxa"/>
              <w:right w:w="20" w:type="dxa"/>
            </w:tcMar>
          </w:tcPr>
          <w:p w14:paraId="5C7C63E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E5"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3E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E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E8" w14:textId="77777777" w:rsidR="0008009C" w:rsidRDefault="00936FDF">
            <w:pPr>
              <w:jc w:val="right"/>
              <w:textAlignment w:val="bottom"/>
            </w:pPr>
            <w:r>
              <w:rPr>
                <w:rFonts w:ascii="Arial" w:eastAsia="宋体" w:hAnsi="Arial" w:cs="Arial"/>
                <w:color w:val="0068B5"/>
                <w:sz w:val="18"/>
                <w:szCs w:val="18"/>
              </w:rPr>
              <w:t>214 </w:t>
            </w:r>
          </w:p>
        </w:tc>
        <w:tc>
          <w:tcPr>
            <w:tcW w:w="0" w:type="auto"/>
            <w:shd w:val="clear" w:color="auto" w:fill="auto"/>
            <w:tcMar>
              <w:top w:w="40" w:type="dxa"/>
              <w:left w:w="0" w:type="dxa"/>
              <w:bottom w:w="40" w:type="dxa"/>
              <w:right w:w="20" w:type="dxa"/>
            </w:tcMar>
            <w:vAlign w:val="bottom"/>
          </w:tcPr>
          <w:p w14:paraId="5C7C63E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E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EB"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3E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E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EE" w14:textId="77777777" w:rsidR="0008009C" w:rsidRDefault="00936FDF">
            <w:pPr>
              <w:jc w:val="right"/>
              <w:textAlignment w:val="bottom"/>
            </w:pPr>
            <w:r>
              <w:rPr>
                <w:rFonts w:ascii="Arial" w:eastAsia="宋体" w:hAnsi="Arial" w:cs="Arial"/>
                <w:color w:val="0068B5"/>
                <w:sz w:val="18"/>
                <w:szCs w:val="18"/>
              </w:rPr>
              <w:t>214 </w:t>
            </w:r>
          </w:p>
        </w:tc>
        <w:tc>
          <w:tcPr>
            <w:tcW w:w="0" w:type="auto"/>
            <w:shd w:val="clear" w:color="auto" w:fill="auto"/>
            <w:tcMar>
              <w:top w:w="40" w:type="dxa"/>
              <w:left w:w="0" w:type="dxa"/>
              <w:bottom w:w="40" w:type="dxa"/>
              <w:right w:w="20" w:type="dxa"/>
            </w:tcMar>
            <w:vAlign w:val="bottom"/>
          </w:tcPr>
          <w:p w14:paraId="5C7C63E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F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F1"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3F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F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F4" w14:textId="77777777" w:rsidR="0008009C" w:rsidRDefault="00936FDF">
            <w:pPr>
              <w:jc w:val="right"/>
              <w:textAlignment w:val="bottom"/>
            </w:pPr>
            <w:r>
              <w:rPr>
                <w:rFonts w:ascii="Arial" w:eastAsia="宋体" w:hAnsi="Arial" w:cs="Arial"/>
                <w:color w:val="262626"/>
                <w:sz w:val="18"/>
                <w:szCs w:val="18"/>
              </w:rPr>
              <w:t>439 </w:t>
            </w:r>
          </w:p>
        </w:tc>
        <w:tc>
          <w:tcPr>
            <w:tcW w:w="0" w:type="auto"/>
            <w:shd w:val="clear" w:color="auto" w:fill="auto"/>
            <w:tcMar>
              <w:top w:w="40" w:type="dxa"/>
              <w:left w:w="0" w:type="dxa"/>
              <w:bottom w:w="40" w:type="dxa"/>
              <w:right w:w="20" w:type="dxa"/>
            </w:tcMar>
            <w:vAlign w:val="bottom"/>
          </w:tcPr>
          <w:p w14:paraId="5C7C63F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F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F7"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3F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3F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3FA" w14:textId="77777777" w:rsidR="0008009C" w:rsidRDefault="00936FDF">
            <w:pPr>
              <w:jc w:val="right"/>
              <w:textAlignment w:val="bottom"/>
            </w:pPr>
            <w:r>
              <w:rPr>
                <w:rFonts w:ascii="Arial" w:eastAsia="宋体" w:hAnsi="Arial" w:cs="Arial"/>
                <w:color w:val="262626"/>
                <w:sz w:val="18"/>
                <w:szCs w:val="18"/>
              </w:rPr>
              <w:t>439 </w:t>
            </w:r>
          </w:p>
        </w:tc>
        <w:tc>
          <w:tcPr>
            <w:tcW w:w="0" w:type="auto"/>
            <w:shd w:val="clear" w:color="auto" w:fill="auto"/>
            <w:tcMar>
              <w:top w:w="40" w:type="dxa"/>
              <w:left w:w="0" w:type="dxa"/>
              <w:bottom w:w="40" w:type="dxa"/>
              <w:right w:w="20" w:type="dxa"/>
            </w:tcMar>
            <w:vAlign w:val="bottom"/>
          </w:tcPr>
          <w:p w14:paraId="5C7C63FB" w14:textId="77777777" w:rsidR="0008009C" w:rsidRDefault="0008009C">
            <w:pPr>
              <w:jc w:val="right"/>
              <w:rPr>
                <w:rFonts w:ascii="宋体"/>
              </w:rPr>
            </w:pPr>
          </w:p>
        </w:tc>
        <w:tc>
          <w:tcPr>
            <w:tcW w:w="0" w:type="auto"/>
            <w:shd w:val="clear" w:color="auto" w:fill="auto"/>
          </w:tcPr>
          <w:p w14:paraId="5C7C63FC" w14:textId="77777777" w:rsidR="0008009C" w:rsidRDefault="0008009C">
            <w:pPr>
              <w:rPr>
                <w:rFonts w:ascii="宋体"/>
                <w:vanish/>
              </w:rPr>
            </w:pPr>
          </w:p>
        </w:tc>
        <w:tc>
          <w:tcPr>
            <w:tcW w:w="0" w:type="auto"/>
            <w:shd w:val="clear" w:color="auto" w:fill="auto"/>
          </w:tcPr>
          <w:p w14:paraId="5C7C63FD" w14:textId="77777777" w:rsidR="0008009C" w:rsidRDefault="0008009C">
            <w:pPr>
              <w:rPr>
                <w:rFonts w:ascii="宋体"/>
                <w:vanish/>
              </w:rPr>
            </w:pPr>
          </w:p>
        </w:tc>
      </w:tr>
      <w:tr w:rsidR="0008009C" w14:paraId="5C7C641A" w14:textId="77777777">
        <w:tc>
          <w:tcPr>
            <w:tcW w:w="0" w:type="auto"/>
            <w:gridSpan w:val="3"/>
            <w:shd w:val="clear" w:color="auto" w:fill="auto"/>
            <w:tcMar>
              <w:top w:w="40" w:type="dxa"/>
              <w:left w:w="140" w:type="dxa"/>
              <w:bottom w:w="40" w:type="dxa"/>
              <w:right w:w="20" w:type="dxa"/>
            </w:tcMar>
          </w:tcPr>
          <w:p w14:paraId="5C7C63FF" w14:textId="77777777" w:rsidR="0008009C" w:rsidRDefault="00936FDF">
            <w:pPr>
              <w:textAlignment w:val="top"/>
            </w:pPr>
            <w:r>
              <w:rPr>
                <w:rFonts w:ascii="Arial" w:eastAsia="宋体" w:hAnsi="Arial" w:cs="Arial"/>
                <w:color w:val="262626"/>
                <w:sz w:val="18"/>
                <w:szCs w:val="18"/>
              </w:rPr>
              <w:t>Marketable equity securities</w:t>
            </w:r>
          </w:p>
        </w:tc>
        <w:tc>
          <w:tcPr>
            <w:tcW w:w="0" w:type="auto"/>
            <w:gridSpan w:val="3"/>
            <w:shd w:val="clear" w:color="auto" w:fill="auto"/>
            <w:tcMar>
              <w:top w:w="0" w:type="dxa"/>
              <w:left w:w="20" w:type="dxa"/>
              <w:bottom w:w="0" w:type="dxa"/>
              <w:right w:w="20" w:type="dxa"/>
            </w:tcMar>
          </w:tcPr>
          <w:p w14:paraId="5C7C640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01" w14:textId="77777777" w:rsidR="0008009C" w:rsidRDefault="00936FDF">
            <w:pPr>
              <w:jc w:val="right"/>
              <w:textAlignment w:val="bottom"/>
            </w:pPr>
            <w:r>
              <w:rPr>
                <w:rFonts w:ascii="Arial" w:eastAsia="宋体" w:hAnsi="Arial" w:cs="Arial"/>
                <w:color w:val="0068B5"/>
                <w:sz w:val="18"/>
                <w:szCs w:val="18"/>
              </w:rPr>
              <w:t>139 </w:t>
            </w:r>
          </w:p>
        </w:tc>
        <w:tc>
          <w:tcPr>
            <w:tcW w:w="0" w:type="auto"/>
            <w:shd w:val="clear" w:color="auto" w:fill="auto"/>
            <w:tcMar>
              <w:top w:w="40" w:type="dxa"/>
              <w:left w:w="0" w:type="dxa"/>
              <w:bottom w:w="40" w:type="dxa"/>
              <w:right w:w="20" w:type="dxa"/>
            </w:tcMar>
            <w:vAlign w:val="bottom"/>
          </w:tcPr>
          <w:p w14:paraId="5C7C640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0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04" w14:textId="77777777" w:rsidR="0008009C" w:rsidRDefault="00936FDF">
            <w:pPr>
              <w:jc w:val="right"/>
              <w:textAlignment w:val="bottom"/>
            </w:pPr>
            <w:r>
              <w:rPr>
                <w:rFonts w:ascii="Arial" w:eastAsia="宋体" w:hAnsi="Arial" w:cs="Arial"/>
                <w:color w:val="0068B5"/>
                <w:sz w:val="18"/>
                <w:szCs w:val="18"/>
              </w:rPr>
              <w:t>1,384 </w:t>
            </w:r>
          </w:p>
        </w:tc>
        <w:tc>
          <w:tcPr>
            <w:tcW w:w="0" w:type="auto"/>
            <w:shd w:val="clear" w:color="auto" w:fill="auto"/>
            <w:tcMar>
              <w:top w:w="40" w:type="dxa"/>
              <w:left w:w="0" w:type="dxa"/>
              <w:bottom w:w="40" w:type="dxa"/>
              <w:right w:w="20" w:type="dxa"/>
            </w:tcMar>
            <w:vAlign w:val="bottom"/>
          </w:tcPr>
          <w:p w14:paraId="5C7C640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0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07"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40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0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0A" w14:textId="77777777" w:rsidR="0008009C" w:rsidRDefault="00936FDF">
            <w:pPr>
              <w:jc w:val="right"/>
              <w:textAlignment w:val="bottom"/>
            </w:pPr>
            <w:r>
              <w:rPr>
                <w:rFonts w:ascii="Arial" w:eastAsia="宋体" w:hAnsi="Arial" w:cs="Arial"/>
                <w:color w:val="0068B5"/>
                <w:sz w:val="18"/>
                <w:szCs w:val="18"/>
              </w:rPr>
              <w:t>1,523 </w:t>
            </w:r>
          </w:p>
        </w:tc>
        <w:tc>
          <w:tcPr>
            <w:tcW w:w="0" w:type="auto"/>
            <w:shd w:val="clear" w:color="auto" w:fill="auto"/>
            <w:tcMar>
              <w:top w:w="40" w:type="dxa"/>
              <w:left w:w="0" w:type="dxa"/>
              <w:bottom w:w="40" w:type="dxa"/>
              <w:right w:w="20" w:type="dxa"/>
            </w:tcMar>
            <w:vAlign w:val="bottom"/>
          </w:tcPr>
          <w:p w14:paraId="5C7C640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0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0D" w14:textId="77777777" w:rsidR="0008009C" w:rsidRDefault="00936FDF">
            <w:pPr>
              <w:jc w:val="right"/>
              <w:textAlignment w:val="bottom"/>
            </w:pPr>
            <w:r>
              <w:rPr>
                <w:rFonts w:ascii="Arial" w:eastAsia="宋体" w:hAnsi="Arial" w:cs="Arial"/>
                <w:color w:val="262626"/>
                <w:sz w:val="18"/>
                <w:szCs w:val="18"/>
              </w:rPr>
              <w:t>136 </w:t>
            </w:r>
          </w:p>
        </w:tc>
        <w:tc>
          <w:tcPr>
            <w:tcW w:w="0" w:type="auto"/>
            <w:shd w:val="clear" w:color="auto" w:fill="auto"/>
            <w:tcMar>
              <w:top w:w="40" w:type="dxa"/>
              <w:left w:w="0" w:type="dxa"/>
              <w:bottom w:w="40" w:type="dxa"/>
              <w:right w:w="20" w:type="dxa"/>
            </w:tcMar>
            <w:vAlign w:val="bottom"/>
          </w:tcPr>
          <w:p w14:paraId="5C7C640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0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10" w14:textId="77777777" w:rsidR="0008009C" w:rsidRDefault="00936FDF">
            <w:pPr>
              <w:jc w:val="right"/>
              <w:textAlignment w:val="bottom"/>
            </w:pPr>
            <w:r>
              <w:rPr>
                <w:rFonts w:ascii="Arial" w:eastAsia="宋体" w:hAnsi="Arial" w:cs="Arial"/>
                <w:color w:val="262626"/>
                <w:sz w:val="18"/>
                <w:szCs w:val="18"/>
              </w:rPr>
              <w:t>1,694 </w:t>
            </w:r>
          </w:p>
        </w:tc>
        <w:tc>
          <w:tcPr>
            <w:tcW w:w="0" w:type="auto"/>
            <w:shd w:val="clear" w:color="auto" w:fill="auto"/>
            <w:tcMar>
              <w:top w:w="40" w:type="dxa"/>
              <w:left w:w="0" w:type="dxa"/>
              <w:bottom w:w="40" w:type="dxa"/>
              <w:right w:w="20" w:type="dxa"/>
            </w:tcMar>
            <w:vAlign w:val="bottom"/>
          </w:tcPr>
          <w:p w14:paraId="5C7C641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1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13"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41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1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16" w14:textId="77777777" w:rsidR="0008009C" w:rsidRDefault="00936FDF">
            <w:pPr>
              <w:jc w:val="right"/>
              <w:textAlignment w:val="bottom"/>
            </w:pPr>
            <w:r>
              <w:rPr>
                <w:rFonts w:ascii="Arial" w:eastAsia="宋体" w:hAnsi="Arial" w:cs="Arial"/>
                <w:color w:val="262626"/>
                <w:sz w:val="18"/>
                <w:szCs w:val="18"/>
              </w:rPr>
              <w:t>1,830 </w:t>
            </w:r>
          </w:p>
        </w:tc>
        <w:tc>
          <w:tcPr>
            <w:tcW w:w="0" w:type="auto"/>
            <w:shd w:val="clear" w:color="auto" w:fill="auto"/>
            <w:tcMar>
              <w:top w:w="40" w:type="dxa"/>
              <w:left w:w="0" w:type="dxa"/>
              <w:bottom w:w="40" w:type="dxa"/>
              <w:right w:w="20" w:type="dxa"/>
            </w:tcMar>
            <w:vAlign w:val="bottom"/>
          </w:tcPr>
          <w:p w14:paraId="5C7C6417" w14:textId="77777777" w:rsidR="0008009C" w:rsidRDefault="0008009C">
            <w:pPr>
              <w:jc w:val="right"/>
              <w:rPr>
                <w:rFonts w:ascii="宋体"/>
              </w:rPr>
            </w:pPr>
          </w:p>
        </w:tc>
        <w:tc>
          <w:tcPr>
            <w:tcW w:w="0" w:type="auto"/>
            <w:shd w:val="clear" w:color="auto" w:fill="auto"/>
          </w:tcPr>
          <w:p w14:paraId="5C7C6418" w14:textId="77777777" w:rsidR="0008009C" w:rsidRDefault="0008009C">
            <w:pPr>
              <w:rPr>
                <w:rFonts w:ascii="宋体"/>
                <w:vanish/>
              </w:rPr>
            </w:pPr>
          </w:p>
        </w:tc>
        <w:tc>
          <w:tcPr>
            <w:tcW w:w="0" w:type="auto"/>
            <w:shd w:val="clear" w:color="auto" w:fill="auto"/>
          </w:tcPr>
          <w:p w14:paraId="5C7C6419" w14:textId="77777777" w:rsidR="0008009C" w:rsidRDefault="0008009C">
            <w:pPr>
              <w:rPr>
                <w:rFonts w:ascii="宋体"/>
                <w:vanish/>
              </w:rPr>
            </w:pPr>
          </w:p>
        </w:tc>
      </w:tr>
      <w:tr w:rsidR="0008009C" w14:paraId="5C7C642E" w14:textId="77777777">
        <w:tc>
          <w:tcPr>
            <w:tcW w:w="0" w:type="auto"/>
            <w:gridSpan w:val="3"/>
            <w:shd w:val="clear" w:color="auto" w:fill="auto"/>
            <w:tcMar>
              <w:top w:w="40" w:type="dxa"/>
              <w:left w:w="20" w:type="dxa"/>
              <w:bottom w:w="40" w:type="dxa"/>
              <w:right w:w="20" w:type="dxa"/>
            </w:tcMar>
          </w:tcPr>
          <w:p w14:paraId="5C7C641B" w14:textId="77777777" w:rsidR="0008009C" w:rsidRDefault="00936FDF">
            <w:pPr>
              <w:textAlignment w:val="top"/>
            </w:pPr>
            <w:r>
              <w:rPr>
                <w:rFonts w:ascii="Arial" w:eastAsia="宋体" w:hAnsi="Arial" w:cs="Arial"/>
                <w:color w:val="262626"/>
                <w:sz w:val="18"/>
                <w:szCs w:val="18"/>
              </w:rPr>
              <w:t>Other long-term investments:</w:t>
            </w:r>
          </w:p>
        </w:tc>
        <w:tc>
          <w:tcPr>
            <w:tcW w:w="0" w:type="auto"/>
            <w:gridSpan w:val="3"/>
            <w:shd w:val="clear" w:color="auto" w:fill="auto"/>
            <w:tcMar>
              <w:top w:w="0" w:type="dxa"/>
              <w:left w:w="20" w:type="dxa"/>
              <w:bottom w:w="0" w:type="dxa"/>
              <w:right w:w="20" w:type="dxa"/>
            </w:tcMar>
          </w:tcPr>
          <w:p w14:paraId="5C7C641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1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1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1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2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2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2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2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2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2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2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2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2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2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2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2B" w14:textId="77777777" w:rsidR="0008009C" w:rsidRDefault="0008009C">
            <w:pPr>
              <w:rPr>
                <w:rFonts w:ascii="宋体"/>
              </w:rPr>
            </w:pPr>
          </w:p>
        </w:tc>
        <w:tc>
          <w:tcPr>
            <w:tcW w:w="0" w:type="auto"/>
            <w:shd w:val="clear" w:color="auto" w:fill="auto"/>
          </w:tcPr>
          <w:p w14:paraId="5C7C642C" w14:textId="77777777" w:rsidR="0008009C" w:rsidRDefault="0008009C">
            <w:pPr>
              <w:rPr>
                <w:rFonts w:ascii="宋体"/>
                <w:vanish/>
              </w:rPr>
            </w:pPr>
          </w:p>
        </w:tc>
        <w:tc>
          <w:tcPr>
            <w:tcW w:w="0" w:type="auto"/>
            <w:shd w:val="clear" w:color="auto" w:fill="auto"/>
          </w:tcPr>
          <w:p w14:paraId="5C7C642D" w14:textId="77777777" w:rsidR="0008009C" w:rsidRDefault="0008009C">
            <w:pPr>
              <w:rPr>
                <w:rFonts w:ascii="宋体"/>
                <w:vanish/>
              </w:rPr>
            </w:pPr>
          </w:p>
        </w:tc>
      </w:tr>
      <w:tr w:rsidR="0008009C" w14:paraId="5C7C6442" w14:textId="77777777">
        <w:trPr>
          <w:hidden/>
        </w:trPr>
        <w:tc>
          <w:tcPr>
            <w:tcW w:w="0" w:type="auto"/>
            <w:gridSpan w:val="3"/>
            <w:shd w:val="clear" w:color="auto" w:fill="auto"/>
          </w:tcPr>
          <w:p w14:paraId="5C7C642F" w14:textId="77777777" w:rsidR="0008009C" w:rsidRDefault="0008009C">
            <w:pPr>
              <w:rPr>
                <w:rFonts w:ascii="宋体"/>
                <w:vanish/>
              </w:rPr>
            </w:pPr>
          </w:p>
        </w:tc>
        <w:tc>
          <w:tcPr>
            <w:tcW w:w="0" w:type="auto"/>
            <w:gridSpan w:val="3"/>
            <w:shd w:val="clear" w:color="auto" w:fill="auto"/>
          </w:tcPr>
          <w:p w14:paraId="5C7C6430" w14:textId="77777777" w:rsidR="0008009C" w:rsidRDefault="0008009C">
            <w:pPr>
              <w:rPr>
                <w:rFonts w:ascii="宋体"/>
                <w:vanish/>
              </w:rPr>
            </w:pPr>
          </w:p>
        </w:tc>
        <w:tc>
          <w:tcPr>
            <w:tcW w:w="0" w:type="auto"/>
            <w:gridSpan w:val="3"/>
            <w:shd w:val="clear" w:color="auto" w:fill="auto"/>
          </w:tcPr>
          <w:p w14:paraId="5C7C6431" w14:textId="77777777" w:rsidR="0008009C" w:rsidRDefault="0008009C">
            <w:pPr>
              <w:rPr>
                <w:rFonts w:ascii="宋体"/>
                <w:vanish/>
              </w:rPr>
            </w:pPr>
          </w:p>
        </w:tc>
        <w:tc>
          <w:tcPr>
            <w:tcW w:w="0" w:type="auto"/>
            <w:gridSpan w:val="3"/>
            <w:shd w:val="clear" w:color="auto" w:fill="auto"/>
          </w:tcPr>
          <w:p w14:paraId="5C7C6432" w14:textId="77777777" w:rsidR="0008009C" w:rsidRDefault="0008009C">
            <w:pPr>
              <w:rPr>
                <w:rFonts w:ascii="宋体"/>
                <w:vanish/>
              </w:rPr>
            </w:pPr>
          </w:p>
        </w:tc>
        <w:tc>
          <w:tcPr>
            <w:tcW w:w="0" w:type="auto"/>
            <w:gridSpan w:val="3"/>
            <w:shd w:val="clear" w:color="auto" w:fill="auto"/>
          </w:tcPr>
          <w:p w14:paraId="5C7C6433" w14:textId="77777777" w:rsidR="0008009C" w:rsidRDefault="0008009C">
            <w:pPr>
              <w:rPr>
                <w:rFonts w:ascii="宋体"/>
                <w:vanish/>
              </w:rPr>
            </w:pPr>
          </w:p>
        </w:tc>
        <w:tc>
          <w:tcPr>
            <w:tcW w:w="0" w:type="auto"/>
            <w:gridSpan w:val="3"/>
            <w:shd w:val="clear" w:color="auto" w:fill="auto"/>
          </w:tcPr>
          <w:p w14:paraId="5C7C6434" w14:textId="77777777" w:rsidR="0008009C" w:rsidRDefault="0008009C">
            <w:pPr>
              <w:rPr>
                <w:rFonts w:ascii="宋体"/>
                <w:vanish/>
              </w:rPr>
            </w:pPr>
          </w:p>
        </w:tc>
        <w:tc>
          <w:tcPr>
            <w:tcW w:w="0" w:type="auto"/>
            <w:gridSpan w:val="3"/>
            <w:shd w:val="clear" w:color="auto" w:fill="auto"/>
          </w:tcPr>
          <w:p w14:paraId="5C7C6435" w14:textId="77777777" w:rsidR="0008009C" w:rsidRDefault="0008009C">
            <w:pPr>
              <w:rPr>
                <w:rFonts w:ascii="宋体"/>
                <w:vanish/>
              </w:rPr>
            </w:pPr>
          </w:p>
        </w:tc>
        <w:tc>
          <w:tcPr>
            <w:tcW w:w="0" w:type="auto"/>
            <w:gridSpan w:val="3"/>
            <w:shd w:val="clear" w:color="auto" w:fill="auto"/>
          </w:tcPr>
          <w:p w14:paraId="5C7C6436" w14:textId="77777777" w:rsidR="0008009C" w:rsidRDefault="0008009C">
            <w:pPr>
              <w:rPr>
                <w:rFonts w:ascii="宋体"/>
                <w:vanish/>
              </w:rPr>
            </w:pPr>
          </w:p>
        </w:tc>
        <w:tc>
          <w:tcPr>
            <w:tcW w:w="0" w:type="auto"/>
            <w:gridSpan w:val="3"/>
            <w:shd w:val="clear" w:color="auto" w:fill="auto"/>
          </w:tcPr>
          <w:p w14:paraId="5C7C6437" w14:textId="77777777" w:rsidR="0008009C" w:rsidRDefault="0008009C">
            <w:pPr>
              <w:rPr>
                <w:rFonts w:ascii="宋体"/>
                <w:vanish/>
              </w:rPr>
            </w:pPr>
          </w:p>
        </w:tc>
        <w:tc>
          <w:tcPr>
            <w:tcW w:w="0" w:type="auto"/>
            <w:gridSpan w:val="3"/>
            <w:shd w:val="clear" w:color="auto" w:fill="auto"/>
          </w:tcPr>
          <w:p w14:paraId="5C7C6438" w14:textId="77777777" w:rsidR="0008009C" w:rsidRDefault="0008009C">
            <w:pPr>
              <w:rPr>
                <w:rFonts w:ascii="宋体"/>
                <w:vanish/>
              </w:rPr>
            </w:pPr>
          </w:p>
        </w:tc>
        <w:tc>
          <w:tcPr>
            <w:tcW w:w="0" w:type="auto"/>
            <w:gridSpan w:val="3"/>
            <w:shd w:val="clear" w:color="auto" w:fill="auto"/>
          </w:tcPr>
          <w:p w14:paraId="5C7C6439" w14:textId="77777777" w:rsidR="0008009C" w:rsidRDefault="0008009C">
            <w:pPr>
              <w:rPr>
                <w:rFonts w:ascii="宋体"/>
                <w:vanish/>
              </w:rPr>
            </w:pPr>
          </w:p>
        </w:tc>
        <w:tc>
          <w:tcPr>
            <w:tcW w:w="0" w:type="auto"/>
            <w:gridSpan w:val="3"/>
            <w:shd w:val="clear" w:color="auto" w:fill="auto"/>
          </w:tcPr>
          <w:p w14:paraId="5C7C643A" w14:textId="77777777" w:rsidR="0008009C" w:rsidRDefault="0008009C">
            <w:pPr>
              <w:rPr>
                <w:rFonts w:ascii="宋体"/>
                <w:vanish/>
              </w:rPr>
            </w:pPr>
          </w:p>
        </w:tc>
        <w:tc>
          <w:tcPr>
            <w:tcW w:w="0" w:type="auto"/>
            <w:gridSpan w:val="3"/>
            <w:shd w:val="clear" w:color="auto" w:fill="auto"/>
          </w:tcPr>
          <w:p w14:paraId="5C7C643B" w14:textId="77777777" w:rsidR="0008009C" w:rsidRDefault="0008009C">
            <w:pPr>
              <w:rPr>
                <w:rFonts w:ascii="宋体"/>
                <w:vanish/>
              </w:rPr>
            </w:pPr>
          </w:p>
        </w:tc>
        <w:tc>
          <w:tcPr>
            <w:tcW w:w="0" w:type="auto"/>
            <w:gridSpan w:val="3"/>
            <w:shd w:val="clear" w:color="auto" w:fill="auto"/>
          </w:tcPr>
          <w:p w14:paraId="5C7C643C" w14:textId="77777777" w:rsidR="0008009C" w:rsidRDefault="0008009C">
            <w:pPr>
              <w:rPr>
                <w:rFonts w:ascii="宋体"/>
                <w:vanish/>
              </w:rPr>
            </w:pPr>
          </w:p>
        </w:tc>
        <w:tc>
          <w:tcPr>
            <w:tcW w:w="0" w:type="auto"/>
            <w:gridSpan w:val="3"/>
            <w:shd w:val="clear" w:color="auto" w:fill="auto"/>
          </w:tcPr>
          <w:p w14:paraId="5C7C643D" w14:textId="77777777" w:rsidR="0008009C" w:rsidRDefault="0008009C">
            <w:pPr>
              <w:rPr>
                <w:rFonts w:ascii="宋体"/>
                <w:vanish/>
              </w:rPr>
            </w:pPr>
          </w:p>
        </w:tc>
        <w:tc>
          <w:tcPr>
            <w:tcW w:w="0" w:type="auto"/>
            <w:gridSpan w:val="3"/>
            <w:shd w:val="clear" w:color="auto" w:fill="auto"/>
          </w:tcPr>
          <w:p w14:paraId="5C7C643E" w14:textId="77777777" w:rsidR="0008009C" w:rsidRDefault="0008009C">
            <w:pPr>
              <w:rPr>
                <w:rFonts w:ascii="宋体"/>
                <w:vanish/>
              </w:rPr>
            </w:pPr>
          </w:p>
        </w:tc>
        <w:tc>
          <w:tcPr>
            <w:tcW w:w="0" w:type="auto"/>
            <w:gridSpan w:val="3"/>
            <w:shd w:val="clear" w:color="auto" w:fill="auto"/>
          </w:tcPr>
          <w:p w14:paraId="5C7C643F" w14:textId="77777777" w:rsidR="0008009C" w:rsidRDefault="0008009C">
            <w:pPr>
              <w:rPr>
                <w:rFonts w:ascii="宋体"/>
                <w:vanish/>
              </w:rPr>
            </w:pPr>
          </w:p>
        </w:tc>
        <w:tc>
          <w:tcPr>
            <w:tcW w:w="0" w:type="auto"/>
            <w:shd w:val="clear" w:color="auto" w:fill="auto"/>
          </w:tcPr>
          <w:p w14:paraId="5C7C6440" w14:textId="77777777" w:rsidR="0008009C" w:rsidRDefault="0008009C">
            <w:pPr>
              <w:rPr>
                <w:rFonts w:ascii="宋体"/>
                <w:vanish/>
              </w:rPr>
            </w:pPr>
          </w:p>
        </w:tc>
        <w:tc>
          <w:tcPr>
            <w:tcW w:w="0" w:type="auto"/>
            <w:shd w:val="clear" w:color="auto" w:fill="auto"/>
          </w:tcPr>
          <w:p w14:paraId="5C7C6441" w14:textId="77777777" w:rsidR="0008009C" w:rsidRDefault="0008009C">
            <w:pPr>
              <w:rPr>
                <w:rFonts w:ascii="宋体"/>
                <w:vanish/>
              </w:rPr>
            </w:pPr>
          </w:p>
        </w:tc>
      </w:tr>
      <w:tr w:rsidR="0008009C" w14:paraId="5C7C645C" w14:textId="77777777">
        <w:tc>
          <w:tcPr>
            <w:tcW w:w="0" w:type="auto"/>
            <w:gridSpan w:val="3"/>
            <w:shd w:val="clear" w:color="auto" w:fill="auto"/>
            <w:tcMar>
              <w:top w:w="40" w:type="dxa"/>
              <w:left w:w="140" w:type="dxa"/>
              <w:bottom w:w="40" w:type="dxa"/>
              <w:right w:w="20" w:type="dxa"/>
            </w:tcMar>
          </w:tcPr>
          <w:p w14:paraId="5C7C6443" w14:textId="77777777" w:rsidR="0008009C" w:rsidRDefault="00936FDF">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tcPr>
          <w:p w14:paraId="5C7C644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45"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44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4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48" w14:textId="77777777" w:rsidR="0008009C" w:rsidRDefault="00936FDF">
            <w:pPr>
              <w:jc w:val="right"/>
              <w:textAlignment w:val="bottom"/>
            </w:pPr>
            <w:r>
              <w:rPr>
                <w:rFonts w:ascii="Arial" w:eastAsia="宋体" w:hAnsi="Arial" w:cs="Arial"/>
                <w:color w:val="0068B5"/>
                <w:sz w:val="18"/>
                <w:szCs w:val="18"/>
              </w:rPr>
              <w:t>1,025 </w:t>
            </w:r>
          </w:p>
        </w:tc>
        <w:tc>
          <w:tcPr>
            <w:tcW w:w="0" w:type="auto"/>
            <w:shd w:val="clear" w:color="auto" w:fill="auto"/>
            <w:tcMar>
              <w:top w:w="40" w:type="dxa"/>
              <w:left w:w="0" w:type="dxa"/>
              <w:bottom w:w="40" w:type="dxa"/>
              <w:right w:w="20" w:type="dxa"/>
            </w:tcMar>
            <w:vAlign w:val="bottom"/>
          </w:tcPr>
          <w:p w14:paraId="5C7C644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4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4B"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44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4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4E" w14:textId="77777777" w:rsidR="0008009C" w:rsidRDefault="00936FDF">
            <w:pPr>
              <w:jc w:val="right"/>
              <w:textAlignment w:val="bottom"/>
            </w:pPr>
            <w:r>
              <w:rPr>
                <w:rFonts w:ascii="Arial" w:eastAsia="宋体" w:hAnsi="Arial" w:cs="Arial"/>
                <w:color w:val="0068B5"/>
                <w:sz w:val="18"/>
                <w:szCs w:val="18"/>
              </w:rPr>
              <w:t>1,025 </w:t>
            </w:r>
          </w:p>
        </w:tc>
        <w:tc>
          <w:tcPr>
            <w:tcW w:w="0" w:type="auto"/>
            <w:shd w:val="clear" w:color="auto" w:fill="auto"/>
            <w:tcMar>
              <w:top w:w="40" w:type="dxa"/>
              <w:left w:w="0" w:type="dxa"/>
              <w:bottom w:w="40" w:type="dxa"/>
              <w:right w:w="20" w:type="dxa"/>
            </w:tcMar>
            <w:vAlign w:val="bottom"/>
          </w:tcPr>
          <w:p w14:paraId="5C7C644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50"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451" w14:textId="77777777" w:rsidR="0008009C" w:rsidRDefault="00936FDF">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5C7C645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53" w14:textId="77777777" w:rsidR="0008009C" w:rsidRDefault="00936FDF">
            <w:pPr>
              <w:jc w:val="right"/>
              <w:textAlignment w:val="bottom"/>
            </w:pPr>
            <w:r>
              <w:rPr>
                <w:rFonts w:ascii="Arial" w:eastAsia="宋体" w:hAnsi="Arial" w:cs="Arial"/>
                <w:color w:val="262626"/>
                <w:sz w:val="18"/>
                <w:szCs w:val="18"/>
              </w:rPr>
              <w:t>1,520 </w:t>
            </w:r>
          </w:p>
        </w:tc>
        <w:tc>
          <w:tcPr>
            <w:tcW w:w="0" w:type="auto"/>
            <w:shd w:val="clear" w:color="auto" w:fill="auto"/>
            <w:tcMar>
              <w:top w:w="40" w:type="dxa"/>
              <w:left w:w="0" w:type="dxa"/>
              <w:bottom w:w="40" w:type="dxa"/>
              <w:right w:w="20" w:type="dxa"/>
            </w:tcMar>
            <w:vAlign w:val="bottom"/>
          </w:tcPr>
          <w:p w14:paraId="5C7C645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55"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456" w14:textId="77777777" w:rsidR="0008009C" w:rsidRDefault="00936FDF">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5C7C645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58" w14:textId="77777777" w:rsidR="0008009C" w:rsidRDefault="00936FDF">
            <w:pPr>
              <w:jc w:val="right"/>
              <w:textAlignment w:val="bottom"/>
            </w:pPr>
            <w:r>
              <w:rPr>
                <w:rFonts w:ascii="Arial" w:eastAsia="宋体" w:hAnsi="Arial" w:cs="Arial"/>
                <w:color w:val="262626"/>
                <w:sz w:val="18"/>
                <w:szCs w:val="18"/>
              </w:rPr>
              <w:t>1,520 </w:t>
            </w:r>
          </w:p>
        </w:tc>
        <w:tc>
          <w:tcPr>
            <w:tcW w:w="0" w:type="auto"/>
            <w:shd w:val="clear" w:color="auto" w:fill="auto"/>
            <w:tcMar>
              <w:top w:w="40" w:type="dxa"/>
              <w:left w:w="0" w:type="dxa"/>
              <w:bottom w:w="40" w:type="dxa"/>
              <w:right w:w="20" w:type="dxa"/>
            </w:tcMar>
            <w:vAlign w:val="bottom"/>
          </w:tcPr>
          <w:p w14:paraId="5C7C6459" w14:textId="77777777" w:rsidR="0008009C" w:rsidRDefault="0008009C">
            <w:pPr>
              <w:jc w:val="right"/>
              <w:rPr>
                <w:rFonts w:ascii="宋体"/>
              </w:rPr>
            </w:pPr>
          </w:p>
        </w:tc>
        <w:tc>
          <w:tcPr>
            <w:tcW w:w="0" w:type="auto"/>
            <w:shd w:val="clear" w:color="auto" w:fill="auto"/>
          </w:tcPr>
          <w:p w14:paraId="5C7C645A" w14:textId="77777777" w:rsidR="0008009C" w:rsidRDefault="0008009C">
            <w:pPr>
              <w:rPr>
                <w:rFonts w:ascii="宋体"/>
                <w:vanish/>
              </w:rPr>
            </w:pPr>
          </w:p>
        </w:tc>
        <w:tc>
          <w:tcPr>
            <w:tcW w:w="0" w:type="auto"/>
            <w:shd w:val="clear" w:color="auto" w:fill="auto"/>
          </w:tcPr>
          <w:p w14:paraId="5C7C645B" w14:textId="77777777" w:rsidR="0008009C" w:rsidRDefault="0008009C">
            <w:pPr>
              <w:rPr>
                <w:rFonts w:ascii="宋体"/>
                <w:vanish/>
              </w:rPr>
            </w:pPr>
          </w:p>
        </w:tc>
      </w:tr>
      <w:tr w:rsidR="0008009C" w14:paraId="5C7C6476" w14:textId="77777777">
        <w:tc>
          <w:tcPr>
            <w:tcW w:w="0" w:type="auto"/>
            <w:gridSpan w:val="3"/>
            <w:shd w:val="clear" w:color="auto" w:fill="auto"/>
            <w:tcMar>
              <w:top w:w="40" w:type="dxa"/>
              <w:left w:w="140" w:type="dxa"/>
              <w:bottom w:w="40" w:type="dxa"/>
              <w:right w:w="20" w:type="dxa"/>
            </w:tcMar>
          </w:tcPr>
          <w:p w14:paraId="5C7C645D" w14:textId="77777777" w:rsidR="0008009C" w:rsidRDefault="00936FDF">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tcPr>
          <w:p w14:paraId="5C7C645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5F"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46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6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62" w14:textId="77777777" w:rsidR="0008009C" w:rsidRDefault="00936FDF">
            <w:pPr>
              <w:jc w:val="right"/>
              <w:textAlignment w:val="bottom"/>
            </w:pPr>
            <w:r>
              <w:rPr>
                <w:rFonts w:ascii="Arial" w:eastAsia="宋体" w:hAnsi="Arial" w:cs="Arial"/>
                <w:color w:val="0068B5"/>
                <w:sz w:val="18"/>
                <w:szCs w:val="18"/>
              </w:rPr>
              <w:t>230 </w:t>
            </w:r>
          </w:p>
        </w:tc>
        <w:tc>
          <w:tcPr>
            <w:tcW w:w="0" w:type="auto"/>
            <w:shd w:val="clear" w:color="auto" w:fill="auto"/>
            <w:tcMar>
              <w:top w:w="40" w:type="dxa"/>
              <w:left w:w="0" w:type="dxa"/>
              <w:bottom w:w="40" w:type="dxa"/>
              <w:right w:w="20" w:type="dxa"/>
            </w:tcMar>
            <w:vAlign w:val="bottom"/>
          </w:tcPr>
          <w:p w14:paraId="5C7C646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6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65"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46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6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68" w14:textId="77777777" w:rsidR="0008009C" w:rsidRDefault="00936FDF">
            <w:pPr>
              <w:jc w:val="right"/>
              <w:textAlignment w:val="bottom"/>
            </w:pPr>
            <w:r>
              <w:rPr>
                <w:rFonts w:ascii="Arial" w:eastAsia="宋体" w:hAnsi="Arial" w:cs="Arial"/>
                <w:color w:val="0068B5"/>
                <w:sz w:val="18"/>
                <w:szCs w:val="18"/>
              </w:rPr>
              <w:t>230 </w:t>
            </w:r>
          </w:p>
        </w:tc>
        <w:tc>
          <w:tcPr>
            <w:tcW w:w="0" w:type="auto"/>
            <w:shd w:val="clear" w:color="auto" w:fill="auto"/>
            <w:tcMar>
              <w:top w:w="40" w:type="dxa"/>
              <w:left w:w="0" w:type="dxa"/>
              <w:bottom w:w="40" w:type="dxa"/>
              <w:right w:w="20" w:type="dxa"/>
            </w:tcMar>
            <w:vAlign w:val="bottom"/>
          </w:tcPr>
          <w:p w14:paraId="5C7C646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6A"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46B" w14:textId="77777777" w:rsidR="0008009C" w:rsidRDefault="00936FDF">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5C7C646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6D" w14:textId="77777777" w:rsidR="0008009C" w:rsidRDefault="00936FDF">
            <w:pPr>
              <w:jc w:val="right"/>
              <w:textAlignment w:val="bottom"/>
            </w:pPr>
            <w:r>
              <w:rPr>
                <w:rFonts w:ascii="Arial" w:eastAsia="宋体" w:hAnsi="Arial" w:cs="Arial"/>
                <w:color w:val="262626"/>
                <w:sz w:val="18"/>
                <w:szCs w:val="18"/>
              </w:rPr>
              <w:t>257 </w:t>
            </w:r>
          </w:p>
        </w:tc>
        <w:tc>
          <w:tcPr>
            <w:tcW w:w="0" w:type="auto"/>
            <w:shd w:val="clear" w:color="auto" w:fill="auto"/>
            <w:tcMar>
              <w:top w:w="40" w:type="dxa"/>
              <w:left w:w="0" w:type="dxa"/>
              <w:bottom w:w="40" w:type="dxa"/>
              <w:right w:w="20" w:type="dxa"/>
            </w:tcMar>
            <w:vAlign w:val="bottom"/>
          </w:tcPr>
          <w:p w14:paraId="5C7C646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6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470" w14:textId="77777777" w:rsidR="0008009C" w:rsidRDefault="00936FDF">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5C7C647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72" w14:textId="77777777" w:rsidR="0008009C" w:rsidRDefault="00936FDF">
            <w:pPr>
              <w:jc w:val="right"/>
              <w:textAlignment w:val="bottom"/>
            </w:pPr>
            <w:r>
              <w:rPr>
                <w:rFonts w:ascii="Arial" w:eastAsia="宋体" w:hAnsi="Arial" w:cs="Arial"/>
                <w:color w:val="262626"/>
                <w:sz w:val="18"/>
                <w:szCs w:val="18"/>
              </w:rPr>
              <w:t>257 </w:t>
            </w:r>
          </w:p>
        </w:tc>
        <w:tc>
          <w:tcPr>
            <w:tcW w:w="0" w:type="auto"/>
            <w:shd w:val="clear" w:color="auto" w:fill="auto"/>
            <w:tcMar>
              <w:top w:w="40" w:type="dxa"/>
              <w:left w:w="0" w:type="dxa"/>
              <w:bottom w:w="40" w:type="dxa"/>
              <w:right w:w="20" w:type="dxa"/>
            </w:tcMar>
            <w:vAlign w:val="bottom"/>
          </w:tcPr>
          <w:p w14:paraId="5C7C6473" w14:textId="77777777" w:rsidR="0008009C" w:rsidRDefault="0008009C">
            <w:pPr>
              <w:jc w:val="right"/>
              <w:rPr>
                <w:rFonts w:ascii="宋体"/>
              </w:rPr>
            </w:pPr>
          </w:p>
        </w:tc>
        <w:tc>
          <w:tcPr>
            <w:tcW w:w="0" w:type="auto"/>
            <w:shd w:val="clear" w:color="auto" w:fill="auto"/>
          </w:tcPr>
          <w:p w14:paraId="5C7C6474" w14:textId="77777777" w:rsidR="0008009C" w:rsidRDefault="0008009C">
            <w:pPr>
              <w:rPr>
                <w:rFonts w:ascii="宋体"/>
                <w:vanish/>
              </w:rPr>
            </w:pPr>
          </w:p>
        </w:tc>
        <w:tc>
          <w:tcPr>
            <w:tcW w:w="0" w:type="auto"/>
            <w:shd w:val="clear" w:color="auto" w:fill="auto"/>
          </w:tcPr>
          <w:p w14:paraId="5C7C6475" w14:textId="77777777" w:rsidR="0008009C" w:rsidRDefault="0008009C">
            <w:pPr>
              <w:rPr>
                <w:rFonts w:ascii="宋体"/>
                <w:vanish/>
              </w:rPr>
            </w:pPr>
          </w:p>
        </w:tc>
      </w:tr>
      <w:tr w:rsidR="0008009C" w14:paraId="5C7C6490" w14:textId="77777777">
        <w:tc>
          <w:tcPr>
            <w:tcW w:w="0" w:type="auto"/>
            <w:gridSpan w:val="3"/>
            <w:shd w:val="clear" w:color="auto" w:fill="auto"/>
            <w:tcMar>
              <w:top w:w="40" w:type="dxa"/>
              <w:left w:w="140" w:type="dxa"/>
              <w:bottom w:w="40" w:type="dxa"/>
              <w:right w:w="20" w:type="dxa"/>
            </w:tcMar>
          </w:tcPr>
          <w:p w14:paraId="5C7C6477" w14:textId="77777777" w:rsidR="0008009C" w:rsidRDefault="00936FDF">
            <w:pPr>
              <w:textAlignment w:val="top"/>
            </w:pPr>
            <w:r>
              <w:rPr>
                <w:rFonts w:ascii="Arial" w:eastAsia="宋体" w:hAnsi="Arial" w:cs="Arial"/>
                <w:color w:val="262626"/>
                <w:sz w:val="18"/>
                <w:szCs w:val="18"/>
              </w:rPr>
              <w:t>Government debt²</w:t>
            </w:r>
          </w:p>
        </w:tc>
        <w:tc>
          <w:tcPr>
            <w:tcW w:w="0" w:type="auto"/>
            <w:gridSpan w:val="3"/>
            <w:shd w:val="clear" w:color="auto" w:fill="auto"/>
            <w:tcMar>
              <w:top w:w="0" w:type="dxa"/>
              <w:left w:w="20" w:type="dxa"/>
              <w:bottom w:w="0" w:type="dxa"/>
              <w:right w:w="20" w:type="dxa"/>
            </w:tcMar>
          </w:tcPr>
          <w:p w14:paraId="5C7C647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79"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47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7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7C" w14:textId="77777777" w:rsidR="0008009C" w:rsidRDefault="00936FDF">
            <w:pPr>
              <w:jc w:val="right"/>
              <w:textAlignment w:val="bottom"/>
            </w:pPr>
            <w:r>
              <w:rPr>
                <w:rFonts w:ascii="Arial" w:eastAsia="宋体" w:hAnsi="Arial" w:cs="Arial"/>
                <w:color w:val="0068B5"/>
                <w:sz w:val="18"/>
                <w:szCs w:val="18"/>
              </w:rPr>
              <w:t>154 </w:t>
            </w:r>
          </w:p>
        </w:tc>
        <w:tc>
          <w:tcPr>
            <w:tcW w:w="0" w:type="auto"/>
            <w:shd w:val="clear" w:color="auto" w:fill="auto"/>
            <w:tcMar>
              <w:top w:w="40" w:type="dxa"/>
              <w:left w:w="0" w:type="dxa"/>
              <w:bottom w:w="40" w:type="dxa"/>
              <w:right w:w="20" w:type="dxa"/>
            </w:tcMar>
            <w:vAlign w:val="bottom"/>
          </w:tcPr>
          <w:p w14:paraId="5C7C647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7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7F"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48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8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82" w14:textId="77777777" w:rsidR="0008009C" w:rsidRDefault="00936FDF">
            <w:pPr>
              <w:jc w:val="right"/>
              <w:textAlignment w:val="bottom"/>
            </w:pPr>
            <w:r>
              <w:rPr>
                <w:rFonts w:ascii="Arial" w:eastAsia="宋体" w:hAnsi="Arial" w:cs="Arial"/>
                <w:color w:val="0068B5"/>
                <w:sz w:val="18"/>
                <w:szCs w:val="18"/>
              </w:rPr>
              <w:t>154 </w:t>
            </w:r>
          </w:p>
        </w:tc>
        <w:tc>
          <w:tcPr>
            <w:tcW w:w="0" w:type="auto"/>
            <w:shd w:val="clear" w:color="auto" w:fill="auto"/>
            <w:tcMar>
              <w:top w:w="40" w:type="dxa"/>
              <w:left w:w="0" w:type="dxa"/>
              <w:bottom w:w="40" w:type="dxa"/>
              <w:right w:w="20" w:type="dxa"/>
            </w:tcMar>
            <w:vAlign w:val="bottom"/>
          </w:tcPr>
          <w:p w14:paraId="5C7C648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84"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485" w14:textId="77777777" w:rsidR="0008009C" w:rsidRDefault="00936FDF">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5C7C648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87" w14:textId="77777777" w:rsidR="0008009C" w:rsidRDefault="00936FDF">
            <w:pPr>
              <w:jc w:val="right"/>
              <w:textAlignment w:val="bottom"/>
            </w:pPr>
            <w:r>
              <w:rPr>
                <w:rFonts w:ascii="Arial" w:eastAsia="宋体" w:hAnsi="Arial" w:cs="Arial"/>
                <w:color w:val="262626"/>
                <w:sz w:val="18"/>
                <w:szCs w:val="18"/>
              </w:rPr>
              <w:t>415 </w:t>
            </w:r>
          </w:p>
        </w:tc>
        <w:tc>
          <w:tcPr>
            <w:tcW w:w="0" w:type="auto"/>
            <w:shd w:val="clear" w:color="auto" w:fill="auto"/>
            <w:tcMar>
              <w:top w:w="40" w:type="dxa"/>
              <w:left w:w="0" w:type="dxa"/>
              <w:bottom w:w="40" w:type="dxa"/>
              <w:right w:w="20" w:type="dxa"/>
            </w:tcMar>
            <w:vAlign w:val="bottom"/>
          </w:tcPr>
          <w:p w14:paraId="5C7C648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89"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48A" w14:textId="77777777" w:rsidR="0008009C" w:rsidRDefault="00936FDF">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5C7C648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8C" w14:textId="77777777" w:rsidR="0008009C" w:rsidRDefault="00936FDF">
            <w:pPr>
              <w:jc w:val="right"/>
              <w:textAlignment w:val="bottom"/>
            </w:pPr>
            <w:r>
              <w:rPr>
                <w:rFonts w:ascii="Arial" w:eastAsia="宋体" w:hAnsi="Arial" w:cs="Arial"/>
                <w:color w:val="262626"/>
                <w:sz w:val="18"/>
                <w:szCs w:val="18"/>
              </w:rPr>
              <w:t>415 </w:t>
            </w:r>
          </w:p>
        </w:tc>
        <w:tc>
          <w:tcPr>
            <w:tcW w:w="0" w:type="auto"/>
            <w:shd w:val="clear" w:color="auto" w:fill="auto"/>
            <w:tcMar>
              <w:top w:w="40" w:type="dxa"/>
              <w:left w:w="0" w:type="dxa"/>
              <w:bottom w:w="40" w:type="dxa"/>
              <w:right w:w="20" w:type="dxa"/>
            </w:tcMar>
            <w:vAlign w:val="bottom"/>
          </w:tcPr>
          <w:p w14:paraId="5C7C648D" w14:textId="77777777" w:rsidR="0008009C" w:rsidRDefault="0008009C">
            <w:pPr>
              <w:jc w:val="right"/>
              <w:rPr>
                <w:rFonts w:ascii="宋体"/>
              </w:rPr>
            </w:pPr>
          </w:p>
        </w:tc>
        <w:tc>
          <w:tcPr>
            <w:tcW w:w="0" w:type="auto"/>
            <w:shd w:val="clear" w:color="auto" w:fill="auto"/>
          </w:tcPr>
          <w:p w14:paraId="5C7C648E" w14:textId="77777777" w:rsidR="0008009C" w:rsidRDefault="0008009C">
            <w:pPr>
              <w:rPr>
                <w:rFonts w:ascii="宋体"/>
                <w:vanish/>
              </w:rPr>
            </w:pPr>
          </w:p>
        </w:tc>
        <w:tc>
          <w:tcPr>
            <w:tcW w:w="0" w:type="auto"/>
            <w:shd w:val="clear" w:color="auto" w:fill="auto"/>
          </w:tcPr>
          <w:p w14:paraId="5C7C648F" w14:textId="77777777" w:rsidR="0008009C" w:rsidRDefault="0008009C">
            <w:pPr>
              <w:rPr>
                <w:rFonts w:ascii="宋体"/>
                <w:vanish/>
              </w:rPr>
            </w:pPr>
          </w:p>
        </w:tc>
      </w:tr>
      <w:tr w:rsidR="0008009C" w14:paraId="5C7C64A4" w14:textId="77777777">
        <w:tc>
          <w:tcPr>
            <w:tcW w:w="0" w:type="auto"/>
            <w:gridSpan w:val="3"/>
            <w:shd w:val="clear" w:color="auto" w:fill="auto"/>
            <w:tcMar>
              <w:top w:w="40" w:type="dxa"/>
              <w:left w:w="20" w:type="dxa"/>
              <w:bottom w:w="40" w:type="dxa"/>
              <w:right w:w="20" w:type="dxa"/>
            </w:tcMar>
          </w:tcPr>
          <w:p w14:paraId="5C7C6491" w14:textId="77777777" w:rsidR="0008009C" w:rsidRDefault="00936FDF">
            <w:pPr>
              <w:textAlignment w:val="top"/>
            </w:pPr>
            <w:r>
              <w:rPr>
                <w:rFonts w:ascii="Arial" w:eastAsia="宋体" w:hAnsi="Arial" w:cs="Arial"/>
                <w:color w:val="262626"/>
                <w:sz w:val="18"/>
                <w:szCs w:val="18"/>
              </w:rPr>
              <w:t>Other long-term assets:</w:t>
            </w:r>
          </w:p>
        </w:tc>
        <w:tc>
          <w:tcPr>
            <w:tcW w:w="0" w:type="auto"/>
            <w:gridSpan w:val="3"/>
            <w:shd w:val="clear" w:color="auto" w:fill="auto"/>
            <w:tcMar>
              <w:top w:w="0" w:type="dxa"/>
              <w:left w:w="20" w:type="dxa"/>
              <w:bottom w:w="0" w:type="dxa"/>
              <w:right w:w="20" w:type="dxa"/>
            </w:tcMar>
          </w:tcPr>
          <w:p w14:paraId="5C7C649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9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9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9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9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9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9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9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9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9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9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9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9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9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A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4A1" w14:textId="77777777" w:rsidR="0008009C" w:rsidRDefault="0008009C">
            <w:pPr>
              <w:rPr>
                <w:rFonts w:ascii="宋体"/>
              </w:rPr>
            </w:pPr>
          </w:p>
        </w:tc>
        <w:tc>
          <w:tcPr>
            <w:tcW w:w="0" w:type="auto"/>
            <w:shd w:val="clear" w:color="auto" w:fill="auto"/>
          </w:tcPr>
          <w:p w14:paraId="5C7C64A2" w14:textId="77777777" w:rsidR="0008009C" w:rsidRDefault="0008009C">
            <w:pPr>
              <w:rPr>
                <w:rFonts w:ascii="宋体"/>
                <w:vanish/>
              </w:rPr>
            </w:pPr>
          </w:p>
        </w:tc>
        <w:tc>
          <w:tcPr>
            <w:tcW w:w="0" w:type="auto"/>
            <w:shd w:val="clear" w:color="auto" w:fill="auto"/>
          </w:tcPr>
          <w:p w14:paraId="5C7C64A3" w14:textId="77777777" w:rsidR="0008009C" w:rsidRDefault="0008009C">
            <w:pPr>
              <w:rPr>
                <w:rFonts w:ascii="宋体"/>
                <w:vanish/>
              </w:rPr>
            </w:pPr>
          </w:p>
        </w:tc>
      </w:tr>
      <w:tr w:rsidR="0008009C" w14:paraId="5C7C64C0" w14:textId="77777777">
        <w:tc>
          <w:tcPr>
            <w:tcW w:w="0" w:type="auto"/>
            <w:gridSpan w:val="3"/>
            <w:shd w:val="clear" w:color="auto" w:fill="auto"/>
            <w:tcMar>
              <w:top w:w="40" w:type="dxa"/>
              <w:left w:w="155" w:type="dxa"/>
              <w:bottom w:w="40" w:type="dxa"/>
              <w:right w:w="20" w:type="dxa"/>
            </w:tcMar>
          </w:tcPr>
          <w:p w14:paraId="5C7C64A5" w14:textId="77777777" w:rsidR="0008009C" w:rsidRDefault="00936FDF">
            <w:pPr>
              <w:textAlignment w:val="top"/>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tcPr>
          <w:p w14:paraId="5C7C64A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A7"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4A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A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AA" w14:textId="77777777" w:rsidR="0008009C" w:rsidRDefault="00936FDF">
            <w:pPr>
              <w:jc w:val="right"/>
              <w:textAlignment w:val="bottom"/>
            </w:pPr>
            <w:r>
              <w:rPr>
                <w:rFonts w:ascii="Arial" w:eastAsia="宋体" w:hAnsi="Arial" w:cs="Arial"/>
                <w:color w:val="0068B5"/>
                <w:sz w:val="18"/>
                <w:szCs w:val="18"/>
              </w:rPr>
              <w:t>1,004 </w:t>
            </w:r>
          </w:p>
        </w:tc>
        <w:tc>
          <w:tcPr>
            <w:tcW w:w="0" w:type="auto"/>
            <w:shd w:val="clear" w:color="auto" w:fill="auto"/>
            <w:tcMar>
              <w:top w:w="40" w:type="dxa"/>
              <w:left w:w="0" w:type="dxa"/>
              <w:bottom w:w="40" w:type="dxa"/>
              <w:right w:w="20" w:type="dxa"/>
            </w:tcMar>
            <w:vAlign w:val="bottom"/>
          </w:tcPr>
          <w:p w14:paraId="5C7C64A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A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AD" w14:textId="77777777" w:rsidR="0008009C" w:rsidRDefault="00936FDF">
            <w:pPr>
              <w:jc w:val="right"/>
              <w:textAlignment w:val="bottom"/>
            </w:pPr>
            <w:r>
              <w:rPr>
                <w:rFonts w:ascii="Arial" w:eastAsia="宋体" w:hAnsi="Arial" w:cs="Arial"/>
                <w:color w:val="0068B5"/>
                <w:sz w:val="18"/>
                <w:szCs w:val="18"/>
              </w:rPr>
              <w:t>14 </w:t>
            </w:r>
          </w:p>
        </w:tc>
        <w:tc>
          <w:tcPr>
            <w:tcW w:w="0" w:type="auto"/>
            <w:shd w:val="clear" w:color="auto" w:fill="auto"/>
            <w:tcMar>
              <w:top w:w="40" w:type="dxa"/>
              <w:left w:w="0" w:type="dxa"/>
              <w:bottom w:w="40" w:type="dxa"/>
              <w:right w:w="20" w:type="dxa"/>
            </w:tcMar>
            <w:vAlign w:val="bottom"/>
          </w:tcPr>
          <w:p w14:paraId="5C7C64A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A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B0" w14:textId="77777777" w:rsidR="0008009C" w:rsidRDefault="00936FDF">
            <w:pPr>
              <w:jc w:val="right"/>
              <w:textAlignment w:val="bottom"/>
            </w:pPr>
            <w:r>
              <w:rPr>
                <w:rFonts w:ascii="Arial" w:eastAsia="宋体" w:hAnsi="Arial" w:cs="Arial"/>
                <w:color w:val="0068B5"/>
                <w:sz w:val="18"/>
                <w:szCs w:val="18"/>
              </w:rPr>
              <w:t>1,018 </w:t>
            </w:r>
          </w:p>
        </w:tc>
        <w:tc>
          <w:tcPr>
            <w:tcW w:w="0" w:type="auto"/>
            <w:shd w:val="clear" w:color="auto" w:fill="auto"/>
            <w:tcMar>
              <w:top w:w="40" w:type="dxa"/>
              <w:left w:w="0" w:type="dxa"/>
              <w:bottom w:w="40" w:type="dxa"/>
              <w:right w:w="20" w:type="dxa"/>
            </w:tcMar>
            <w:vAlign w:val="bottom"/>
          </w:tcPr>
          <w:p w14:paraId="5C7C64B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B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B3"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4B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B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B6" w14:textId="77777777" w:rsidR="0008009C" w:rsidRDefault="00936FDF">
            <w:pPr>
              <w:jc w:val="right"/>
              <w:textAlignment w:val="bottom"/>
            </w:pPr>
            <w:r>
              <w:rPr>
                <w:rFonts w:ascii="Arial" w:eastAsia="宋体" w:hAnsi="Arial" w:cs="Arial"/>
                <w:color w:val="262626"/>
                <w:sz w:val="18"/>
                <w:szCs w:val="18"/>
              </w:rPr>
              <w:t>1,520 </w:t>
            </w:r>
          </w:p>
        </w:tc>
        <w:tc>
          <w:tcPr>
            <w:tcW w:w="0" w:type="auto"/>
            <w:shd w:val="clear" w:color="auto" w:fill="auto"/>
            <w:tcMar>
              <w:top w:w="40" w:type="dxa"/>
              <w:left w:w="0" w:type="dxa"/>
              <w:bottom w:w="40" w:type="dxa"/>
              <w:right w:w="20" w:type="dxa"/>
            </w:tcMar>
            <w:vAlign w:val="bottom"/>
          </w:tcPr>
          <w:p w14:paraId="5C7C64B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B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B9" w14:textId="77777777" w:rsidR="0008009C" w:rsidRDefault="00936FDF">
            <w:pPr>
              <w:jc w:val="right"/>
              <w:textAlignment w:val="bottom"/>
            </w:pPr>
            <w:r>
              <w:rPr>
                <w:rFonts w:ascii="Arial" w:eastAsia="宋体" w:hAnsi="Arial" w:cs="Arial"/>
                <w:color w:val="262626"/>
                <w:sz w:val="18"/>
                <w:szCs w:val="18"/>
              </w:rPr>
              <w:t>30 </w:t>
            </w:r>
          </w:p>
        </w:tc>
        <w:tc>
          <w:tcPr>
            <w:tcW w:w="0" w:type="auto"/>
            <w:shd w:val="clear" w:color="auto" w:fill="auto"/>
            <w:tcMar>
              <w:top w:w="40" w:type="dxa"/>
              <w:left w:w="0" w:type="dxa"/>
              <w:bottom w:w="40" w:type="dxa"/>
              <w:right w:w="20" w:type="dxa"/>
            </w:tcMar>
            <w:vAlign w:val="bottom"/>
          </w:tcPr>
          <w:p w14:paraId="5C7C64B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B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BC" w14:textId="77777777" w:rsidR="0008009C" w:rsidRDefault="00936FDF">
            <w:pPr>
              <w:jc w:val="right"/>
              <w:textAlignment w:val="bottom"/>
            </w:pPr>
            <w:r>
              <w:rPr>
                <w:rFonts w:ascii="Arial" w:eastAsia="宋体" w:hAnsi="Arial" w:cs="Arial"/>
                <w:color w:val="262626"/>
                <w:sz w:val="18"/>
                <w:szCs w:val="18"/>
              </w:rPr>
              <w:t>1,550 </w:t>
            </w:r>
          </w:p>
        </w:tc>
        <w:tc>
          <w:tcPr>
            <w:tcW w:w="0" w:type="auto"/>
            <w:shd w:val="clear" w:color="auto" w:fill="auto"/>
            <w:tcMar>
              <w:top w:w="40" w:type="dxa"/>
              <w:left w:w="0" w:type="dxa"/>
              <w:bottom w:w="40" w:type="dxa"/>
              <w:right w:w="20" w:type="dxa"/>
            </w:tcMar>
            <w:vAlign w:val="bottom"/>
          </w:tcPr>
          <w:p w14:paraId="5C7C64BD" w14:textId="77777777" w:rsidR="0008009C" w:rsidRDefault="0008009C">
            <w:pPr>
              <w:jc w:val="right"/>
              <w:rPr>
                <w:rFonts w:ascii="宋体"/>
              </w:rPr>
            </w:pPr>
          </w:p>
        </w:tc>
        <w:tc>
          <w:tcPr>
            <w:tcW w:w="0" w:type="auto"/>
            <w:shd w:val="clear" w:color="auto" w:fill="auto"/>
          </w:tcPr>
          <w:p w14:paraId="5C7C64BE" w14:textId="77777777" w:rsidR="0008009C" w:rsidRDefault="0008009C">
            <w:pPr>
              <w:rPr>
                <w:rFonts w:ascii="宋体"/>
                <w:vanish/>
              </w:rPr>
            </w:pPr>
          </w:p>
        </w:tc>
        <w:tc>
          <w:tcPr>
            <w:tcW w:w="0" w:type="auto"/>
            <w:shd w:val="clear" w:color="auto" w:fill="auto"/>
          </w:tcPr>
          <w:p w14:paraId="5C7C64BF" w14:textId="77777777" w:rsidR="0008009C" w:rsidRDefault="0008009C">
            <w:pPr>
              <w:rPr>
                <w:rFonts w:ascii="宋体"/>
                <w:vanish/>
              </w:rPr>
            </w:pPr>
          </w:p>
        </w:tc>
      </w:tr>
      <w:tr w:rsidR="0008009C" w14:paraId="5C7C64DA" w14:textId="77777777">
        <w:tc>
          <w:tcPr>
            <w:tcW w:w="0" w:type="auto"/>
            <w:gridSpan w:val="3"/>
            <w:shd w:val="clear" w:color="auto" w:fill="auto"/>
            <w:tcMar>
              <w:top w:w="40" w:type="dxa"/>
              <w:left w:w="155" w:type="dxa"/>
              <w:bottom w:w="40" w:type="dxa"/>
              <w:right w:w="20" w:type="dxa"/>
            </w:tcMar>
          </w:tcPr>
          <w:p w14:paraId="5C7C64C1" w14:textId="77777777" w:rsidR="0008009C" w:rsidRDefault="00936FDF">
            <w:pPr>
              <w:textAlignment w:val="top"/>
            </w:pPr>
            <w:r>
              <w:rPr>
                <w:rFonts w:ascii="Arial" w:eastAsia="宋体" w:hAnsi="Arial" w:cs="Arial"/>
                <w:color w:val="262626"/>
                <w:sz w:val="18"/>
                <w:szCs w:val="18"/>
              </w:rPr>
              <w:t>Loans receivable³</w:t>
            </w:r>
          </w:p>
        </w:tc>
        <w:tc>
          <w:tcPr>
            <w:tcW w:w="0" w:type="auto"/>
            <w:gridSpan w:val="3"/>
            <w:shd w:val="clear" w:color="auto" w:fill="auto"/>
            <w:tcMar>
              <w:top w:w="0" w:type="dxa"/>
              <w:left w:w="20" w:type="dxa"/>
              <w:bottom w:w="0" w:type="dxa"/>
              <w:right w:w="20" w:type="dxa"/>
            </w:tcMar>
          </w:tcPr>
          <w:p w14:paraId="5C7C64C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C3"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4C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C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C6"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4C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C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C9"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4C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C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CC"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4C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CE"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4CF" w14:textId="77777777" w:rsidR="0008009C" w:rsidRDefault="00936FDF">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5C7C64D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D1" w14:textId="77777777" w:rsidR="0008009C" w:rsidRDefault="00936FDF">
            <w:pPr>
              <w:jc w:val="right"/>
              <w:textAlignment w:val="bottom"/>
            </w:pPr>
            <w:r>
              <w:rPr>
                <w:rFonts w:ascii="Arial" w:eastAsia="宋体" w:hAnsi="Arial" w:cs="Arial"/>
                <w:color w:val="262626"/>
                <w:sz w:val="18"/>
                <w:szCs w:val="18"/>
              </w:rPr>
              <w:t>157 </w:t>
            </w:r>
          </w:p>
        </w:tc>
        <w:tc>
          <w:tcPr>
            <w:tcW w:w="0" w:type="auto"/>
            <w:shd w:val="clear" w:color="auto" w:fill="auto"/>
            <w:tcMar>
              <w:top w:w="40" w:type="dxa"/>
              <w:left w:w="0" w:type="dxa"/>
              <w:bottom w:w="40" w:type="dxa"/>
              <w:right w:w="20" w:type="dxa"/>
            </w:tcMar>
            <w:vAlign w:val="bottom"/>
          </w:tcPr>
          <w:p w14:paraId="5C7C64D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D3"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4D4" w14:textId="77777777" w:rsidR="0008009C" w:rsidRDefault="00936FDF">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5C7C64D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4D6" w14:textId="77777777" w:rsidR="0008009C" w:rsidRDefault="00936FDF">
            <w:pPr>
              <w:jc w:val="right"/>
              <w:textAlignment w:val="bottom"/>
            </w:pPr>
            <w:r>
              <w:rPr>
                <w:rFonts w:ascii="Arial" w:eastAsia="宋体" w:hAnsi="Arial" w:cs="Arial"/>
                <w:color w:val="262626"/>
                <w:sz w:val="18"/>
                <w:szCs w:val="18"/>
              </w:rPr>
              <w:t>157 </w:t>
            </w:r>
          </w:p>
        </w:tc>
        <w:tc>
          <w:tcPr>
            <w:tcW w:w="0" w:type="auto"/>
            <w:shd w:val="clear" w:color="auto" w:fill="auto"/>
            <w:tcMar>
              <w:top w:w="40" w:type="dxa"/>
              <w:left w:w="0" w:type="dxa"/>
              <w:bottom w:w="40" w:type="dxa"/>
              <w:right w:w="20" w:type="dxa"/>
            </w:tcMar>
            <w:vAlign w:val="bottom"/>
          </w:tcPr>
          <w:p w14:paraId="5C7C64D7" w14:textId="77777777" w:rsidR="0008009C" w:rsidRDefault="0008009C">
            <w:pPr>
              <w:jc w:val="right"/>
              <w:rPr>
                <w:rFonts w:ascii="宋体"/>
              </w:rPr>
            </w:pPr>
          </w:p>
        </w:tc>
        <w:tc>
          <w:tcPr>
            <w:tcW w:w="0" w:type="auto"/>
            <w:shd w:val="clear" w:color="auto" w:fill="auto"/>
          </w:tcPr>
          <w:p w14:paraId="5C7C64D8" w14:textId="77777777" w:rsidR="0008009C" w:rsidRDefault="0008009C">
            <w:pPr>
              <w:rPr>
                <w:rFonts w:ascii="宋体"/>
                <w:vanish/>
              </w:rPr>
            </w:pPr>
          </w:p>
        </w:tc>
        <w:tc>
          <w:tcPr>
            <w:tcW w:w="0" w:type="auto"/>
            <w:shd w:val="clear" w:color="auto" w:fill="auto"/>
          </w:tcPr>
          <w:p w14:paraId="5C7C64D9" w14:textId="77777777" w:rsidR="0008009C" w:rsidRDefault="0008009C">
            <w:pPr>
              <w:rPr>
                <w:rFonts w:ascii="宋体"/>
                <w:vanish/>
              </w:rPr>
            </w:pPr>
          </w:p>
        </w:tc>
      </w:tr>
      <w:tr w:rsidR="0008009C" w14:paraId="5C7C64FE" w14:textId="77777777">
        <w:tc>
          <w:tcPr>
            <w:tcW w:w="0" w:type="auto"/>
            <w:gridSpan w:val="3"/>
            <w:shd w:val="clear" w:color="auto" w:fill="auto"/>
            <w:tcMar>
              <w:top w:w="40" w:type="dxa"/>
              <w:left w:w="20" w:type="dxa"/>
              <w:bottom w:w="40" w:type="dxa"/>
              <w:right w:w="20" w:type="dxa"/>
            </w:tcMar>
          </w:tcPr>
          <w:p w14:paraId="5C7C64DB" w14:textId="77777777" w:rsidR="0008009C" w:rsidRDefault="00936FDF">
            <w:pPr>
              <w:textAlignment w:val="top"/>
            </w:pPr>
            <w:r>
              <w:rPr>
                <w:rFonts w:ascii="Arial" w:eastAsia="宋体" w:hAnsi="Arial" w:cs="Arial"/>
                <w:b/>
                <w:bCs/>
                <w:color w:val="262626"/>
                <w:sz w:val="18"/>
                <w:szCs w:val="18"/>
              </w:rPr>
              <w:t>Total assets measured and recorded at fair value</w:t>
            </w:r>
          </w:p>
        </w:tc>
        <w:tc>
          <w:tcPr>
            <w:tcW w:w="0" w:type="auto"/>
            <w:gridSpan w:val="3"/>
            <w:shd w:val="clear" w:color="auto" w:fill="auto"/>
            <w:tcMar>
              <w:top w:w="0" w:type="dxa"/>
              <w:left w:w="20" w:type="dxa"/>
              <w:bottom w:w="0" w:type="dxa"/>
              <w:right w:w="20" w:type="dxa"/>
            </w:tcMar>
          </w:tcPr>
          <w:p w14:paraId="5C7C64DC"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64DD"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64DE" w14:textId="77777777" w:rsidR="0008009C" w:rsidRDefault="00936FDF">
            <w:pPr>
              <w:jc w:val="right"/>
              <w:textAlignment w:val="bottom"/>
            </w:pPr>
            <w:r>
              <w:rPr>
                <w:rFonts w:ascii="Arial" w:eastAsia="宋体" w:hAnsi="Arial" w:cs="Arial"/>
                <w:b/>
                <w:bCs/>
                <w:color w:val="0068B5"/>
                <w:sz w:val="18"/>
                <w:szCs w:val="18"/>
              </w:rPr>
              <w:t>2,412</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4D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E0"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64E1"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64E2" w14:textId="77777777" w:rsidR="0008009C" w:rsidRDefault="00936FDF">
            <w:pPr>
              <w:jc w:val="right"/>
              <w:textAlignment w:val="bottom"/>
            </w:pPr>
            <w:r>
              <w:rPr>
                <w:rFonts w:ascii="Arial" w:eastAsia="宋体" w:hAnsi="Arial" w:cs="Arial"/>
                <w:b/>
                <w:bCs/>
                <w:color w:val="0068B5"/>
                <w:sz w:val="18"/>
                <w:szCs w:val="18"/>
              </w:rPr>
              <w:t>24,045</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4E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E4"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64E5"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64E6" w14:textId="77777777" w:rsidR="0008009C" w:rsidRDefault="00936FDF">
            <w:pPr>
              <w:jc w:val="right"/>
              <w:textAlignment w:val="bottom"/>
            </w:pPr>
            <w:r>
              <w:rPr>
                <w:rFonts w:ascii="Arial" w:eastAsia="宋体" w:hAnsi="Arial" w:cs="Arial"/>
                <w:b/>
                <w:bCs/>
                <w:color w:val="0068B5"/>
                <w:sz w:val="18"/>
                <w:szCs w:val="18"/>
              </w:rPr>
              <w:t>14</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4E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E8"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64E9"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64EA" w14:textId="77777777" w:rsidR="0008009C" w:rsidRDefault="00936FDF">
            <w:pPr>
              <w:jc w:val="right"/>
              <w:textAlignment w:val="bottom"/>
            </w:pPr>
            <w:r>
              <w:rPr>
                <w:rFonts w:ascii="Arial" w:eastAsia="宋体" w:hAnsi="Arial" w:cs="Arial"/>
                <w:b/>
                <w:bCs/>
                <w:color w:val="0068B5"/>
                <w:sz w:val="18"/>
                <w:szCs w:val="18"/>
              </w:rPr>
              <w:t>26,471</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4E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EC"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64ED"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64EE" w14:textId="77777777" w:rsidR="0008009C" w:rsidRDefault="00936FDF">
            <w:pPr>
              <w:jc w:val="right"/>
              <w:textAlignment w:val="bottom"/>
            </w:pPr>
            <w:r>
              <w:rPr>
                <w:rFonts w:ascii="Arial" w:eastAsia="宋体" w:hAnsi="Arial" w:cs="Arial"/>
                <w:b/>
                <w:bCs/>
                <w:color w:val="262626"/>
                <w:sz w:val="18"/>
                <w:szCs w:val="18"/>
              </w:rPr>
              <w:t>3,096</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4E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F0"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64F1"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64F2" w14:textId="77777777" w:rsidR="0008009C" w:rsidRDefault="00936FDF">
            <w:pPr>
              <w:jc w:val="right"/>
              <w:textAlignment w:val="bottom"/>
            </w:pPr>
            <w:r>
              <w:rPr>
                <w:rFonts w:ascii="Arial" w:eastAsia="宋体" w:hAnsi="Arial" w:cs="Arial"/>
                <w:b/>
                <w:bCs/>
                <w:color w:val="262626"/>
                <w:sz w:val="18"/>
                <w:szCs w:val="18"/>
              </w:rPr>
              <w:t>27,131</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4F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F4"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64F5"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64F6" w14:textId="77777777" w:rsidR="0008009C" w:rsidRDefault="00936FDF">
            <w:pPr>
              <w:jc w:val="right"/>
              <w:textAlignment w:val="bottom"/>
            </w:pPr>
            <w:r>
              <w:rPr>
                <w:rFonts w:ascii="Arial" w:eastAsia="宋体" w:hAnsi="Arial" w:cs="Arial"/>
                <w:b/>
                <w:bCs/>
                <w:color w:val="262626"/>
                <w:sz w:val="18"/>
                <w:szCs w:val="18"/>
              </w:rPr>
              <w:t>30</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4F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4F8"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64F9"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64FA" w14:textId="77777777" w:rsidR="0008009C" w:rsidRDefault="00936FDF">
            <w:pPr>
              <w:jc w:val="right"/>
              <w:textAlignment w:val="bottom"/>
            </w:pPr>
            <w:r>
              <w:rPr>
                <w:rFonts w:ascii="Arial" w:eastAsia="宋体" w:hAnsi="Arial" w:cs="Arial"/>
                <w:b/>
                <w:bCs/>
                <w:color w:val="262626"/>
                <w:sz w:val="18"/>
                <w:szCs w:val="18"/>
              </w:rPr>
              <w:t>30,257</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4FB" w14:textId="77777777" w:rsidR="0008009C" w:rsidRDefault="0008009C">
            <w:pPr>
              <w:jc w:val="right"/>
              <w:rPr>
                <w:rFonts w:ascii="宋体"/>
              </w:rPr>
            </w:pPr>
          </w:p>
        </w:tc>
        <w:tc>
          <w:tcPr>
            <w:tcW w:w="0" w:type="auto"/>
            <w:shd w:val="clear" w:color="auto" w:fill="auto"/>
          </w:tcPr>
          <w:p w14:paraId="5C7C64FC" w14:textId="77777777" w:rsidR="0008009C" w:rsidRDefault="0008009C">
            <w:pPr>
              <w:rPr>
                <w:rFonts w:ascii="宋体"/>
                <w:vanish/>
              </w:rPr>
            </w:pPr>
          </w:p>
        </w:tc>
        <w:tc>
          <w:tcPr>
            <w:tcW w:w="0" w:type="auto"/>
            <w:shd w:val="clear" w:color="auto" w:fill="auto"/>
          </w:tcPr>
          <w:p w14:paraId="5C7C64FD" w14:textId="77777777" w:rsidR="0008009C" w:rsidRDefault="0008009C">
            <w:pPr>
              <w:rPr>
                <w:rFonts w:ascii="宋体"/>
                <w:vanish/>
              </w:rPr>
            </w:pPr>
          </w:p>
        </w:tc>
      </w:tr>
      <w:tr w:rsidR="0008009C" w14:paraId="5C7C6512" w14:textId="77777777">
        <w:tc>
          <w:tcPr>
            <w:tcW w:w="0" w:type="auto"/>
            <w:gridSpan w:val="3"/>
            <w:shd w:val="clear" w:color="auto" w:fill="auto"/>
            <w:tcMar>
              <w:top w:w="40" w:type="dxa"/>
              <w:left w:w="20" w:type="dxa"/>
              <w:bottom w:w="40" w:type="dxa"/>
              <w:right w:w="20" w:type="dxa"/>
            </w:tcMar>
          </w:tcPr>
          <w:p w14:paraId="5C7C64FF" w14:textId="77777777" w:rsidR="0008009C" w:rsidRDefault="00936FDF">
            <w:pPr>
              <w:textAlignment w:val="top"/>
            </w:pPr>
            <w:r>
              <w:rPr>
                <w:rFonts w:ascii="Arial" w:eastAsia="宋体" w:hAnsi="Arial" w:cs="Arial"/>
                <w:b/>
                <w:bCs/>
                <w:color w:val="262626"/>
                <w:sz w:val="18"/>
                <w:szCs w:val="18"/>
              </w:rPr>
              <w:t>Liabilities</w:t>
            </w:r>
          </w:p>
        </w:tc>
        <w:tc>
          <w:tcPr>
            <w:tcW w:w="0" w:type="auto"/>
            <w:gridSpan w:val="3"/>
            <w:shd w:val="clear" w:color="auto" w:fill="auto"/>
            <w:tcMar>
              <w:top w:w="0" w:type="dxa"/>
              <w:left w:w="20" w:type="dxa"/>
              <w:bottom w:w="0" w:type="dxa"/>
              <w:right w:w="20" w:type="dxa"/>
            </w:tcMar>
          </w:tcPr>
          <w:p w14:paraId="5C7C6500"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50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02"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50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04"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50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06"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50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08"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50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0A"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50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0C"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50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0E"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50F" w14:textId="77777777" w:rsidR="0008009C" w:rsidRDefault="0008009C">
            <w:pPr>
              <w:rPr>
                <w:rFonts w:ascii="宋体"/>
              </w:rPr>
            </w:pPr>
          </w:p>
        </w:tc>
        <w:tc>
          <w:tcPr>
            <w:tcW w:w="0" w:type="auto"/>
            <w:shd w:val="clear" w:color="auto" w:fill="auto"/>
          </w:tcPr>
          <w:p w14:paraId="5C7C6510" w14:textId="77777777" w:rsidR="0008009C" w:rsidRDefault="0008009C">
            <w:pPr>
              <w:rPr>
                <w:rFonts w:ascii="宋体"/>
                <w:vanish/>
              </w:rPr>
            </w:pPr>
          </w:p>
        </w:tc>
        <w:tc>
          <w:tcPr>
            <w:tcW w:w="0" w:type="auto"/>
            <w:shd w:val="clear" w:color="auto" w:fill="auto"/>
          </w:tcPr>
          <w:p w14:paraId="5C7C6511" w14:textId="77777777" w:rsidR="0008009C" w:rsidRDefault="0008009C">
            <w:pPr>
              <w:rPr>
                <w:rFonts w:ascii="宋体"/>
                <w:vanish/>
              </w:rPr>
            </w:pPr>
          </w:p>
        </w:tc>
      </w:tr>
      <w:tr w:rsidR="0008009C" w14:paraId="5C7C6526" w14:textId="77777777">
        <w:tc>
          <w:tcPr>
            <w:tcW w:w="0" w:type="auto"/>
            <w:gridSpan w:val="3"/>
            <w:shd w:val="clear" w:color="auto" w:fill="auto"/>
            <w:tcMar>
              <w:top w:w="40" w:type="dxa"/>
              <w:left w:w="20" w:type="dxa"/>
              <w:bottom w:w="40" w:type="dxa"/>
              <w:right w:w="20" w:type="dxa"/>
            </w:tcMar>
          </w:tcPr>
          <w:p w14:paraId="5C7C6513" w14:textId="77777777" w:rsidR="0008009C" w:rsidRDefault="00936FDF">
            <w:pPr>
              <w:textAlignment w:val="top"/>
            </w:pPr>
            <w:r>
              <w:rPr>
                <w:rFonts w:ascii="Arial" w:eastAsia="宋体" w:hAnsi="Arial" w:cs="Arial"/>
                <w:color w:val="262626"/>
                <w:sz w:val="18"/>
                <w:szCs w:val="18"/>
              </w:rPr>
              <w:t>Other accrued liabilities:</w:t>
            </w:r>
          </w:p>
        </w:tc>
        <w:tc>
          <w:tcPr>
            <w:tcW w:w="0" w:type="auto"/>
            <w:gridSpan w:val="3"/>
            <w:shd w:val="clear" w:color="auto" w:fill="auto"/>
            <w:tcMar>
              <w:top w:w="0" w:type="dxa"/>
              <w:left w:w="20" w:type="dxa"/>
              <w:bottom w:w="0" w:type="dxa"/>
              <w:right w:w="20" w:type="dxa"/>
            </w:tcMar>
          </w:tcPr>
          <w:p w14:paraId="5C7C651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1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1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1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1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1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1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1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1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1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1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1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2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2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2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23" w14:textId="77777777" w:rsidR="0008009C" w:rsidRDefault="0008009C">
            <w:pPr>
              <w:rPr>
                <w:rFonts w:ascii="宋体"/>
              </w:rPr>
            </w:pPr>
          </w:p>
        </w:tc>
        <w:tc>
          <w:tcPr>
            <w:tcW w:w="0" w:type="auto"/>
            <w:shd w:val="clear" w:color="auto" w:fill="auto"/>
          </w:tcPr>
          <w:p w14:paraId="5C7C6524" w14:textId="77777777" w:rsidR="0008009C" w:rsidRDefault="0008009C">
            <w:pPr>
              <w:rPr>
                <w:rFonts w:ascii="宋体"/>
                <w:vanish/>
              </w:rPr>
            </w:pPr>
          </w:p>
        </w:tc>
        <w:tc>
          <w:tcPr>
            <w:tcW w:w="0" w:type="auto"/>
            <w:shd w:val="clear" w:color="auto" w:fill="auto"/>
          </w:tcPr>
          <w:p w14:paraId="5C7C6525" w14:textId="77777777" w:rsidR="0008009C" w:rsidRDefault="0008009C">
            <w:pPr>
              <w:rPr>
                <w:rFonts w:ascii="宋体"/>
                <w:vanish/>
              </w:rPr>
            </w:pPr>
          </w:p>
        </w:tc>
      </w:tr>
      <w:tr w:rsidR="0008009C" w14:paraId="5C7C654A" w14:textId="77777777">
        <w:tc>
          <w:tcPr>
            <w:tcW w:w="0" w:type="auto"/>
            <w:gridSpan w:val="3"/>
            <w:shd w:val="clear" w:color="auto" w:fill="auto"/>
            <w:tcMar>
              <w:top w:w="40" w:type="dxa"/>
              <w:left w:w="155" w:type="dxa"/>
              <w:bottom w:w="40" w:type="dxa"/>
              <w:right w:w="20" w:type="dxa"/>
            </w:tcMar>
          </w:tcPr>
          <w:p w14:paraId="5C7C6527" w14:textId="77777777" w:rsidR="0008009C" w:rsidRDefault="00936FDF">
            <w:pPr>
              <w:textAlignment w:val="top"/>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tcPr>
          <w:p w14:paraId="5C7C6528"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529"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652A" w14:textId="77777777" w:rsidR="0008009C" w:rsidRDefault="00936FDF">
            <w:pPr>
              <w:jc w:val="right"/>
              <w:textAlignment w:val="bottom"/>
            </w:pPr>
            <w:r>
              <w:rPr>
                <w:rFonts w:ascii="Arial" w:eastAsia="宋体" w:hAnsi="Arial" w:cs="Arial"/>
                <w:color w:val="0068B5"/>
                <w:sz w:val="18"/>
                <w:szCs w:val="18"/>
              </w:rPr>
              <w:t>6 </w:t>
            </w:r>
          </w:p>
        </w:tc>
        <w:tc>
          <w:tcPr>
            <w:tcW w:w="0" w:type="auto"/>
            <w:shd w:val="clear" w:color="auto" w:fill="auto"/>
            <w:tcMar>
              <w:top w:w="40" w:type="dxa"/>
              <w:left w:w="0" w:type="dxa"/>
              <w:bottom w:w="40" w:type="dxa"/>
              <w:right w:w="20" w:type="dxa"/>
            </w:tcMar>
            <w:vAlign w:val="bottom"/>
          </w:tcPr>
          <w:p w14:paraId="5C7C652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2C"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52D"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652E" w14:textId="77777777" w:rsidR="0008009C" w:rsidRDefault="00936FDF">
            <w:pPr>
              <w:jc w:val="right"/>
              <w:textAlignment w:val="bottom"/>
            </w:pPr>
            <w:r>
              <w:rPr>
                <w:rFonts w:ascii="Arial" w:eastAsia="宋体" w:hAnsi="Arial" w:cs="Arial"/>
                <w:color w:val="0068B5"/>
                <w:sz w:val="18"/>
                <w:szCs w:val="18"/>
              </w:rPr>
              <w:t>603 </w:t>
            </w:r>
          </w:p>
        </w:tc>
        <w:tc>
          <w:tcPr>
            <w:tcW w:w="0" w:type="auto"/>
            <w:shd w:val="clear" w:color="auto" w:fill="auto"/>
            <w:tcMar>
              <w:top w:w="40" w:type="dxa"/>
              <w:left w:w="0" w:type="dxa"/>
              <w:bottom w:w="40" w:type="dxa"/>
              <w:right w:w="20" w:type="dxa"/>
            </w:tcMar>
            <w:vAlign w:val="bottom"/>
          </w:tcPr>
          <w:p w14:paraId="5C7C652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30"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531"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6532"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53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34"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535"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6536" w14:textId="77777777" w:rsidR="0008009C" w:rsidRDefault="00936FDF">
            <w:pPr>
              <w:jc w:val="right"/>
              <w:textAlignment w:val="bottom"/>
            </w:pPr>
            <w:r>
              <w:rPr>
                <w:rFonts w:ascii="Arial" w:eastAsia="宋体" w:hAnsi="Arial" w:cs="Arial"/>
                <w:color w:val="0068B5"/>
                <w:sz w:val="18"/>
                <w:szCs w:val="18"/>
              </w:rPr>
              <w:t>609 </w:t>
            </w:r>
          </w:p>
        </w:tc>
        <w:tc>
          <w:tcPr>
            <w:tcW w:w="0" w:type="auto"/>
            <w:shd w:val="clear" w:color="auto" w:fill="auto"/>
            <w:tcMar>
              <w:top w:w="40" w:type="dxa"/>
              <w:left w:w="0" w:type="dxa"/>
              <w:bottom w:w="40" w:type="dxa"/>
              <w:right w:w="20" w:type="dxa"/>
            </w:tcMar>
            <w:vAlign w:val="bottom"/>
          </w:tcPr>
          <w:p w14:paraId="5C7C653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38"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539"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653A"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53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3C"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53D"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653E" w14:textId="77777777" w:rsidR="0008009C" w:rsidRDefault="00936FDF">
            <w:pPr>
              <w:jc w:val="right"/>
              <w:textAlignment w:val="bottom"/>
            </w:pPr>
            <w:r>
              <w:rPr>
                <w:rFonts w:ascii="Arial" w:eastAsia="宋体" w:hAnsi="Arial" w:cs="Arial"/>
                <w:color w:val="262626"/>
                <w:sz w:val="18"/>
                <w:szCs w:val="18"/>
              </w:rPr>
              <w:t>810 </w:t>
            </w:r>
          </w:p>
        </w:tc>
        <w:tc>
          <w:tcPr>
            <w:tcW w:w="0" w:type="auto"/>
            <w:shd w:val="clear" w:color="auto" w:fill="auto"/>
            <w:tcMar>
              <w:top w:w="40" w:type="dxa"/>
              <w:left w:w="0" w:type="dxa"/>
              <w:bottom w:w="40" w:type="dxa"/>
              <w:right w:w="20" w:type="dxa"/>
            </w:tcMar>
            <w:vAlign w:val="bottom"/>
          </w:tcPr>
          <w:p w14:paraId="5C7C653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40"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541"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6542"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54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44"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545"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6546" w14:textId="77777777" w:rsidR="0008009C" w:rsidRDefault="00936FDF">
            <w:pPr>
              <w:jc w:val="right"/>
              <w:textAlignment w:val="bottom"/>
            </w:pPr>
            <w:r>
              <w:rPr>
                <w:rFonts w:ascii="Arial" w:eastAsia="宋体" w:hAnsi="Arial" w:cs="Arial"/>
                <w:color w:val="262626"/>
                <w:sz w:val="18"/>
                <w:szCs w:val="18"/>
              </w:rPr>
              <w:t>810 </w:t>
            </w:r>
          </w:p>
        </w:tc>
        <w:tc>
          <w:tcPr>
            <w:tcW w:w="0" w:type="auto"/>
            <w:shd w:val="clear" w:color="auto" w:fill="auto"/>
            <w:tcMar>
              <w:top w:w="40" w:type="dxa"/>
              <w:left w:w="0" w:type="dxa"/>
              <w:bottom w:w="40" w:type="dxa"/>
              <w:right w:w="20" w:type="dxa"/>
            </w:tcMar>
            <w:vAlign w:val="bottom"/>
          </w:tcPr>
          <w:p w14:paraId="5C7C6547" w14:textId="77777777" w:rsidR="0008009C" w:rsidRDefault="0008009C">
            <w:pPr>
              <w:jc w:val="right"/>
              <w:rPr>
                <w:rFonts w:ascii="宋体"/>
              </w:rPr>
            </w:pPr>
          </w:p>
        </w:tc>
        <w:tc>
          <w:tcPr>
            <w:tcW w:w="0" w:type="auto"/>
            <w:shd w:val="clear" w:color="auto" w:fill="auto"/>
          </w:tcPr>
          <w:p w14:paraId="5C7C6548" w14:textId="77777777" w:rsidR="0008009C" w:rsidRDefault="0008009C">
            <w:pPr>
              <w:rPr>
                <w:rFonts w:ascii="宋体"/>
                <w:vanish/>
              </w:rPr>
            </w:pPr>
          </w:p>
        </w:tc>
        <w:tc>
          <w:tcPr>
            <w:tcW w:w="0" w:type="auto"/>
            <w:shd w:val="clear" w:color="auto" w:fill="auto"/>
          </w:tcPr>
          <w:p w14:paraId="5C7C6549" w14:textId="77777777" w:rsidR="0008009C" w:rsidRDefault="0008009C">
            <w:pPr>
              <w:rPr>
                <w:rFonts w:ascii="宋体"/>
                <w:vanish/>
              </w:rPr>
            </w:pPr>
          </w:p>
        </w:tc>
      </w:tr>
      <w:tr w:rsidR="0008009C" w14:paraId="5C7C655E" w14:textId="77777777">
        <w:trPr>
          <w:hidden/>
        </w:trPr>
        <w:tc>
          <w:tcPr>
            <w:tcW w:w="0" w:type="auto"/>
            <w:gridSpan w:val="3"/>
            <w:shd w:val="clear" w:color="auto" w:fill="auto"/>
          </w:tcPr>
          <w:p w14:paraId="5C7C654B" w14:textId="77777777" w:rsidR="0008009C" w:rsidRDefault="0008009C">
            <w:pPr>
              <w:rPr>
                <w:rFonts w:ascii="宋体"/>
                <w:vanish/>
              </w:rPr>
            </w:pPr>
          </w:p>
        </w:tc>
        <w:tc>
          <w:tcPr>
            <w:tcW w:w="0" w:type="auto"/>
            <w:gridSpan w:val="3"/>
            <w:shd w:val="clear" w:color="auto" w:fill="auto"/>
          </w:tcPr>
          <w:p w14:paraId="5C7C654C" w14:textId="77777777" w:rsidR="0008009C" w:rsidRDefault="0008009C">
            <w:pPr>
              <w:rPr>
                <w:rFonts w:ascii="宋体"/>
                <w:vanish/>
              </w:rPr>
            </w:pPr>
          </w:p>
        </w:tc>
        <w:tc>
          <w:tcPr>
            <w:tcW w:w="0" w:type="auto"/>
            <w:gridSpan w:val="3"/>
            <w:shd w:val="clear" w:color="auto" w:fill="auto"/>
          </w:tcPr>
          <w:p w14:paraId="5C7C654D" w14:textId="77777777" w:rsidR="0008009C" w:rsidRDefault="0008009C">
            <w:pPr>
              <w:rPr>
                <w:rFonts w:ascii="宋体"/>
                <w:vanish/>
              </w:rPr>
            </w:pPr>
          </w:p>
        </w:tc>
        <w:tc>
          <w:tcPr>
            <w:tcW w:w="0" w:type="auto"/>
            <w:gridSpan w:val="3"/>
            <w:shd w:val="clear" w:color="auto" w:fill="auto"/>
          </w:tcPr>
          <w:p w14:paraId="5C7C654E" w14:textId="77777777" w:rsidR="0008009C" w:rsidRDefault="0008009C">
            <w:pPr>
              <w:rPr>
                <w:rFonts w:ascii="宋体"/>
                <w:vanish/>
              </w:rPr>
            </w:pPr>
          </w:p>
        </w:tc>
        <w:tc>
          <w:tcPr>
            <w:tcW w:w="0" w:type="auto"/>
            <w:gridSpan w:val="3"/>
            <w:shd w:val="clear" w:color="auto" w:fill="auto"/>
          </w:tcPr>
          <w:p w14:paraId="5C7C654F" w14:textId="77777777" w:rsidR="0008009C" w:rsidRDefault="0008009C">
            <w:pPr>
              <w:rPr>
                <w:rFonts w:ascii="宋体"/>
                <w:vanish/>
              </w:rPr>
            </w:pPr>
          </w:p>
        </w:tc>
        <w:tc>
          <w:tcPr>
            <w:tcW w:w="0" w:type="auto"/>
            <w:gridSpan w:val="3"/>
            <w:shd w:val="clear" w:color="auto" w:fill="auto"/>
          </w:tcPr>
          <w:p w14:paraId="5C7C6550" w14:textId="77777777" w:rsidR="0008009C" w:rsidRDefault="0008009C">
            <w:pPr>
              <w:rPr>
                <w:rFonts w:ascii="宋体"/>
                <w:vanish/>
              </w:rPr>
            </w:pPr>
          </w:p>
        </w:tc>
        <w:tc>
          <w:tcPr>
            <w:tcW w:w="0" w:type="auto"/>
            <w:gridSpan w:val="3"/>
            <w:shd w:val="clear" w:color="auto" w:fill="auto"/>
          </w:tcPr>
          <w:p w14:paraId="5C7C6551" w14:textId="77777777" w:rsidR="0008009C" w:rsidRDefault="0008009C">
            <w:pPr>
              <w:rPr>
                <w:rFonts w:ascii="宋体"/>
                <w:vanish/>
              </w:rPr>
            </w:pPr>
          </w:p>
        </w:tc>
        <w:tc>
          <w:tcPr>
            <w:tcW w:w="0" w:type="auto"/>
            <w:gridSpan w:val="3"/>
            <w:shd w:val="clear" w:color="auto" w:fill="auto"/>
          </w:tcPr>
          <w:p w14:paraId="5C7C6552" w14:textId="77777777" w:rsidR="0008009C" w:rsidRDefault="0008009C">
            <w:pPr>
              <w:rPr>
                <w:rFonts w:ascii="宋体"/>
                <w:vanish/>
              </w:rPr>
            </w:pPr>
          </w:p>
        </w:tc>
        <w:tc>
          <w:tcPr>
            <w:tcW w:w="0" w:type="auto"/>
            <w:gridSpan w:val="3"/>
            <w:shd w:val="clear" w:color="auto" w:fill="auto"/>
          </w:tcPr>
          <w:p w14:paraId="5C7C6553" w14:textId="77777777" w:rsidR="0008009C" w:rsidRDefault="0008009C">
            <w:pPr>
              <w:rPr>
                <w:rFonts w:ascii="宋体"/>
                <w:vanish/>
              </w:rPr>
            </w:pPr>
          </w:p>
        </w:tc>
        <w:tc>
          <w:tcPr>
            <w:tcW w:w="0" w:type="auto"/>
            <w:gridSpan w:val="3"/>
            <w:shd w:val="clear" w:color="auto" w:fill="auto"/>
          </w:tcPr>
          <w:p w14:paraId="5C7C6554" w14:textId="77777777" w:rsidR="0008009C" w:rsidRDefault="0008009C">
            <w:pPr>
              <w:rPr>
                <w:rFonts w:ascii="宋体"/>
                <w:vanish/>
              </w:rPr>
            </w:pPr>
          </w:p>
        </w:tc>
        <w:tc>
          <w:tcPr>
            <w:tcW w:w="0" w:type="auto"/>
            <w:gridSpan w:val="3"/>
            <w:shd w:val="clear" w:color="auto" w:fill="auto"/>
          </w:tcPr>
          <w:p w14:paraId="5C7C6555" w14:textId="77777777" w:rsidR="0008009C" w:rsidRDefault="0008009C">
            <w:pPr>
              <w:rPr>
                <w:rFonts w:ascii="宋体"/>
                <w:vanish/>
              </w:rPr>
            </w:pPr>
          </w:p>
        </w:tc>
        <w:tc>
          <w:tcPr>
            <w:tcW w:w="0" w:type="auto"/>
            <w:gridSpan w:val="3"/>
            <w:shd w:val="clear" w:color="auto" w:fill="auto"/>
          </w:tcPr>
          <w:p w14:paraId="5C7C6556" w14:textId="77777777" w:rsidR="0008009C" w:rsidRDefault="0008009C">
            <w:pPr>
              <w:rPr>
                <w:rFonts w:ascii="宋体"/>
                <w:vanish/>
              </w:rPr>
            </w:pPr>
          </w:p>
        </w:tc>
        <w:tc>
          <w:tcPr>
            <w:tcW w:w="0" w:type="auto"/>
            <w:gridSpan w:val="3"/>
            <w:shd w:val="clear" w:color="auto" w:fill="auto"/>
          </w:tcPr>
          <w:p w14:paraId="5C7C6557" w14:textId="77777777" w:rsidR="0008009C" w:rsidRDefault="0008009C">
            <w:pPr>
              <w:rPr>
                <w:rFonts w:ascii="宋体"/>
                <w:vanish/>
              </w:rPr>
            </w:pPr>
          </w:p>
        </w:tc>
        <w:tc>
          <w:tcPr>
            <w:tcW w:w="0" w:type="auto"/>
            <w:gridSpan w:val="3"/>
            <w:shd w:val="clear" w:color="auto" w:fill="auto"/>
          </w:tcPr>
          <w:p w14:paraId="5C7C6558" w14:textId="77777777" w:rsidR="0008009C" w:rsidRDefault="0008009C">
            <w:pPr>
              <w:rPr>
                <w:rFonts w:ascii="宋体"/>
                <w:vanish/>
              </w:rPr>
            </w:pPr>
          </w:p>
        </w:tc>
        <w:tc>
          <w:tcPr>
            <w:tcW w:w="0" w:type="auto"/>
            <w:gridSpan w:val="3"/>
            <w:shd w:val="clear" w:color="auto" w:fill="auto"/>
          </w:tcPr>
          <w:p w14:paraId="5C7C6559" w14:textId="77777777" w:rsidR="0008009C" w:rsidRDefault="0008009C">
            <w:pPr>
              <w:rPr>
                <w:rFonts w:ascii="宋体"/>
                <w:vanish/>
              </w:rPr>
            </w:pPr>
          </w:p>
        </w:tc>
        <w:tc>
          <w:tcPr>
            <w:tcW w:w="0" w:type="auto"/>
            <w:gridSpan w:val="3"/>
            <w:shd w:val="clear" w:color="auto" w:fill="auto"/>
          </w:tcPr>
          <w:p w14:paraId="5C7C655A" w14:textId="77777777" w:rsidR="0008009C" w:rsidRDefault="0008009C">
            <w:pPr>
              <w:rPr>
                <w:rFonts w:ascii="宋体"/>
                <w:vanish/>
              </w:rPr>
            </w:pPr>
          </w:p>
        </w:tc>
        <w:tc>
          <w:tcPr>
            <w:tcW w:w="0" w:type="auto"/>
            <w:gridSpan w:val="3"/>
            <w:shd w:val="clear" w:color="auto" w:fill="auto"/>
          </w:tcPr>
          <w:p w14:paraId="5C7C655B" w14:textId="77777777" w:rsidR="0008009C" w:rsidRDefault="0008009C">
            <w:pPr>
              <w:rPr>
                <w:rFonts w:ascii="宋体"/>
                <w:vanish/>
              </w:rPr>
            </w:pPr>
          </w:p>
        </w:tc>
        <w:tc>
          <w:tcPr>
            <w:tcW w:w="0" w:type="auto"/>
            <w:shd w:val="clear" w:color="auto" w:fill="auto"/>
          </w:tcPr>
          <w:p w14:paraId="5C7C655C" w14:textId="77777777" w:rsidR="0008009C" w:rsidRDefault="0008009C">
            <w:pPr>
              <w:rPr>
                <w:rFonts w:ascii="宋体"/>
                <w:vanish/>
              </w:rPr>
            </w:pPr>
          </w:p>
        </w:tc>
        <w:tc>
          <w:tcPr>
            <w:tcW w:w="0" w:type="auto"/>
            <w:shd w:val="clear" w:color="auto" w:fill="auto"/>
          </w:tcPr>
          <w:p w14:paraId="5C7C655D" w14:textId="77777777" w:rsidR="0008009C" w:rsidRDefault="0008009C">
            <w:pPr>
              <w:rPr>
                <w:rFonts w:ascii="宋体"/>
                <w:vanish/>
              </w:rPr>
            </w:pPr>
          </w:p>
        </w:tc>
      </w:tr>
      <w:tr w:rsidR="0008009C" w14:paraId="5C7C6572" w14:textId="77777777">
        <w:tc>
          <w:tcPr>
            <w:tcW w:w="0" w:type="auto"/>
            <w:gridSpan w:val="3"/>
            <w:shd w:val="clear" w:color="auto" w:fill="auto"/>
            <w:tcMar>
              <w:top w:w="40" w:type="dxa"/>
              <w:left w:w="20" w:type="dxa"/>
              <w:bottom w:w="40" w:type="dxa"/>
              <w:right w:w="20" w:type="dxa"/>
            </w:tcMar>
          </w:tcPr>
          <w:p w14:paraId="5C7C655F" w14:textId="77777777" w:rsidR="0008009C" w:rsidRDefault="00936FDF">
            <w:pPr>
              <w:textAlignment w:val="top"/>
            </w:pPr>
            <w:r>
              <w:rPr>
                <w:rFonts w:ascii="Arial" w:eastAsia="宋体" w:hAnsi="Arial" w:cs="Arial"/>
                <w:color w:val="262626"/>
                <w:sz w:val="18"/>
                <w:szCs w:val="18"/>
              </w:rPr>
              <w:t>Other long-term liabilities:</w:t>
            </w:r>
          </w:p>
        </w:tc>
        <w:tc>
          <w:tcPr>
            <w:tcW w:w="0" w:type="auto"/>
            <w:gridSpan w:val="3"/>
            <w:shd w:val="clear" w:color="auto" w:fill="auto"/>
            <w:tcMar>
              <w:top w:w="0" w:type="dxa"/>
              <w:left w:w="20" w:type="dxa"/>
              <w:bottom w:w="0" w:type="dxa"/>
              <w:right w:w="20" w:type="dxa"/>
            </w:tcMar>
          </w:tcPr>
          <w:p w14:paraId="5C7C656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6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6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6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6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6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6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6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6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6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6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6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6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6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6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56F" w14:textId="77777777" w:rsidR="0008009C" w:rsidRDefault="0008009C">
            <w:pPr>
              <w:rPr>
                <w:rFonts w:ascii="宋体"/>
              </w:rPr>
            </w:pPr>
          </w:p>
        </w:tc>
        <w:tc>
          <w:tcPr>
            <w:tcW w:w="0" w:type="auto"/>
            <w:shd w:val="clear" w:color="auto" w:fill="auto"/>
          </w:tcPr>
          <w:p w14:paraId="5C7C6570" w14:textId="77777777" w:rsidR="0008009C" w:rsidRDefault="0008009C">
            <w:pPr>
              <w:rPr>
                <w:rFonts w:ascii="宋体"/>
                <w:vanish/>
              </w:rPr>
            </w:pPr>
          </w:p>
        </w:tc>
        <w:tc>
          <w:tcPr>
            <w:tcW w:w="0" w:type="auto"/>
            <w:shd w:val="clear" w:color="auto" w:fill="auto"/>
          </w:tcPr>
          <w:p w14:paraId="5C7C6571" w14:textId="77777777" w:rsidR="0008009C" w:rsidRDefault="0008009C">
            <w:pPr>
              <w:rPr>
                <w:rFonts w:ascii="宋体"/>
                <w:vanish/>
              </w:rPr>
            </w:pPr>
          </w:p>
        </w:tc>
      </w:tr>
      <w:tr w:rsidR="0008009C" w14:paraId="5C7C658E" w14:textId="77777777">
        <w:tc>
          <w:tcPr>
            <w:tcW w:w="0" w:type="auto"/>
            <w:gridSpan w:val="3"/>
            <w:shd w:val="clear" w:color="auto" w:fill="auto"/>
            <w:tcMar>
              <w:top w:w="40" w:type="dxa"/>
              <w:left w:w="155" w:type="dxa"/>
              <w:bottom w:w="40" w:type="dxa"/>
              <w:right w:w="20" w:type="dxa"/>
            </w:tcMar>
          </w:tcPr>
          <w:p w14:paraId="5C7C6573" w14:textId="77777777" w:rsidR="0008009C" w:rsidRDefault="00936FDF">
            <w:pPr>
              <w:textAlignment w:val="top"/>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tcPr>
          <w:p w14:paraId="5C7C657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575"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57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7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578" w14:textId="77777777" w:rsidR="0008009C" w:rsidRDefault="00936FDF">
            <w:pPr>
              <w:jc w:val="right"/>
              <w:textAlignment w:val="bottom"/>
            </w:pPr>
            <w:r>
              <w:rPr>
                <w:rFonts w:ascii="Arial" w:eastAsia="宋体" w:hAnsi="Arial" w:cs="Arial"/>
                <w:color w:val="0068B5"/>
                <w:sz w:val="18"/>
                <w:szCs w:val="18"/>
              </w:rPr>
              <w:t>9 </w:t>
            </w:r>
          </w:p>
        </w:tc>
        <w:tc>
          <w:tcPr>
            <w:tcW w:w="0" w:type="auto"/>
            <w:shd w:val="clear" w:color="auto" w:fill="auto"/>
            <w:tcMar>
              <w:top w:w="40" w:type="dxa"/>
              <w:left w:w="0" w:type="dxa"/>
              <w:bottom w:w="40" w:type="dxa"/>
              <w:right w:w="20" w:type="dxa"/>
            </w:tcMar>
            <w:vAlign w:val="bottom"/>
          </w:tcPr>
          <w:p w14:paraId="5C7C657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7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57B"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57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7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57E" w14:textId="77777777" w:rsidR="0008009C" w:rsidRDefault="00936FDF">
            <w:pPr>
              <w:jc w:val="right"/>
              <w:textAlignment w:val="bottom"/>
            </w:pPr>
            <w:r>
              <w:rPr>
                <w:rFonts w:ascii="Arial" w:eastAsia="宋体" w:hAnsi="Arial" w:cs="Arial"/>
                <w:color w:val="0068B5"/>
                <w:sz w:val="18"/>
                <w:szCs w:val="18"/>
              </w:rPr>
              <w:t>9 </w:t>
            </w:r>
          </w:p>
        </w:tc>
        <w:tc>
          <w:tcPr>
            <w:tcW w:w="0" w:type="auto"/>
            <w:shd w:val="clear" w:color="auto" w:fill="auto"/>
            <w:tcMar>
              <w:top w:w="40" w:type="dxa"/>
              <w:left w:w="0" w:type="dxa"/>
              <w:bottom w:w="40" w:type="dxa"/>
              <w:right w:w="20" w:type="dxa"/>
            </w:tcMar>
            <w:vAlign w:val="bottom"/>
          </w:tcPr>
          <w:p w14:paraId="5C7C657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8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581"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58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8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584" w14:textId="77777777" w:rsidR="0008009C" w:rsidRDefault="00936FDF">
            <w:pPr>
              <w:jc w:val="right"/>
              <w:textAlignment w:val="bottom"/>
            </w:pPr>
            <w:r>
              <w:rPr>
                <w:rFonts w:ascii="Arial" w:eastAsia="宋体" w:hAnsi="Arial" w:cs="Arial"/>
                <w:color w:val="262626"/>
                <w:sz w:val="18"/>
                <w:szCs w:val="18"/>
              </w:rPr>
              <w:t>5 </w:t>
            </w:r>
          </w:p>
        </w:tc>
        <w:tc>
          <w:tcPr>
            <w:tcW w:w="0" w:type="auto"/>
            <w:shd w:val="clear" w:color="auto" w:fill="auto"/>
            <w:tcMar>
              <w:top w:w="40" w:type="dxa"/>
              <w:left w:w="0" w:type="dxa"/>
              <w:bottom w:w="40" w:type="dxa"/>
              <w:right w:w="20" w:type="dxa"/>
            </w:tcMar>
            <w:vAlign w:val="bottom"/>
          </w:tcPr>
          <w:p w14:paraId="5C7C658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8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587"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58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8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58A" w14:textId="77777777" w:rsidR="0008009C" w:rsidRDefault="00936FDF">
            <w:pPr>
              <w:jc w:val="right"/>
              <w:textAlignment w:val="bottom"/>
            </w:pPr>
            <w:r>
              <w:rPr>
                <w:rFonts w:ascii="Arial" w:eastAsia="宋体" w:hAnsi="Arial" w:cs="Arial"/>
                <w:color w:val="262626"/>
                <w:sz w:val="18"/>
                <w:szCs w:val="18"/>
              </w:rPr>
              <w:t>5 </w:t>
            </w:r>
          </w:p>
        </w:tc>
        <w:tc>
          <w:tcPr>
            <w:tcW w:w="0" w:type="auto"/>
            <w:shd w:val="clear" w:color="auto" w:fill="auto"/>
            <w:tcMar>
              <w:top w:w="40" w:type="dxa"/>
              <w:left w:w="0" w:type="dxa"/>
              <w:bottom w:w="40" w:type="dxa"/>
              <w:right w:w="20" w:type="dxa"/>
            </w:tcMar>
            <w:vAlign w:val="bottom"/>
          </w:tcPr>
          <w:p w14:paraId="5C7C658B" w14:textId="77777777" w:rsidR="0008009C" w:rsidRDefault="0008009C">
            <w:pPr>
              <w:jc w:val="right"/>
              <w:rPr>
                <w:rFonts w:ascii="宋体"/>
              </w:rPr>
            </w:pPr>
          </w:p>
        </w:tc>
        <w:tc>
          <w:tcPr>
            <w:tcW w:w="0" w:type="auto"/>
            <w:shd w:val="clear" w:color="auto" w:fill="auto"/>
          </w:tcPr>
          <w:p w14:paraId="5C7C658C" w14:textId="77777777" w:rsidR="0008009C" w:rsidRDefault="0008009C">
            <w:pPr>
              <w:rPr>
                <w:rFonts w:ascii="宋体"/>
                <w:vanish/>
              </w:rPr>
            </w:pPr>
          </w:p>
        </w:tc>
        <w:tc>
          <w:tcPr>
            <w:tcW w:w="0" w:type="auto"/>
            <w:shd w:val="clear" w:color="auto" w:fill="auto"/>
          </w:tcPr>
          <w:p w14:paraId="5C7C658D" w14:textId="77777777" w:rsidR="0008009C" w:rsidRDefault="0008009C">
            <w:pPr>
              <w:rPr>
                <w:rFonts w:ascii="宋体"/>
                <w:vanish/>
              </w:rPr>
            </w:pPr>
          </w:p>
        </w:tc>
      </w:tr>
      <w:tr w:rsidR="0008009C" w14:paraId="5C7C65B2" w14:textId="77777777">
        <w:tc>
          <w:tcPr>
            <w:tcW w:w="0" w:type="auto"/>
            <w:gridSpan w:val="3"/>
            <w:shd w:val="clear" w:color="auto" w:fill="auto"/>
            <w:tcMar>
              <w:top w:w="40" w:type="dxa"/>
              <w:left w:w="20" w:type="dxa"/>
              <w:bottom w:w="40" w:type="dxa"/>
              <w:right w:w="20" w:type="dxa"/>
            </w:tcMar>
          </w:tcPr>
          <w:p w14:paraId="5C7C658F" w14:textId="77777777" w:rsidR="0008009C" w:rsidRDefault="00936FDF">
            <w:pPr>
              <w:textAlignment w:val="top"/>
            </w:pPr>
            <w:r>
              <w:rPr>
                <w:rFonts w:ascii="Arial" w:eastAsia="宋体" w:hAnsi="Arial" w:cs="Arial"/>
                <w:b/>
                <w:bCs/>
                <w:color w:val="262626"/>
                <w:sz w:val="18"/>
                <w:szCs w:val="18"/>
              </w:rPr>
              <w:t>Total liabilities measured and recorded at fair value</w:t>
            </w:r>
          </w:p>
        </w:tc>
        <w:tc>
          <w:tcPr>
            <w:tcW w:w="0" w:type="auto"/>
            <w:gridSpan w:val="3"/>
            <w:shd w:val="clear" w:color="auto" w:fill="auto"/>
            <w:tcMar>
              <w:top w:w="0" w:type="dxa"/>
              <w:left w:w="20" w:type="dxa"/>
              <w:bottom w:w="0" w:type="dxa"/>
              <w:right w:w="20" w:type="dxa"/>
            </w:tcMar>
          </w:tcPr>
          <w:p w14:paraId="5C7C6590"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591"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592" w14:textId="77777777" w:rsidR="0008009C" w:rsidRDefault="00936FDF">
            <w:pPr>
              <w:jc w:val="right"/>
              <w:textAlignment w:val="bottom"/>
            </w:pPr>
            <w:r>
              <w:rPr>
                <w:rFonts w:ascii="Arial" w:eastAsia="宋体" w:hAnsi="Arial" w:cs="Arial"/>
                <w:b/>
                <w:bCs/>
                <w:color w:val="0068B5"/>
                <w:sz w:val="18"/>
                <w:szCs w:val="18"/>
              </w:rPr>
              <w:t>6</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59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94"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595"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596" w14:textId="77777777" w:rsidR="0008009C" w:rsidRDefault="00936FDF">
            <w:pPr>
              <w:jc w:val="right"/>
              <w:textAlignment w:val="bottom"/>
            </w:pPr>
            <w:r>
              <w:rPr>
                <w:rFonts w:ascii="Arial" w:eastAsia="宋体" w:hAnsi="Arial" w:cs="Arial"/>
                <w:b/>
                <w:bCs/>
                <w:color w:val="0068B5"/>
                <w:sz w:val="18"/>
                <w:szCs w:val="18"/>
              </w:rPr>
              <w:t>612</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59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98"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599"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59A" w14:textId="77777777" w:rsidR="0008009C" w:rsidRDefault="00936FDF">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59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9C"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59D"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59E" w14:textId="77777777" w:rsidR="0008009C" w:rsidRDefault="00936FDF">
            <w:pPr>
              <w:jc w:val="right"/>
              <w:textAlignment w:val="bottom"/>
            </w:pPr>
            <w:r>
              <w:rPr>
                <w:rFonts w:ascii="Arial" w:eastAsia="宋体" w:hAnsi="Arial" w:cs="Arial"/>
                <w:b/>
                <w:bCs/>
                <w:color w:val="0068B5"/>
                <w:sz w:val="18"/>
                <w:szCs w:val="18"/>
              </w:rPr>
              <w:t>618</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59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A0"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5A1"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5A2" w14:textId="77777777" w:rsidR="0008009C" w:rsidRDefault="00936FDF">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5A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A4"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5A5"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5A6" w14:textId="77777777" w:rsidR="0008009C" w:rsidRDefault="00936FDF">
            <w:pPr>
              <w:jc w:val="right"/>
              <w:textAlignment w:val="bottom"/>
            </w:pPr>
            <w:r>
              <w:rPr>
                <w:rFonts w:ascii="Arial" w:eastAsia="宋体" w:hAnsi="Arial" w:cs="Arial"/>
                <w:b/>
                <w:bCs/>
                <w:color w:val="262626"/>
                <w:sz w:val="18"/>
                <w:szCs w:val="18"/>
              </w:rPr>
              <w:t>815</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5A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A8"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5A9"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5AA" w14:textId="77777777" w:rsidR="0008009C" w:rsidRDefault="00936FDF">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5A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5AC"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5AD"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5AE" w14:textId="77777777" w:rsidR="0008009C" w:rsidRDefault="00936FDF">
            <w:pPr>
              <w:jc w:val="right"/>
              <w:textAlignment w:val="bottom"/>
            </w:pPr>
            <w:r>
              <w:rPr>
                <w:rFonts w:ascii="Arial" w:eastAsia="宋体" w:hAnsi="Arial" w:cs="Arial"/>
                <w:b/>
                <w:bCs/>
                <w:color w:val="262626"/>
                <w:sz w:val="18"/>
                <w:szCs w:val="18"/>
              </w:rPr>
              <w:t>815</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5AF" w14:textId="77777777" w:rsidR="0008009C" w:rsidRDefault="0008009C">
            <w:pPr>
              <w:jc w:val="right"/>
              <w:rPr>
                <w:rFonts w:ascii="宋体"/>
              </w:rPr>
            </w:pPr>
          </w:p>
        </w:tc>
        <w:tc>
          <w:tcPr>
            <w:tcW w:w="0" w:type="auto"/>
            <w:shd w:val="clear" w:color="auto" w:fill="auto"/>
          </w:tcPr>
          <w:p w14:paraId="5C7C65B0" w14:textId="77777777" w:rsidR="0008009C" w:rsidRDefault="0008009C">
            <w:pPr>
              <w:rPr>
                <w:rFonts w:ascii="宋体"/>
                <w:vanish/>
              </w:rPr>
            </w:pPr>
          </w:p>
        </w:tc>
        <w:tc>
          <w:tcPr>
            <w:tcW w:w="0" w:type="auto"/>
            <w:shd w:val="clear" w:color="auto" w:fill="auto"/>
          </w:tcPr>
          <w:p w14:paraId="5C7C65B1" w14:textId="77777777" w:rsidR="0008009C" w:rsidRDefault="0008009C">
            <w:pPr>
              <w:rPr>
                <w:rFonts w:ascii="宋体"/>
                <w:vanish/>
              </w:rPr>
            </w:pPr>
          </w:p>
        </w:tc>
      </w:tr>
    </w:tbl>
    <w:p w14:paraId="5C7C65B3" w14:textId="77777777" w:rsidR="0008009C" w:rsidRDefault="00936FDF">
      <w:pPr>
        <w:ind w:hanging="180"/>
      </w:pPr>
      <w:r>
        <w:rPr>
          <w:rFonts w:ascii="Arial" w:eastAsia="宋体" w:hAnsi="Arial" w:cs="Arial"/>
          <w:i/>
          <w:iCs/>
          <w:color w:val="262626"/>
          <w:sz w:val="10"/>
          <w:szCs w:val="10"/>
        </w:rPr>
        <w:t>1</w:t>
      </w:r>
      <w:r>
        <w:rPr>
          <w:rFonts w:ascii="Arial" w:eastAsia="宋体" w:hAnsi="Arial" w:cs="Arial"/>
          <w:i/>
          <w:iCs/>
          <w:color w:val="262626"/>
          <w:sz w:val="16"/>
          <w:szCs w:val="16"/>
        </w:rPr>
        <w:t>Level 1 investments consist of money market funds. Level 2 investments consist primarily of commercial paper, certificates of deposit, time deposits, and notes and bonds issued by financial institutions.</w:t>
      </w:r>
    </w:p>
    <w:p w14:paraId="5C7C65B4" w14:textId="77777777" w:rsidR="0008009C" w:rsidRDefault="00936FDF">
      <w:pPr>
        <w:ind w:hanging="180"/>
      </w:pPr>
      <w:r>
        <w:rPr>
          <w:rFonts w:ascii="Arial" w:eastAsia="宋体" w:hAnsi="Arial" w:cs="Arial"/>
          <w:i/>
          <w:iCs/>
          <w:color w:val="262626"/>
          <w:sz w:val="10"/>
          <w:szCs w:val="10"/>
        </w:rPr>
        <w:t>2</w:t>
      </w:r>
      <w:r>
        <w:rPr>
          <w:rFonts w:ascii="Arial" w:eastAsia="宋体" w:hAnsi="Arial" w:cs="Arial"/>
          <w:i/>
          <w:iCs/>
          <w:color w:val="262626"/>
          <w:sz w:val="16"/>
          <w:szCs w:val="16"/>
        </w:rPr>
        <w:t>Lev</w:t>
      </w:r>
      <w:r>
        <w:rPr>
          <w:rFonts w:ascii="Arial" w:eastAsia="宋体" w:hAnsi="Arial" w:cs="Arial"/>
          <w:i/>
          <w:iCs/>
          <w:color w:val="262626"/>
          <w:sz w:val="16"/>
          <w:szCs w:val="16"/>
        </w:rPr>
        <w:t>el 2 investments consist primarily of U.S. agency notes and non-U.S. government debt.</w:t>
      </w:r>
    </w:p>
    <w:p w14:paraId="5C7C65B5" w14:textId="77777777" w:rsidR="0008009C" w:rsidRDefault="00936FDF">
      <w:pPr>
        <w:spacing w:after="180"/>
        <w:ind w:hanging="180"/>
      </w:pPr>
      <w:r>
        <w:rPr>
          <w:rFonts w:ascii="Arial" w:eastAsia="宋体" w:hAnsi="Arial" w:cs="Arial"/>
          <w:i/>
          <w:iCs/>
          <w:color w:val="262626"/>
          <w:sz w:val="10"/>
          <w:szCs w:val="10"/>
        </w:rPr>
        <w:t>3</w:t>
      </w:r>
      <w:r>
        <w:rPr>
          <w:rFonts w:ascii="Arial" w:eastAsia="宋体" w:hAnsi="Arial" w:cs="Arial"/>
          <w:i/>
          <w:iCs/>
          <w:color w:val="262626"/>
          <w:sz w:val="16"/>
          <w:szCs w:val="16"/>
        </w:rPr>
        <w:t>The fair value of our loans receivable for which we elected the fair value option did not significantly differ from the contractual principal balance.</w:t>
      </w:r>
    </w:p>
    <w:p w14:paraId="5C7C65B6" w14:textId="77777777" w:rsidR="0008009C" w:rsidRDefault="00936FDF">
      <w:pPr>
        <w:spacing w:after="180"/>
      </w:pPr>
      <w:r>
        <w:rPr>
          <w:rFonts w:ascii="Arial" w:eastAsia="宋体" w:hAnsi="Arial" w:cs="Arial"/>
          <w:color w:val="0068B5"/>
        </w:rPr>
        <w:t xml:space="preserve">Assets </w:t>
      </w:r>
      <w:r>
        <w:rPr>
          <w:rFonts w:ascii="Arial" w:eastAsia="宋体" w:hAnsi="Arial" w:cs="Arial"/>
          <w:color w:val="0068B5"/>
        </w:rPr>
        <w:t>Measured and Recorded at Fair Value on a Non-Recurring Basis</w:t>
      </w:r>
    </w:p>
    <w:p w14:paraId="5C7C65B7" w14:textId="77777777" w:rsidR="0008009C" w:rsidRDefault="00936FDF">
      <w:pPr>
        <w:spacing w:after="180"/>
      </w:pPr>
      <w:r>
        <w:rPr>
          <w:rFonts w:ascii="Arial" w:eastAsia="宋体" w:hAnsi="Arial" w:cs="Arial"/>
          <w:color w:val="262626"/>
          <w:sz w:val="18"/>
          <w:szCs w:val="18"/>
        </w:rPr>
        <w:t xml:space="preserve">Our non-marketable equity securities, equity method investments, and certain non-financial assets, such as intangible assets and property, plant and equipment, are recorded at fair value only if </w:t>
      </w:r>
      <w:r>
        <w:rPr>
          <w:rFonts w:ascii="Arial" w:eastAsia="宋体" w:hAnsi="Arial" w:cs="Arial"/>
          <w:color w:val="262626"/>
          <w:sz w:val="18"/>
          <w:szCs w:val="18"/>
        </w:rPr>
        <w:t xml:space="preserve">an impairment or observable price adjustment is recognized in the current period. If an observable price adjustment or impairment is recognized on our non-marketable equity securities during the period, we classify these assets as Level 3. </w:t>
      </w:r>
    </w:p>
    <w:p w14:paraId="5C7C65B8" w14:textId="77777777" w:rsidR="0008009C" w:rsidRDefault="0008009C">
      <w:pPr>
        <w:spacing w:after="180"/>
      </w:pPr>
    </w:p>
    <w:p w14:paraId="5C7C65B9" w14:textId="77777777" w:rsidR="0008009C" w:rsidRDefault="0008009C">
      <w:pPr>
        <w:spacing w:after="180"/>
      </w:pPr>
    </w:p>
    <w:p w14:paraId="5C7C65BA" w14:textId="77777777" w:rsidR="0008009C" w:rsidRDefault="0008009C">
      <w:pPr>
        <w:spacing w:after="180"/>
      </w:pPr>
    </w:p>
    <w:p w14:paraId="5C7C65BB" w14:textId="77777777" w:rsidR="0008009C" w:rsidRDefault="0008009C">
      <w:pPr>
        <w:spacing w:after="180"/>
      </w:pPr>
    </w:p>
    <w:p w14:paraId="5C7C65BC" w14:textId="77777777" w:rsidR="0008009C" w:rsidRDefault="0008009C">
      <w:pPr>
        <w:spacing w:after="180"/>
      </w:pPr>
    </w:p>
    <w:p w14:paraId="5C7C65BD" w14:textId="77777777" w:rsidR="0008009C" w:rsidRDefault="0008009C">
      <w:pPr>
        <w:spacing w:after="180"/>
      </w:pPr>
    </w:p>
    <w:p w14:paraId="5C7C65BE" w14:textId="77777777" w:rsidR="0008009C" w:rsidRDefault="0008009C">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8009C" w14:paraId="5C7C65CB" w14:textId="77777777">
        <w:tc>
          <w:tcPr>
            <w:tcW w:w="50" w:type="pct"/>
            <w:shd w:val="clear" w:color="auto" w:fill="auto"/>
            <w:vAlign w:val="bottom"/>
          </w:tcPr>
          <w:p w14:paraId="5C7C65BF" w14:textId="77777777" w:rsidR="0008009C" w:rsidRDefault="0008009C">
            <w:pPr>
              <w:rPr>
                <w:rFonts w:ascii="宋体"/>
              </w:rPr>
            </w:pPr>
          </w:p>
        </w:tc>
        <w:tc>
          <w:tcPr>
            <w:tcW w:w="238" w:type="pct"/>
            <w:shd w:val="clear" w:color="auto" w:fill="auto"/>
            <w:vAlign w:val="bottom"/>
          </w:tcPr>
          <w:p w14:paraId="5C7C65C0" w14:textId="77777777" w:rsidR="0008009C" w:rsidRDefault="0008009C">
            <w:pPr>
              <w:rPr>
                <w:rFonts w:ascii="宋体"/>
              </w:rPr>
            </w:pPr>
          </w:p>
        </w:tc>
        <w:tc>
          <w:tcPr>
            <w:tcW w:w="5" w:type="pct"/>
            <w:shd w:val="clear" w:color="auto" w:fill="auto"/>
            <w:vAlign w:val="bottom"/>
          </w:tcPr>
          <w:p w14:paraId="5C7C65C1" w14:textId="77777777" w:rsidR="0008009C" w:rsidRDefault="0008009C">
            <w:pPr>
              <w:rPr>
                <w:rFonts w:ascii="宋体"/>
              </w:rPr>
            </w:pPr>
          </w:p>
        </w:tc>
        <w:tc>
          <w:tcPr>
            <w:tcW w:w="50" w:type="pct"/>
            <w:shd w:val="clear" w:color="auto" w:fill="auto"/>
            <w:vAlign w:val="bottom"/>
          </w:tcPr>
          <w:p w14:paraId="5C7C65C2" w14:textId="77777777" w:rsidR="0008009C" w:rsidRDefault="0008009C">
            <w:pPr>
              <w:rPr>
                <w:rFonts w:ascii="宋体"/>
              </w:rPr>
            </w:pPr>
          </w:p>
        </w:tc>
        <w:tc>
          <w:tcPr>
            <w:tcW w:w="983" w:type="pct"/>
            <w:shd w:val="clear" w:color="auto" w:fill="auto"/>
            <w:vAlign w:val="bottom"/>
          </w:tcPr>
          <w:p w14:paraId="5C7C65C3" w14:textId="77777777" w:rsidR="0008009C" w:rsidRDefault="0008009C">
            <w:pPr>
              <w:rPr>
                <w:rFonts w:ascii="宋体"/>
              </w:rPr>
            </w:pPr>
          </w:p>
        </w:tc>
        <w:tc>
          <w:tcPr>
            <w:tcW w:w="5" w:type="pct"/>
            <w:shd w:val="clear" w:color="auto" w:fill="auto"/>
            <w:vAlign w:val="bottom"/>
          </w:tcPr>
          <w:p w14:paraId="5C7C65C4" w14:textId="77777777" w:rsidR="0008009C" w:rsidRDefault="0008009C">
            <w:pPr>
              <w:rPr>
                <w:rFonts w:ascii="宋体"/>
              </w:rPr>
            </w:pPr>
          </w:p>
        </w:tc>
        <w:tc>
          <w:tcPr>
            <w:tcW w:w="50" w:type="pct"/>
            <w:shd w:val="clear" w:color="auto" w:fill="auto"/>
            <w:vAlign w:val="bottom"/>
          </w:tcPr>
          <w:p w14:paraId="5C7C65C5" w14:textId="77777777" w:rsidR="0008009C" w:rsidRDefault="0008009C">
            <w:pPr>
              <w:rPr>
                <w:rFonts w:ascii="宋体"/>
              </w:rPr>
            </w:pPr>
          </w:p>
        </w:tc>
        <w:tc>
          <w:tcPr>
            <w:tcW w:w="2035" w:type="pct"/>
            <w:shd w:val="clear" w:color="auto" w:fill="auto"/>
            <w:vAlign w:val="bottom"/>
          </w:tcPr>
          <w:p w14:paraId="5C7C65C6" w14:textId="77777777" w:rsidR="0008009C" w:rsidRDefault="0008009C">
            <w:pPr>
              <w:rPr>
                <w:rFonts w:ascii="宋体"/>
              </w:rPr>
            </w:pPr>
          </w:p>
        </w:tc>
        <w:tc>
          <w:tcPr>
            <w:tcW w:w="5" w:type="pct"/>
            <w:shd w:val="clear" w:color="auto" w:fill="auto"/>
            <w:vAlign w:val="bottom"/>
          </w:tcPr>
          <w:p w14:paraId="5C7C65C7" w14:textId="77777777" w:rsidR="0008009C" w:rsidRDefault="0008009C">
            <w:pPr>
              <w:rPr>
                <w:rFonts w:ascii="宋体"/>
              </w:rPr>
            </w:pPr>
          </w:p>
        </w:tc>
        <w:tc>
          <w:tcPr>
            <w:tcW w:w="50" w:type="pct"/>
            <w:shd w:val="clear" w:color="auto" w:fill="auto"/>
            <w:vAlign w:val="bottom"/>
          </w:tcPr>
          <w:p w14:paraId="5C7C65C8" w14:textId="77777777" w:rsidR="0008009C" w:rsidRDefault="0008009C">
            <w:pPr>
              <w:rPr>
                <w:rFonts w:ascii="宋体"/>
              </w:rPr>
            </w:pPr>
          </w:p>
        </w:tc>
        <w:tc>
          <w:tcPr>
            <w:tcW w:w="1522" w:type="pct"/>
            <w:shd w:val="clear" w:color="auto" w:fill="auto"/>
            <w:vAlign w:val="bottom"/>
          </w:tcPr>
          <w:p w14:paraId="5C7C65C9" w14:textId="77777777" w:rsidR="0008009C" w:rsidRDefault="0008009C">
            <w:pPr>
              <w:rPr>
                <w:rFonts w:ascii="宋体"/>
              </w:rPr>
            </w:pPr>
          </w:p>
        </w:tc>
        <w:tc>
          <w:tcPr>
            <w:tcW w:w="5" w:type="pct"/>
            <w:shd w:val="clear" w:color="auto" w:fill="auto"/>
            <w:vAlign w:val="bottom"/>
          </w:tcPr>
          <w:p w14:paraId="5C7C65CA" w14:textId="77777777" w:rsidR="0008009C" w:rsidRDefault="0008009C">
            <w:pPr>
              <w:rPr>
                <w:rFonts w:ascii="宋体"/>
              </w:rPr>
            </w:pPr>
          </w:p>
        </w:tc>
      </w:tr>
      <w:tr w:rsidR="0008009C" w14:paraId="5C7C65D0"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65CC"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14" wp14:editId="5C7C7D15">
                  <wp:extent cx="304800" cy="304800"/>
                  <wp:effectExtent l="0" t="0" r="0" b="0"/>
                  <wp:docPr id="93" name="图片 67"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5CD"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65CE" w14:textId="77777777" w:rsidR="0008009C" w:rsidRDefault="00936FDF">
            <w:pPr>
              <w:textAlignment w:val="center"/>
            </w:pPr>
            <w:r>
              <w:rPr>
                <w:rFonts w:ascii="Arial" w:eastAsia="宋体" w:hAnsi="Arial" w:cs="Arial"/>
                <w:color w:val="262626"/>
                <w:sz w:val="16"/>
                <w:szCs w:val="16"/>
              </w:rPr>
              <w:t> Notes to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5CF" w14:textId="77777777" w:rsidR="0008009C" w:rsidRDefault="00936FDF">
            <w:pPr>
              <w:jc w:val="right"/>
              <w:textAlignment w:val="center"/>
            </w:pPr>
            <w:r>
              <w:rPr>
                <w:rFonts w:ascii="Arial" w:eastAsia="宋体" w:hAnsi="Arial" w:cs="Arial"/>
                <w:color w:val="262626"/>
                <w:sz w:val="16"/>
                <w:szCs w:val="16"/>
              </w:rPr>
              <w:t>14</w:t>
            </w:r>
          </w:p>
        </w:tc>
      </w:tr>
    </w:tbl>
    <w:p w14:paraId="5C7C65D1" w14:textId="77777777" w:rsidR="0008009C" w:rsidRDefault="00936FDF">
      <w:r>
        <w:pict w14:anchorId="5C7C7D16">
          <v:rect id="_x0000_i1040" style="width:415.3pt;height:1.5pt" o:hralign="center" o:hrstd="t" o:hr="t" fillcolor="#a0a0a0" stroked="f"/>
        </w:pict>
      </w:r>
    </w:p>
    <w:p w14:paraId="5C7C65D2" w14:textId="77777777" w:rsidR="0008009C" w:rsidRDefault="00936FDF">
      <w:pPr>
        <w:spacing w:after="180"/>
        <w:jc w:val="right"/>
      </w:pPr>
      <w:hyperlink r:id="rId39" w:anchor="i3a00378f6cc84b1c9cfc83239548ad53_7" w:history="1">
        <w:r>
          <w:rPr>
            <w:rStyle w:val="a5"/>
            <w:rFonts w:ascii="Arial" w:eastAsia="宋体" w:hAnsi="Arial" w:cs="Arial"/>
            <w:b/>
            <w:bCs/>
            <w:sz w:val="16"/>
            <w:szCs w:val="16"/>
          </w:rPr>
          <w:t>Table of Contents</w:t>
        </w:r>
      </w:hyperlink>
    </w:p>
    <w:p w14:paraId="5C7C65D3" w14:textId="77777777" w:rsidR="0008009C" w:rsidRDefault="0008009C">
      <w:pPr>
        <w:spacing w:after="180"/>
        <w:jc w:val="right"/>
      </w:pPr>
    </w:p>
    <w:p w14:paraId="5C7C65D4" w14:textId="77777777" w:rsidR="0008009C" w:rsidRDefault="00936FDF">
      <w:pPr>
        <w:spacing w:after="180"/>
      </w:pPr>
      <w:r>
        <w:rPr>
          <w:rFonts w:ascii="Arial" w:eastAsia="宋体" w:hAnsi="Arial" w:cs="Arial"/>
          <w:color w:val="0068B5"/>
        </w:rPr>
        <w:t>Financial Instruments Not Recorded at Fair Value on a Recurring Basis</w:t>
      </w:r>
    </w:p>
    <w:p w14:paraId="5C7C65D5" w14:textId="77777777" w:rsidR="0008009C" w:rsidRDefault="00936FDF">
      <w:pPr>
        <w:spacing w:after="180"/>
      </w:pPr>
      <w:r>
        <w:rPr>
          <w:rFonts w:ascii="Arial" w:eastAsia="宋体" w:hAnsi="Arial" w:cs="Arial"/>
          <w:color w:val="262626"/>
          <w:sz w:val="18"/>
          <w:szCs w:val="18"/>
        </w:rPr>
        <w:t>Financial inst</w:t>
      </w:r>
      <w:r>
        <w:rPr>
          <w:rFonts w:ascii="Arial" w:eastAsia="宋体" w:hAnsi="Arial" w:cs="Arial"/>
          <w:color w:val="262626"/>
          <w:sz w:val="18"/>
          <w:szCs w:val="18"/>
        </w:rPr>
        <w:t>ruments not recorded at fair value on a recurring basis include non-marketable equity securities and equity method investments that have not been remeasured or impaired in the current period, grants receivable, and issued debt.</w:t>
      </w:r>
    </w:p>
    <w:p w14:paraId="5C7C65D6" w14:textId="77777777" w:rsidR="0008009C" w:rsidRDefault="00936FDF">
      <w:pPr>
        <w:spacing w:after="180"/>
      </w:pPr>
      <w:r>
        <w:rPr>
          <w:rFonts w:ascii="Arial" w:eastAsia="宋体" w:hAnsi="Arial" w:cs="Arial"/>
          <w:color w:val="262626"/>
          <w:sz w:val="18"/>
          <w:szCs w:val="18"/>
        </w:rPr>
        <w:t>We classify the fair value o</w:t>
      </w:r>
      <w:r>
        <w:rPr>
          <w:rFonts w:ascii="Arial" w:eastAsia="宋体" w:hAnsi="Arial" w:cs="Arial"/>
          <w:color w:val="262626"/>
          <w:sz w:val="18"/>
          <w:szCs w:val="18"/>
        </w:rPr>
        <w:t>f grants receivable as Level 2. The estimated fair value of these financial instruments approximates their carrying value. The aggregate carrying value of grants receivable as of March 27, 2021 was $144 million (the aggregate carrying value of grants recei</w:t>
      </w:r>
      <w:r>
        <w:rPr>
          <w:rFonts w:ascii="Arial" w:eastAsia="宋体" w:hAnsi="Arial" w:cs="Arial"/>
          <w:color w:val="262626"/>
          <w:sz w:val="18"/>
          <w:szCs w:val="18"/>
        </w:rPr>
        <w:t>vable as of December 26, 2020 was $139 million).</w:t>
      </w:r>
    </w:p>
    <w:p w14:paraId="5C7C65D7" w14:textId="77777777" w:rsidR="0008009C" w:rsidRDefault="00936FDF">
      <w:pPr>
        <w:spacing w:after="180"/>
      </w:pPr>
      <w:r>
        <w:rPr>
          <w:rFonts w:ascii="Arial" w:eastAsia="宋体" w:hAnsi="Arial" w:cs="Arial"/>
          <w:color w:val="262626"/>
          <w:sz w:val="18"/>
          <w:szCs w:val="18"/>
        </w:rPr>
        <w:t>We classify the fair value of issued debt (excluding commercial paper and drafts payable) as Level 2. The fair value of these instruments was $38.5 billion as of March 27, 2021 ($40.9 billion as of December </w:t>
      </w:r>
      <w:r>
        <w:rPr>
          <w:rFonts w:ascii="Arial" w:eastAsia="宋体" w:hAnsi="Arial" w:cs="Arial"/>
          <w:color w:val="262626"/>
          <w:sz w:val="18"/>
          <w:szCs w:val="18"/>
        </w:rPr>
        <w:t xml:space="preserve">26, 2020).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8009C" w14:paraId="5C7C65DE" w14:textId="77777777">
        <w:tc>
          <w:tcPr>
            <w:tcW w:w="50" w:type="pct"/>
            <w:shd w:val="clear" w:color="auto" w:fill="auto"/>
          </w:tcPr>
          <w:p w14:paraId="5C7C65D8" w14:textId="77777777" w:rsidR="0008009C" w:rsidRDefault="0008009C">
            <w:pPr>
              <w:rPr>
                <w:rFonts w:ascii="宋体"/>
              </w:rPr>
            </w:pPr>
          </w:p>
        </w:tc>
        <w:tc>
          <w:tcPr>
            <w:tcW w:w="511" w:type="pct"/>
            <w:shd w:val="clear" w:color="auto" w:fill="auto"/>
          </w:tcPr>
          <w:p w14:paraId="5C7C65D9" w14:textId="77777777" w:rsidR="0008009C" w:rsidRDefault="0008009C">
            <w:pPr>
              <w:rPr>
                <w:rFonts w:ascii="宋体"/>
              </w:rPr>
            </w:pPr>
          </w:p>
        </w:tc>
        <w:tc>
          <w:tcPr>
            <w:tcW w:w="5" w:type="pct"/>
            <w:shd w:val="clear" w:color="auto" w:fill="auto"/>
          </w:tcPr>
          <w:p w14:paraId="5C7C65DA" w14:textId="77777777" w:rsidR="0008009C" w:rsidRDefault="0008009C">
            <w:pPr>
              <w:rPr>
                <w:rFonts w:ascii="宋体"/>
              </w:rPr>
            </w:pPr>
          </w:p>
        </w:tc>
        <w:tc>
          <w:tcPr>
            <w:tcW w:w="50" w:type="pct"/>
            <w:shd w:val="clear" w:color="auto" w:fill="auto"/>
          </w:tcPr>
          <w:p w14:paraId="5C7C65DB" w14:textId="77777777" w:rsidR="0008009C" w:rsidRDefault="0008009C">
            <w:pPr>
              <w:rPr>
                <w:rFonts w:ascii="宋体"/>
              </w:rPr>
            </w:pPr>
          </w:p>
        </w:tc>
        <w:tc>
          <w:tcPr>
            <w:tcW w:w="4378" w:type="pct"/>
            <w:shd w:val="clear" w:color="auto" w:fill="auto"/>
          </w:tcPr>
          <w:p w14:paraId="5C7C65DC" w14:textId="77777777" w:rsidR="0008009C" w:rsidRDefault="0008009C">
            <w:pPr>
              <w:rPr>
                <w:rFonts w:ascii="宋体"/>
              </w:rPr>
            </w:pPr>
          </w:p>
        </w:tc>
        <w:tc>
          <w:tcPr>
            <w:tcW w:w="5" w:type="pct"/>
            <w:shd w:val="clear" w:color="auto" w:fill="auto"/>
          </w:tcPr>
          <w:p w14:paraId="5C7C65DD" w14:textId="77777777" w:rsidR="0008009C" w:rsidRDefault="0008009C">
            <w:pPr>
              <w:rPr>
                <w:rFonts w:ascii="宋体"/>
              </w:rPr>
            </w:pPr>
          </w:p>
        </w:tc>
      </w:tr>
      <w:tr w:rsidR="0008009C" w14:paraId="5C7C65E1"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C7C65DF" w14:textId="77777777" w:rsidR="0008009C" w:rsidRDefault="00936FDF">
            <w:pPr>
              <w:textAlignment w:val="bottom"/>
            </w:pPr>
            <w:r>
              <w:rPr>
                <w:rFonts w:ascii="Arial" w:eastAsia="宋体" w:hAnsi="Arial" w:cs="Arial"/>
                <w:color w:val="FFFFFF"/>
                <w:sz w:val="28"/>
                <w:szCs w:val="28"/>
              </w:rPr>
              <w:t xml:space="preserve">Note 11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C7C65E0" w14:textId="77777777" w:rsidR="0008009C" w:rsidRDefault="00936FDF">
            <w:pPr>
              <w:textAlignment w:val="bottom"/>
            </w:pPr>
            <w:r>
              <w:rPr>
                <w:rFonts w:ascii="Arial" w:eastAsia="宋体" w:hAnsi="Arial" w:cs="Arial"/>
                <w:color w:val="0068B5"/>
                <w:sz w:val="28"/>
                <w:szCs w:val="28"/>
              </w:rPr>
              <w:t>Other Comprehensive Income (Loss)</w:t>
            </w:r>
          </w:p>
        </w:tc>
      </w:tr>
    </w:tbl>
    <w:p w14:paraId="5C7C65E2" w14:textId="77777777" w:rsidR="0008009C" w:rsidRDefault="00936FDF">
      <w:pPr>
        <w:spacing w:before="180" w:after="120"/>
      </w:pPr>
      <w:r>
        <w:rPr>
          <w:rFonts w:ascii="Arial" w:eastAsia="宋体" w:hAnsi="Arial" w:cs="Arial"/>
          <w:color w:val="262626"/>
          <w:sz w:val="18"/>
          <w:szCs w:val="18"/>
        </w:rPr>
        <w:t>The changes in accumulated other comprehensive income (loss) by component and related tax effects in the first three months of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749"/>
        <w:gridCol w:w="39"/>
        <w:gridCol w:w="36"/>
        <w:gridCol w:w="36"/>
        <w:gridCol w:w="36"/>
        <w:gridCol w:w="36"/>
        <w:gridCol w:w="36"/>
        <w:gridCol w:w="36"/>
        <w:gridCol w:w="36"/>
        <w:gridCol w:w="122"/>
        <w:gridCol w:w="907"/>
        <w:gridCol w:w="36"/>
        <w:gridCol w:w="36"/>
        <w:gridCol w:w="36"/>
        <w:gridCol w:w="36"/>
        <w:gridCol w:w="122"/>
        <w:gridCol w:w="798"/>
        <w:gridCol w:w="36"/>
        <w:gridCol w:w="36"/>
        <w:gridCol w:w="36"/>
        <w:gridCol w:w="36"/>
        <w:gridCol w:w="122"/>
        <w:gridCol w:w="1025"/>
        <w:gridCol w:w="36"/>
        <w:gridCol w:w="36"/>
        <w:gridCol w:w="36"/>
        <w:gridCol w:w="36"/>
        <w:gridCol w:w="121"/>
        <w:gridCol w:w="571"/>
        <w:gridCol w:w="36"/>
      </w:tblGrid>
      <w:tr w:rsidR="0008009C" w14:paraId="5C7C6602" w14:textId="77777777">
        <w:tc>
          <w:tcPr>
            <w:tcW w:w="50" w:type="pct"/>
            <w:shd w:val="clear" w:color="auto" w:fill="auto"/>
          </w:tcPr>
          <w:p w14:paraId="5C7C65E3" w14:textId="77777777" w:rsidR="0008009C" w:rsidRDefault="0008009C">
            <w:pPr>
              <w:rPr>
                <w:rFonts w:ascii="宋体"/>
              </w:rPr>
            </w:pPr>
          </w:p>
        </w:tc>
        <w:tc>
          <w:tcPr>
            <w:tcW w:w="2458" w:type="pct"/>
            <w:shd w:val="clear" w:color="auto" w:fill="auto"/>
          </w:tcPr>
          <w:p w14:paraId="5C7C65E4" w14:textId="77777777" w:rsidR="0008009C" w:rsidRDefault="0008009C">
            <w:pPr>
              <w:rPr>
                <w:rFonts w:ascii="宋体"/>
              </w:rPr>
            </w:pPr>
          </w:p>
        </w:tc>
        <w:tc>
          <w:tcPr>
            <w:tcW w:w="5" w:type="pct"/>
            <w:shd w:val="clear" w:color="auto" w:fill="auto"/>
          </w:tcPr>
          <w:p w14:paraId="5C7C65E5" w14:textId="77777777" w:rsidR="0008009C" w:rsidRDefault="0008009C">
            <w:pPr>
              <w:rPr>
                <w:rFonts w:ascii="宋体"/>
              </w:rPr>
            </w:pPr>
          </w:p>
        </w:tc>
        <w:tc>
          <w:tcPr>
            <w:tcW w:w="0" w:type="auto"/>
            <w:shd w:val="clear" w:color="auto" w:fill="auto"/>
          </w:tcPr>
          <w:p w14:paraId="5C7C65E6" w14:textId="77777777" w:rsidR="0008009C" w:rsidRDefault="0008009C">
            <w:pPr>
              <w:rPr>
                <w:rFonts w:ascii="宋体"/>
                <w:vanish/>
              </w:rPr>
            </w:pPr>
          </w:p>
        </w:tc>
        <w:tc>
          <w:tcPr>
            <w:tcW w:w="0" w:type="auto"/>
            <w:shd w:val="clear" w:color="auto" w:fill="auto"/>
          </w:tcPr>
          <w:p w14:paraId="5C7C65E7" w14:textId="77777777" w:rsidR="0008009C" w:rsidRDefault="0008009C">
            <w:pPr>
              <w:rPr>
                <w:rFonts w:ascii="宋体"/>
                <w:vanish/>
              </w:rPr>
            </w:pPr>
          </w:p>
        </w:tc>
        <w:tc>
          <w:tcPr>
            <w:tcW w:w="0" w:type="auto"/>
            <w:shd w:val="clear" w:color="auto" w:fill="auto"/>
          </w:tcPr>
          <w:p w14:paraId="5C7C65E8" w14:textId="77777777" w:rsidR="0008009C" w:rsidRDefault="0008009C">
            <w:pPr>
              <w:rPr>
                <w:rFonts w:ascii="宋体"/>
                <w:vanish/>
              </w:rPr>
            </w:pPr>
          </w:p>
        </w:tc>
        <w:tc>
          <w:tcPr>
            <w:tcW w:w="0" w:type="auto"/>
            <w:shd w:val="clear" w:color="auto" w:fill="auto"/>
          </w:tcPr>
          <w:p w14:paraId="5C7C65E9" w14:textId="77777777" w:rsidR="0008009C" w:rsidRDefault="0008009C">
            <w:pPr>
              <w:rPr>
                <w:rFonts w:ascii="宋体"/>
                <w:vanish/>
              </w:rPr>
            </w:pPr>
          </w:p>
        </w:tc>
        <w:tc>
          <w:tcPr>
            <w:tcW w:w="5" w:type="pct"/>
            <w:shd w:val="clear" w:color="auto" w:fill="auto"/>
          </w:tcPr>
          <w:p w14:paraId="5C7C65EA" w14:textId="77777777" w:rsidR="0008009C" w:rsidRDefault="0008009C">
            <w:pPr>
              <w:rPr>
                <w:rFonts w:ascii="宋体"/>
              </w:rPr>
            </w:pPr>
          </w:p>
        </w:tc>
        <w:tc>
          <w:tcPr>
            <w:tcW w:w="24" w:type="pct"/>
            <w:shd w:val="clear" w:color="auto" w:fill="auto"/>
          </w:tcPr>
          <w:p w14:paraId="5C7C65EB" w14:textId="77777777" w:rsidR="0008009C" w:rsidRDefault="0008009C">
            <w:pPr>
              <w:rPr>
                <w:rFonts w:ascii="宋体"/>
              </w:rPr>
            </w:pPr>
          </w:p>
        </w:tc>
        <w:tc>
          <w:tcPr>
            <w:tcW w:w="5" w:type="pct"/>
            <w:shd w:val="clear" w:color="auto" w:fill="auto"/>
          </w:tcPr>
          <w:p w14:paraId="5C7C65EC" w14:textId="77777777" w:rsidR="0008009C" w:rsidRDefault="0008009C">
            <w:pPr>
              <w:rPr>
                <w:rFonts w:ascii="宋体"/>
              </w:rPr>
            </w:pPr>
          </w:p>
        </w:tc>
        <w:tc>
          <w:tcPr>
            <w:tcW w:w="50" w:type="pct"/>
            <w:shd w:val="clear" w:color="auto" w:fill="auto"/>
          </w:tcPr>
          <w:p w14:paraId="5C7C65ED" w14:textId="77777777" w:rsidR="0008009C" w:rsidRDefault="0008009C">
            <w:pPr>
              <w:rPr>
                <w:rFonts w:ascii="宋体"/>
              </w:rPr>
            </w:pPr>
          </w:p>
        </w:tc>
        <w:tc>
          <w:tcPr>
            <w:tcW w:w="532" w:type="pct"/>
            <w:shd w:val="clear" w:color="auto" w:fill="auto"/>
          </w:tcPr>
          <w:p w14:paraId="5C7C65EE" w14:textId="77777777" w:rsidR="0008009C" w:rsidRDefault="0008009C">
            <w:pPr>
              <w:rPr>
                <w:rFonts w:ascii="宋体"/>
              </w:rPr>
            </w:pPr>
          </w:p>
        </w:tc>
        <w:tc>
          <w:tcPr>
            <w:tcW w:w="5" w:type="pct"/>
            <w:shd w:val="clear" w:color="auto" w:fill="auto"/>
          </w:tcPr>
          <w:p w14:paraId="5C7C65EF" w14:textId="77777777" w:rsidR="0008009C" w:rsidRDefault="0008009C">
            <w:pPr>
              <w:rPr>
                <w:rFonts w:ascii="宋体"/>
              </w:rPr>
            </w:pPr>
          </w:p>
        </w:tc>
        <w:tc>
          <w:tcPr>
            <w:tcW w:w="5" w:type="pct"/>
            <w:shd w:val="clear" w:color="auto" w:fill="auto"/>
          </w:tcPr>
          <w:p w14:paraId="5C7C65F0" w14:textId="77777777" w:rsidR="0008009C" w:rsidRDefault="0008009C">
            <w:pPr>
              <w:rPr>
                <w:rFonts w:ascii="宋体"/>
              </w:rPr>
            </w:pPr>
          </w:p>
        </w:tc>
        <w:tc>
          <w:tcPr>
            <w:tcW w:w="24" w:type="pct"/>
            <w:shd w:val="clear" w:color="auto" w:fill="auto"/>
          </w:tcPr>
          <w:p w14:paraId="5C7C65F1" w14:textId="77777777" w:rsidR="0008009C" w:rsidRDefault="0008009C">
            <w:pPr>
              <w:rPr>
                <w:rFonts w:ascii="宋体"/>
              </w:rPr>
            </w:pPr>
          </w:p>
        </w:tc>
        <w:tc>
          <w:tcPr>
            <w:tcW w:w="5" w:type="pct"/>
            <w:shd w:val="clear" w:color="auto" w:fill="auto"/>
          </w:tcPr>
          <w:p w14:paraId="5C7C65F2" w14:textId="77777777" w:rsidR="0008009C" w:rsidRDefault="0008009C">
            <w:pPr>
              <w:rPr>
                <w:rFonts w:ascii="宋体"/>
              </w:rPr>
            </w:pPr>
          </w:p>
        </w:tc>
        <w:tc>
          <w:tcPr>
            <w:tcW w:w="50" w:type="pct"/>
            <w:shd w:val="clear" w:color="auto" w:fill="auto"/>
          </w:tcPr>
          <w:p w14:paraId="5C7C65F3" w14:textId="77777777" w:rsidR="0008009C" w:rsidRDefault="0008009C">
            <w:pPr>
              <w:rPr>
                <w:rFonts w:ascii="宋体"/>
              </w:rPr>
            </w:pPr>
          </w:p>
        </w:tc>
        <w:tc>
          <w:tcPr>
            <w:tcW w:w="532" w:type="pct"/>
            <w:shd w:val="clear" w:color="auto" w:fill="auto"/>
          </w:tcPr>
          <w:p w14:paraId="5C7C65F4" w14:textId="77777777" w:rsidR="0008009C" w:rsidRDefault="0008009C">
            <w:pPr>
              <w:rPr>
                <w:rFonts w:ascii="宋体"/>
              </w:rPr>
            </w:pPr>
          </w:p>
        </w:tc>
        <w:tc>
          <w:tcPr>
            <w:tcW w:w="5" w:type="pct"/>
            <w:shd w:val="clear" w:color="auto" w:fill="auto"/>
          </w:tcPr>
          <w:p w14:paraId="5C7C65F5" w14:textId="77777777" w:rsidR="0008009C" w:rsidRDefault="0008009C">
            <w:pPr>
              <w:rPr>
                <w:rFonts w:ascii="宋体"/>
              </w:rPr>
            </w:pPr>
          </w:p>
        </w:tc>
        <w:tc>
          <w:tcPr>
            <w:tcW w:w="5" w:type="pct"/>
            <w:shd w:val="clear" w:color="auto" w:fill="auto"/>
          </w:tcPr>
          <w:p w14:paraId="5C7C65F6" w14:textId="77777777" w:rsidR="0008009C" w:rsidRDefault="0008009C">
            <w:pPr>
              <w:rPr>
                <w:rFonts w:ascii="宋体"/>
              </w:rPr>
            </w:pPr>
          </w:p>
        </w:tc>
        <w:tc>
          <w:tcPr>
            <w:tcW w:w="24" w:type="pct"/>
            <w:shd w:val="clear" w:color="auto" w:fill="auto"/>
          </w:tcPr>
          <w:p w14:paraId="5C7C65F7" w14:textId="77777777" w:rsidR="0008009C" w:rsidRDefault="0008009C">
            <w:pPr>
              <w:rPr>
                <w:rFonts w:ascii="宋体"/>
              </w:rPr>
            </w:pPr>
          </w:p>
        </w:tc>
        <w:tc>
          <w:tcPr>
            <w:tcW w:w="5" w:type="pct"/>
            <w:shd w:val="clear" w:color="auto" w:fill="auto"/>
          </w:tcPr>
          <w:p w14:paraId="5C7C65F8" w14:textId="77777777" w:rsidR="0008009C" w:rsidRDefault="0008009C">
            <w:pPr>
              <w:rPr>
                <w:rFonts w:ascii="宋体"/>
              </w:rPr>
            </w:pPr>
          </w:p>
        </w:tc>
        <w:tc>
          <w:tcPr>
            <w:tcW w:w="50" w:type="pct"/>
            <w:shd w:val="clear" w:color="auto" w:fill="auto"/>
          </w:tcPr>
          <w:p w14:paraId="5C7C65F9" w14:textId="77777777" w:rsidR="0008009C" w:rsidRDefault="0008009C">
            <w:pPr>
              <w:rPr>
                <w:rFonts w:ascii="宋体"/>
              </w:rPr>
            </w:pPr>
          </w:p>
        </w:tc>
        <w:tc>
          <w:tcPr>
            <w:tcW w:w="532" w:type="pct"/>
            <w:shd w:val="clear" w:color="auto" w:fill="auto"/>
          </w:tcPr>
          <w:p w14:paraId="5C7C65FA" w14:textId="77777777" w:rsidR="0008009C" w:rsidRDefault="0008009C">
            <w:pPr>
              <w:rPr>
                <w:rFonts w:ascii="宋体"/>
              </w:rPr>
            </w:pPr>
          </w:p>
        </w:tc>
        <w:tc>
          <w:tcPr>
            <w:tcW w:w="5" w:type="pct"/>
            <w:shd w:val="clear" w:color="auto" w:fill="auto"/>
          </w:tcPr>
          <w:p w14:paraId="5C7C65FB" w14:textId="77777777" w:rsidR="0008009C" w:rsidRDefault="0008009C">
            <w:pPr>
              <w:rPr>
                <w:rFonts w:ascii="宋体"/>
              </w:rPr>
            </w:pPr>
          </w:p>
        </w:tc>
        <w:tc>
          <w:tcPr>
            <w:tcW w:w="5" w:type="pct"/>
            <w:shd w:val="clear" w:color="auto" w:fill="auto"/>
          </w:tcPr>
          <w:p w14:paraId="5C7C65FC" w14:textId="77777777" w:rsidR="0008009C" w:rsidRDefault="0008009C">
            <w:pPr>
              <w:rPr>
                <w:rFonts w:ascii="宋体"/>
              </w:rPr>
            </w:pPr>
          </w:p>
        </w:tc>
        <w:tc>
          <w:tcPr>
            <w:tcW w:w="24" w:type="pct"/>
            <w:shd w:val="clear" w:color="auto" w:fill="auto"/>
          </w:tcPr>
          <w:p w14:paraId="5C7C65FD" w14:textId="77777777" w:rsidR="0008009C" w:rsidRDefault="0008009C">
            <w:pPr>
              <w:rPr>
                <w:rFonts w:ascii="宋体"/>
              </w:rPr>
            </w:pPr>
          </w:p>
        </w:tc>
        <w:tc>
          <w:tcPr>
            <w:tcW w:w="5" w:type="pct"/>
            <w:shd w:val="clear" w:color="auto" w:fill="auto"/>
          </w:tcPr>
          <w:p w14:paraId="5C7C65FE" w14:textId="77777777" w:rsidR="0008009C" w:rsidRDefault="0008009C">
            <w:pPr>
              <w:rPr>
                <w:rFonts w:ascii="宋体"/>
              </w:rPr>
            </w:pPr>
          </w:p>
        </w:tc>
        <w:tc>
          <w:tcPr>
            <w:tcW w:w="50" w:type="pct"/>
            <w:shd w:val="clear" w:color="auto" w:fill="auto"/>
          </w:tcPr>
          <w:p w14:paraId="5C7C65FF" w14:textId="77777777" w:rsidR="0008009C" w:rsidRDefault="0008009C">
            <w:pPr>
              <w:rPr>
                <w:rFonts w:ascii="宋体"/>
              </w:rPr>
            </w:pPr>
          </w:p>
        </w:tc>
        <w:tc>
          <w:tcPr>
            <w:tcW w:w="532" w:type="pct"/>
            <w:shd w:val="clear" w:color="auto" w:fill="auto"/>
          </w:tcPr>
          <w:p w14:paraId="5C7C6600" w14:textId="77777777" w:rsidR="0008009C" w:rsidRDefault="0008009C">
            <w:pPr>
              <w:rPr>
                <w:rFonts w:ascii="宋体"/>
              </w:rPr>
            </w:pPr>
          </w:p>
        </w:tc>
        <w:tc>
          <w:tcPr>
            <w:tcW w:w="5" w:type="pct"/>
            <w:shd w:val="clear" w:color="auto" w:fill="auto"/>
          </w:tcPr>
          <w:p w14:paraId="5C7C6601" w14:textId="77777777" w:rsidR="0008009C" w:rsidRDefault="0008009C">
            <w:pPr>
              <w:rPr>
                <w:rFonts w:ascii="宋体"/>
              </w:rPr>
            </w:pPr>
          </w:p>
        </w:tc>
      </w:tr>
      <w:tr w:rsidR="0008009C" w14:paraId="5C7C6610" w14:textId="77777777">
        <w:tc>
          <w:tcPr>
            <w:tcW w:w="0" w:type="auto"/>
            <w:gridSpan w:val="3"/>
            <w:shd w:val="clear" w:color="auto" w:fill="auto"/>
            <w:tcMar>
              <w:top w:w="40" w:type="dxa"/>
              <w:left w:w="20" w:type="dxa"/>
              <w:bottom w:w="40" w:type="dxa"/>
              <w:right w:w="20" w:type="dxa"/>
            </w:tcMar>
            <w:vAlign w:val="bottom"/>
          </w:tcPr>
          <w:p w14:paraId="5C7C6603" w14:textId="77777777" w:rsidR="0008009C" w:rsidRDefault="00936FDF">
            <w:pPr>
              <w:textAlignment w:val="bottom"/>
            </w:pPr>
            <w:r>
              <w:rPr>
                <w:rFonts w:ascii="Arial" w:eastAsia="宋体" w:hAnsi="Arial" w:cs="Arial"/>
                <w:b/>
                <w:bCs/>
                <w:color w:val="262626"/>
                <w:sz w:val="18"/>
                <w:szCs w:val="18"/>
              </w:rPr>
              <w:t>(In Millions)</w:t>
            </w:r>
          </w:p>
        </w:tc>
        <w:tc>
          <w:tcPr>
            <w:tcW w:w="0" w:type="auto"/>
            <w:shd w:val="clear" w:color="auto" w:fill="auto"/>
          </w:tcPr>
          <w:p w14:paraId="5C7C6604" w14:textId="77777777" w:rsidR="0008009C" w:rsidRDefault="0008009C">
            <w:pPr>
              <w:rPr>
                <w:rFonts w:ascii="宋体"/>
                <w:vanish/>
              </w:rPr>
            </w:pPr>
          </w:p>
        </w:tc>
        <w:tc>
          <w:tcPr>
            <w:tcW w:w="0" w:type="auto"/>
            <w:shd w:val="clear" w:color="auto" w:fill="auto"/>
          </w:tcPr>
          <w:p w14:paraId="5C7C6605" w14:textId="77777777" w:rsidR="0008009C" w:rsidRDefault="0008009C">
            <w:pPr>
              <w:rPr>
                <w:rFonts w:ascii="宋体"/>
                <w:vanish/>
              </w:rPr>
            </w:pPr>
          </w:p>
        </w:tc>
        <w:tc>
          <w:tcPr>
            <w:tcW w:w="0" w:type="auto"/>
            <w:shd w:val="clear" w:color="auto" w:fill="auto"/>
          </w:tcPr>
          <w:p w14:paraId="5C7C6606" w14:textId="77777777" w:rsidR="0008009C" w:rsidRDefault="0008009C">
            <w:pPr>
              <w:rPr>
                <w:rFonts w:ascii="宋体"/>
                <w:vanish/>
              </w:rPr>
            </w:pPr>
          </w:p>
        </w:tc>
        <w:tc>
          <w:tcPr>
            <w:tcW w:w="0" w:type="auto"/>
            <w:shd w:val="clear" w:color="auto" w:fill="auto"/>
          </w:tcPr>
          <w:p w14:paraId="5C7C6607" w14:textId="77777777" w:rsidR="0008009C" w:rsidRDefault="0008009C">
            <w:pPr>
              <w:rPr>
                <w:rFonts w:ascii="宋体"/>
                <w:vanish/>
              </w:rPr>
            </w:pPr>
          </w:p>
        </w:tc>
        <w:tc>
          <w:tcPr>
            <w:tcW w:w="0" w:type="auto"/>
            <w:gridSpan w:val="3"/>
            <w:shd w:val="clear" w:color="auto" w:fill="auto"/>
            <w:tcMar>
              <w:top w:w="0" w:type="dxa"/>
              <w:left w:w="20" w:type="dxa"/>
              <w:bottom w:w="0" w:type="dxa"/>
              <w:right w:w="20" w:type="dxa"/>
            </w:tcMar>
          </w:tcPr>
          <w:p w14:paraId="5C7C6608"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609" w14:textId="77777777" w:rsidR="0008009C" w:rsidRDefault="00936FDF">
            <w:pPr>
              <w:jc w:val="center"/>
              <w:textAlignment w:val="bottom"/>
            </w:pPr>
            <w:r>
              <w:rPr>
                <w:rFonts w:ascii="Arial" w:eastAsia="宋体" w:hAnsi="Arial" w:cs="Arial"/>
                <w:b/>
                <w:bCs/>
                <w:color w:val="262626"/>
                <w:sz w:val="18"/>
                <w:szCs w:val="18"/>
              </w:rPr>
              <w:t>Unrealized Holding Gains (Losses) on Derivatives</w:t>
            </w:r>
          </w:p>
        </w:tc>
        <w:tc>
          <w:tcPr>
            <w:tcW w:w="0" w:type="auto"/>
            <w:gridSpan w:val="3"/>
            <w:shd w:val="clear" w:color="auto" w:fill="auto"/>
            <w:tcMar>
              <w:top w:w="0" w:type="dxa"/>
              <w:left w:w="20" w:type="dxa"/>
              <w:bottom w:w="0" w:type="dxa"/>
              <w:right w:w="20" w:type="dxa"/>
            </w:tcMar>
          </w:tcPr>
          <w:p w14:paraId="5C7C660A"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60B" w14:textId="77777777" w:rsidR="0008009C" w:rsidRDefault="00936FDF">
            <w:pPr>
              <w:jc w:val="center"/>
              <w:textAlignment w:val="bottom"/>
            </w:pPr>
            <w:r>
              <w:rPr>
                <w:rFonts w:ascii="Arial" w:eastAsia="宋体" w:hAnsi="Arial" w:cs="Arial"/>
                <w:b/>
                <w:bCs/>
                <w:color w:val="262626"/>
                <w:sz w:val="18"/>
                <w:szCs w:val="18"/>
              </w:rPr>
              <w:t>Actuarial Valuation and Other Pension Expenses</w:t>
            </w:r>
          </w:p>
        </w:tc>
        <w:tc>
          <w:tcPr>
            <w:tcW w:w="0" w:type="auto"/>
            <w:gridSpan w:val="3"/>
            <w:shd w:val="clear" w:color="auto" w:fill="auto"/>
            <w:tcMar>
              <w:top w:w="0" w:type="dxa"/>
              <w:left w:w="20" w:type="dxa"/>
              <w:bottom w:w="0" w:type="dxa"/>
              <w:right w:w="20" w:type="dxa"/>
            </w:tcMar>
          </w:tcPr>
          <w:p w14:paraId="5C7C660C"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60D" w14:textId="77777777" w:rsidR="0008009C" w:rsidRDefault="00936FDF">
            <w:pPr>
              <w:jc w:val="center"/>
              <w:textAlignment w:val="bottom"/>
            </w:pPr>
            <w:r>
              <w:rPr>
                <w:rFonts w:ascii="Arial" w:eastAsia="宋体" w:hAnsi="Arial" w:cs="Arial"/>
                <w:b/>
                <w:bCs/>
                <w:color w:val="262626"/>
                <w:sz w:val="18"/>
                <w:szCs w:val="18"/>
              </w:rPr>
              <w:t>Translation Adjustments and Other</w:t>
            </w:r>
          </w:p>
        </w:tc>
        <w:tc>
          <w:tcPr>
            <w:tcW w:w="0" w:type="auto"/>
            <w:gridSpan w:val="3"/>
            <w:shd w:val="clear" w:color="auto" w:fill="auto"/>
            <w:tcMar>
              <w:top w:w="0" w:type="dxa"/>
              <w:left w:w="20" w:type="dxa"/>
              <w:bottom w:w="0" w:type="dxa"/>
              <w:right w:w="20" w:type="dxa"/>
            </w:tcMar>
          </w:tcPr>
          <w:p w14:paraId="5C7C660E"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60F" w14:textId="77777777" w:rsidR="0008009C" w:rsidRDefault="00936FDF">
            <w:pPr>
              <w:jc w:val="center"/>
              <w:textAlignment w:val="bottom"/>
            </w:pPr>
            <w:r>
              <w:rPr>
                <w:rFonts w:ascii="Arial" w:eastAsia="宋体" w:hAnsi="Arial" w:cs="Arial"/>
                <w:b/>
                <w:bCs/>
                <w:color w:val="262626"/>
                <w:sz w:val="18"/>
                <w:szCs w:val="18"/>
              </w:rPr>
              <w:t>Total</w:t>
            </w:r>
          </w:p>
        </w:tc>
      </w:tr>
      <w:tr w:rsidR="0008009C" w14:paraId="5C7C662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611" w14:textId="77777777" w:rsidR="0008009C" w:rsidRDefault="00936FDF">
            <w:pPr>
              <w:textAlignment w:val="bottom"/>
            </w:pPr>
            <w:r>
              <w:rPr>
                <w:rFonts w:ascii="Arial" w:eastAsia="宋体" w:hAnsi="Arial" w:cs="Arial"/>
                <w:b/>
                <w:bCs/>
                <w:color w:val="262626"/>
                <w:sz w:val="18"/>
                <w:szCs w:val="18"/>
              </w:rPr>
              <w:t xml:space="preserve">Balance as of </w:t>
            </w:r>
            <w:r>
              <w:rPr>
                <w:rFonts w:ascii="Arial" w:eastAsia="宋体" w:hAnsi="Arial" w:cs="Arial"/>
                <w:b/>
                <w:bCs/>
                <w:color w:val="262626"/>
                <w:sz w:val="18"/>
                <w:szCs w:val="18"/>
              </w:rPr>
              <w:t>December 26, 2020</w:t>
            </w:r>
          </w:p>
        </w:tc>
        <w:tc>
          <w:tcPr>
            <w:tcW w:w="0" w:type="auto"/>
            <w:shd w:val="clear" w:color="auto" w:fill="auto"/>
          </w:tcPr>
          <w:p w14:paraId="5C7C6612" w14:textId="77777777" w:rsidR="0008009C" w:rsidRDefault="0008009C">
            <w:pPr>
              <w:rPr>
                <w:rFonts w:ascii="宋体"/>
                <w:vanish/>
              </w:rPr>
            </w:pPr>
          </w:p>
        </w:tc>
        <w:tc>
          <w:tcPr>
            <w:tcW w:w="0" w:type="auto"/>
            <w:shd w:val="clear" w:color="auto" w:fill="auto"/>
          </w:tcPr>
          <w:p w14:paraId="5C7C6613" w14:textId="77777777" w:rsidR="0008009C" w:rsidRDefault="0008009C">
            <w:pPr>
              <w:rPr>
                <w:rFonts w:ascii="宋体"/>
                <w:vanish/>
              </w:rPr>
            </w:pPr>
          </w:p>
        </w:tc>
        <w:tc>
          <w:tcPr>
            <w:tcW w:w="0" w:type="auto"/>
            <w:shd w:val="clear" w:color="auto" w:fill="auto"/>
          </w:tcPr>
          <w:p w14:paraId="5C7C6614" w14:textId="77777777" w:rsidR="0008009C" w:rsidRDefault="0008009C">
            <w:pPr>
              <w:rPr>
                <w:rFonts w:ascii="宋体"/>
                <w:vanish/>
              </w:rPr>
            </w:pPr>
          </w:p>
        </w:tc>
        <w:tc>
          <w:tcPr>
            <w:tcW w:w="0" w:type="auto"/>
            <w:shd w:val="clear" w:color="auto" w:fill="auto"/>
          </w:tcPr>
          <w:p w14:paraId="5C7C6615" w14:textId="77777777" w:rsidR="0008009C" w:rsidRDefault="0008009C">
            <w:pPr>
              <w:rPr>
                <w:rFonts w:ascii="宋体"/>
                <w:vanish/>
              </w:rPr>
            </w:pPr>
          </w:p>
        </w:tc>
        <w:tc>
          <w:tcPr>
            <w:tcW w:w="0" w:type="auto"/>
            <w:gridSpan w:val="3"/>
            <w:shd w:val="clear" w:color="auto" w:fill="auto"/>
            <w:tcMar>
              <w:top w:w="0" w:type="dxa"/>
              <w:left w:w="20" w:type="dxa"/>
              <w:bottom w:w="0" w:type="dxa"/>
              <w:right w:w="20" w:type="dxa"/>
            </w:tcMar>
          </w:tcPr>
          <w:p w14:paraId="5C7C6616"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617"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618" w14:textId="77777777" w:rsidR="0008009C" w:rsidRDefault="00936FDF">
            <w:pPr>
              <w:jc w:val="right"/>
              <w:textAlignment w:val="bottom"/>
            </w:pPr>
            <w:r>
              <w:rPr>
                <w:rFonts w:ascii="Arial" w:eastAsia="宋体" w:hAnsi="Arial" w:cs="Arial"/>
                <w:b/>
                <w:bCs/>
                <w:color w:val="262626"/>
                <w:sz w:val="18"/>
                <w:szCs w:val="18"/>
              </w:rPr>
              <w:t>731</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661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1A"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61B"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61C" w14:textId="77777777" w:rsidR="0008009C" w:rsidRDefault="00936FDF">
            <w:pPr>
              <w:jc w:val="right"/>
              <w:textAlignment w:val="bottom"/>
            </w:pPr>
            <w:r>
              <w:rPr>
                <w:rFonts w:ascii="Arial" w:eastAsia="宋体" w:hAnsi="Arial" w:cs="Arial"/>
                <w:b/>
                <w:bCs/>
                <w:color w:val="262626"/>
                <w:sz w:val="18"/>
                <w:szCs w:val="18"/>
              </w:rPr>
              <w:t>(1,565)</w:t>
            </w:r>
          </w:p>
        </w:tc>
        <w:tc>
          <w:tcPr>
            <w:tcW w:w="0" w:type="auto"/>
            <w:tcBorders>
              <w:top w:val="single" w:sz="8" w:space="0" w:color="0068B5"/>
            </w:tcBorders>
            <w:shd w:val="clear" w:color="auto" w:fill="auto"/>
            <w:tcMar>
              <w:top w:w="40" w:type="dxa"/>
              <w:left w:w="0" w:type="dxa"/>
              <w:bottom w:w="40" w:type="dxa"/>
              <w:right w:w="20" w:type="dxa"/>
            </w:tcMar>
            <w:vAlign w:val="bottom"/>
          </w:tcPr>
          <w:p w14:paraId="5C7C661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1E"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61F"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620" w14:textId="77777777" w:rsidR="0008009C" w:rsidRDefault="00936FDF">
            <w:pPr>
              <w:jc w:val="right"/>
              <w:textAlignment w:val="bottom"/>
            </w:pPr>
            <w:r>
              <w:rPr>
                <w:rFonts w:ascii="Arial" w:eastAsia="宋体" w:hAnsi="Arial" w:cs="Arial"/>
                <w:b/>
                <w:bCs/>
                <w:color w:val="262626"/>
                <w:sz w:val="18"/>
                <w:szCs w:val="18"/>
              </w:rPr>
              <w:t>83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662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22"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623"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624" w14:textId="77777777" w:rsidR="0008009C" w:rsidRDefault="00936FDF">
            <w:pPr>
              <w:jc w:val="right"/>
              <w:textAlignment w:val="bottom"/>
            </w:pPr>
            <w:r>
              <w:rPr>
                <w:rFonts w:ascii="Arial" w:eastAsia="宋体" w:hAnsi="Arial" w:cs="Arial"/>
                <w:b/>
                <w:bCs/>
                <w:color w:val="262626"/>
                <w:sz w:val="18"/>
                <w:szCs w:val="18"/>
              </w:rPr>
              <w:t>(751)</w:t>
            </w:r>
          </w:p>
        </w:tc>
        <w:tc>
          <w:tcPr>
            <w:tcW w:w="0" w:type="auto"/>
            <w:tcBorders>
              <w:top w:val="single" w:sz="8" w:space="0" w:color="0068B5"/>
            </w:tcBorders>
            <w:shd w:val="clear" w:color="auto" w:fill="auto"/>
            <w:tcMar>
              <w:top w:w="40" w:type="dxa"/>
              <w:left w:w="0" w:type="dxa"/>
              <w:bottom w:w="40" w:type="dxa"/>
              <w:right w:w="20" w:type="dxa"/>
            </w:tcMar>
            <w:vAlign w:val="bottom"/>
          </w:tcPr>
          <w:p w14:paraId="5C7C6625" w14:textId="77777777" w:rsidR="0008009C" w:rsidRDefault="0008009C">
            <w:pPr>
              <w:jc w:val="right"/>
              <w:rPr>
                <w:rFonts w:ascii="宋体"/>
              </w:rPr>
            </w:pPr>
          </w:p>
        </w:tc>
      </w:tr>
      <w:tr w:rsidR="0008009C" w14:paraId="5C7C6638" w14:textId="77777777">
        <w:tc>
          <w:tcPr>
            <w:tcW w:w="0" w:type="auto"/>
            <w:gridSpan w:val="3"/>
            <w:shd w:val="clear" w:color="auto" w:fill="auto"/>
            <w:tcMar>
              <w:top w:w="40" w:type="dxa"/>
              <w:left w:w="20" w:type="dxa"/>
              <w:bottom w:w="40" w:type="dxa"/>
              <w:right w:w="20" w:type="dxa"/>
            </w:tcMar>
            <w:vAlign w:val="bottom"/>
          </w:tcPr>
          <w:p w14:paraId="5C7C6627" w14:textId="77777777" w:rsidR="0008009C" w:rsidRDefault="00936FDF">
            <w:pPr>
              <w:textAlignment w:val="bottom"/>
            </w:pPr>
            <w:r>
              <w:rPr>
                <w:rFonts w:ascii="Arial" w:eastAsia="宋体" w:hAnsi="Arial" w:cs="Arial"/>
                <w:color w:val="262626"/>
                <w:sz w:val="18"/>
                <w:szCs w:val="18"/>
              </w:rPr>
              <w:t xml:space="preserve">Other </w:t>
            </w:r>
            <w:r>
              <w:rPr>
                <w:rFonts w:ascii="Arial" w:eastAsia="宋体" w:hAnsi="Arial" w:cs="Arial"/>
                <w:color w:val="262626"/>
                <w:sz w:val="18"/>
                <w:szCs w:val="18"/>
              </w:rPr>
              <w:t>comprehensive income (loss) before reclassifications</w:t>
            </w:r>
          </w:p>
        </w:tc>
        <w:tc>
          <w:tcPr>
            <w:tcW w:w="0" w:type="auto"/>
            <w:shd w:val="clear" w:color="auto" w:fill="auto"/>
          </w:tcPr>
          <w:p w14:paraId="5C7C6628" w14:textId="77777777" w:rsidR="0008009C" w:rsidRDefault="0008009C">
            <w:pPr>
              <w:rPr>
                <w:rFonts w:ascii="宋体"/>
                <w:vanish/>
              </w:rPr>
            </w:pPr>
          </w:p>
        </w:tc>
        <w:tc>
          <w:tcPr>
            <w:tcW w:w="0" w:type="auto"/>
            <w:shd w:val="clear" w:color="auto" w:fill="auto"/>
          </w:tcPr>
          <w:p w14:paraId="5C7C6629" w14:textId="77777777" w:rsidR="0008009C" w:rsidRDefault="0008009C">
            <w:pPr>
              <w:rPr>
                <w:rFonts w:ascii="宋体"/>
                <w:vanish/>
              </w:rPr>
            </w:pPr>
          </w:p>
        </w:tc>
        <w:tc>
          <w:tcPr>
            <w:tcW w:w="0" w:type="auto"/>
            <w:shd w:val="clear" w:color="auto" w:fill="auto"/>
          </w:tcPr>
          <w:p w14:paraId="5C7C662A" w14:textId="77777777" w:rsidR="0008009C" w:rsidRDefault="0008009C">
            <w:pPr>
              <w:rPr>
                <w:rFonts w:ascii="宋体"/>
                <w:vanish/>
              </w:rPr>
            </w:pPr>
          </w:p>
        </w:tc>
        <w:tc>
          <w:tcPr>
            <w:tcW w:w="0" w:type="auto"/>
            <w:shd w:val="clear" w:color="auto" w:fill="auto"/>
          </w:tcPr>
          <w:p w14:paraId="5C7C662B" w14:textId="77777777" w:rsidR="0008009C" w:rsidRDefault="0008009C">
            <w:pPr>
              <w:rPr>
                <w:rFonts w:ascii="宋体"/>
                <w:vanish/>
              </w:rPr>
            </w:pPr>
          </w:p>
        </w:tc>
        <w:tc>
          <w:tcPr>
            <w:tcW w:w="0" w:type="auto"/>
            <w:gridSpan w:val="3"/>
            <w:shd w:val="clear" w:color="auto" w:fill="auto"/>
            <w:tcMar>
              <w:top w:w="0" w:type="dxa"/>
              <w:left w:w="20" w:type="dxa"/>
              <w:bottom w:w="0" w:type="dxa"/>
              <w:right w:w="20" w:type="dxa"/>
            </w:tcMar>
          </w:tcPr>
          <w:p w14:paraId="5C7C662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62D" w14:textId="77777777" w:rsidR="0008009C" w:rsidRDefault="00936FDF">
            <w:pPr>
              <w:jc w:val="right"/>
              <w:textAlignment w:val="bottom"/>
            </w:pPr>
            <w:r>
              <w:rPr>
                <w:rFonts w:ascii="Arial" w:eastAsia="宋体" w:hAnsi="Arial" w:cs="Arial"/>
                <w:color w:val="0068B5"/>
                <w:sz w:val="18"/>
                <w:szCs w:val="18"/>
              </w:rPr>
              <w:t>(334)</w:t>
            </w:r>
          </w:p>
        </w:tc>
        <w:tc>
          <w:tcPr>
            <w:tcW w:w="0" w:type="auto"/>
            <w:shd w:val="clear" w:color="auto" w:fill="auto"/>
            <w:tcMar>
              <w:top w:w="40" w:type="dxa"/>
              <w:left w:w="0" w:type="dxa"/>
              <w:bottom w:w="40" w:type="dxa"/>
              <w:right w:w="20" w:type="dxa"/>
            </w:tcMar>
            <w:vAlign w:val="bottom"/>
          </w:tcPr>
          <w:p w14:paraId="5C7C662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2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630" w14:textId="77777777" w:rsidR="0008009C" w:rsidRDefault="00936FDF">
            <w:pPr>
              <w:jc w:val="right"/>
              <w:textAlignment w:val="bottom"/>
            </w:pPr>
            <w:r>
              <w:rPr>
                <w:rFonts w:ascii="Arial" w:eastAsia="宋体" w:hAnsi="Arial" w:cs="Arial"/>
                <w:color w:val="0068B5"/>
                <w:sz w:val="18"/>
                <w:szCs w:val="18"/>
              </w:rPr>
              <w:t>5 </w:t>
            </w:r>
          </w:p>
        </w:tc>
        <w:tc>
          <w:tcPr>
            <w:tcW w:w="0" w:type="auto"/>
            <w:shd w:val="clear" w:color="auto" w:fill="auto"/>
            <w:tcMar>
              <w:top w:w="40" w:type="dxa"/>
              <w:left w:w="0" w:type="dxa"/>
              <w:bottom w:w="40" w:type="dxa"/>
              <w:right w:w="20" w:type="dxa"/>
            </w:tcMar>
            <w:vAlign w:val="bottom"/>
          </w:tcPr>
          <w:p w14:paraId="5C7C663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3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633" w14:textId="77777777" w:rsidR="0008009C" w:rsidRDefault="00936FDF">
            <w:pPr>
              <w:jc w:val="right"/>
              <w:textAlignment w:val="bottom"/>
            </w:pPr>
            <w:r>
              <w:rPr>
                <w:rFonts w:ascii="Arial" w:eastAsia="宋体" w:hAnsi="Arial" w:cs="Arial"/>
                <w:color w:val="0068B5"/>
                <w:sz w:val="18"/>
                <w:szCs w:val="18"/>
              </w:rPr>
              <w:t>(19)</w:t>
            </w:r>
          </w:p>
        </w:tc>
        <w:tc>
          <w:tcPr>
            <w:tcW w:w="0" w:type="auto"/>
            <w:shd w:val="clear" w:color="auto" w:fill="auto"/>
            <w:tcMar>
              <w:top w:w="40" w:type="dxa"/>
              <w:left w:w="0" w:type="dxa"/>
              <w:bottom w:w="40" w:type="dxa"/>
              <w:right w:w="20" w:type="dxa"/>
            </w:tcMar>
            <w:vAlign w:val="bottom"/>
          </w:tcPr>
          <w:p w14:paraId="5C7C663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3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636" w14:textId="77777777" w:rsidR="0008009C" w:rsidRDefault="00936FDF">
            <w:pPr>
              <w:jc w:val="right"/>
              <w:textAlignment w:val="bottom"/>
            </w:pPr>
            <w:r>
              <w:rPr>
                <w:rFonts w:ascii="Arial" w:eastAsia="宋体" w:hAnsi="Arial" w:cs="Arial"/>
                <w:color w:val="0068B5"/>
                <w:sz w:val="18"/>
                <w:szCs w:val="18"/>
              </w:rPr>
              <w:t>(348)</w:t>
            </w:r>
          </w:p>
        </w:tc>
        <w:tc>
          <w:tcPr>
            <w:tcW w:w="0" w:type="auto"/>
            <w:shd w:val="clear" w:color="auto" w:fill="auto"/>
            <w:tcMar>
              <w:top w:w="40" w:type="dxa"/>
              <w:left w:w="0" w:type="dxa"/>
              <w:bottom w:w="40" w:type="dxa"/>
              <w:right w:w="20" w:type="dxa"/>
            </w:tcMar>
            <w:vAlign w:val="bottom"/>
          </w:tcPr>
          <w:p w14:paraId="5C7C6637" w14:textId="77777777" w:rsidR="0008009C" w:rsidRDefault="0008009C">
            <w:pPr>
              <w:jc w:val="right"/>
              <w:rPr>
                <w:rFonts w:ascii="宋体"/>
              </w:rPr>
            </w:pPr>
          </w:p>
        </w:tc>
      </w:tr>
      <w:tr w:rsidR="0008009C" w14:paraId="5C7C664A" w14:textId="77777777">
        <w:tc>
          <w:tcPr>
            <w:tcW w:w="0" w:type="auto"/>
            <w:gridSpan w:val="3"/>
            <w:shd w:val="clear" w:color="auto" w:fill="auto"/>
            <w:tcMar>
              <w:top w:w="40" w:type="dxa"/>
              <w:left w:w="20" w:type="dxa"/>
              <w:bottom w:w="40" w:type="dxa"/>
              <w:right w:w="20" w:type="dxa"/>
            </w:tcMar>
          </w:tcPr>
          <w:p w14:paraId="5C7C6639" w14:textId="77777777" w:rsidR="0008009C" w:rsidRDefault="00936FDF">
            <w:pPr>
              <w:textAlignment w:val="top"/>
            </w:pPr>
            <w:r>
              <w:rPr>
                <w:rFonts w:ascii="Arial" w:eastAsia="宋体" w:hAnsi="Arial" w:cs="Arial"/>
                <w:color w:val="262626"/>
                <w:sz w:val="18"/>
                <w:szCs w:val="18"/>
              </w:rPr>
              <w:t>Amounts reclassified out of accumulated other comprehensive income (loss)</w:t>
            </w:r>
          </w:p>
        </w:tc>
        <w:tc>
          <w:tcPr>
            <w:tcW w:w="0" w:type="auto"/>
            <w:shd w:val="clear" w:color="auto" w:fill="auto"/>
          </w:tcPr>
          <w:p w14:paraId="5C7C663A" w14:textId="77777777" w:rsidR="0008009C" w:rsidRDefault="0008009C">
            <w:pPr>
              <w:rPr>
                <w:rFonts w:ascii="宋体"/>
                <w:vanish/>
              </w:rPr>
            </w:pPr>
          </w:p>
        </w:tc>
        <w:tc>
          <w:tcPr>
            <w:tcW w:w="0" w:type="auto"/>
            <w:shd w:val="clear" w:color="auto" w:fill="auto"/>
          </w:tcPr>
          <w:p w14:paraId="5C7C663B" w14:textId="77777777" w:rsidR="0008009C" w:rsidRDefault="0008009C">
            <w:pPr>
              <w:rPr>
                <w:rFonts w:ascii="宋体"/>
                <w:vanish/>
              </w:rPr>
            </w:pPr>
          </w:p>
        </w:tc>
        <w:tc>
          <w:tcPr>
            <w:tcW w:w="0" w:type="auto"/>
            <w:shd w:val="clear" w:color="auto" w:fill="auto"/>
          </w:tcPr>
          <w:p w14:paraId="5C7C663C" w14:textId="77777777" w:rsidR="0008009C" w:rsidRDefault="0008009C">
            <w:pPr>
              <w:rPr>
                <w:rFonts w:ascii="宋体"/>
                <w:vanish/>
              </w:rPr>
            </w:pPr>
          </w:p>
        </w:tc>
        <w:tc>
          <w:tcPr>
            <w:tcW w:w="0" w:type="auto"/>
            <w:shd w:val="clear" w:color="auto" w:fill="auto"/>
          </w:tcPr>
          <w:p w14:paraId="5C7C663D" w14:textId="77777777" w:rsidR="0008009C" w:rsidRDefault="0008009C">
            <w:pPr>
              <w:rPr>
                <w:rFonts w:ascii="宋体"/>
                <w:vanish/>
              </w:rPr>
            </w:pPr>
          </w:p>
        </w:tc>
        <w:tc>
          <w:tcPr>
            <w:tcW w:w="0" w:type="auto"/>
            <w:gridSpan w:val="3"/>
            <w:shd w:val="clear" w:color="auto" w:fill="auto"/>
            <w:tcMar>
              <w:top w:w="0" w:type="dxa"/>
              <w:left w:w="20" w:type="dxa"/>
              <w:bottom w:w="0" w:type="dxa"/>
              <w:right w:w="20" w:type="dxa"/>
            </w:tcMar>
          </w:tcPr>
          <w:p w14:paraId="5C7C663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63F" w14:textId="77777777" w:rsidR="0008009C" w:rsidRDefault="00936FDF">
            <w:pPr>
              <w:jc w:val="right"/>
              <w:textAlignment w:val="bottom"/>
            </w:pPr>
            <w:r>
              <w:rPr>
                <w:rFonts w:ascii="Arial" w:eastAsia="宋体" w:hAnsi="Arial" w:cs="Arial"/>
                <w:color w:val="0068B5"/>
                <w:sz w:val="18"/>
                <w:szCs w:val="18"/>
              </w:rPr>
              <w:t>(95)</w:t>
            </w:r>
          </w:p>
        </w:tc>
        <w:tc>
          <w:tcPr>
            <w:tcW w:w="0" w:type="auto"/>
            <w:shd w:val="clear" w:color="auto" w:fill="auto"/>
            <w:tcMar>
              <w:top w:w="40" w:type="dxa"/>
              <w:left w:w="0" w:type="dxa"/>
              <w:bottom w:w="40" w:type="dxa"/>
              <w:right w:w="20" w:type="dxa"/>
            </w:tcMar>
            <w:vAlign w:val="bottom"/>
          </w:tcPr>
          <w:p w14:paraId="5C7C664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4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642" w14:textId="77777777" w:rsidR="0008009C" w:rsidRDefault="00936FDF">
            <w:pPr>
              <w:jc w:val="right"/>
              <w:textAlignment w:val="bottom"/>
            </w:pPr>
            <w:r>
              <w:rPr>
                <w:rFonts w:ascii="Arial" w:eastAsia="宋体" w:hAnsi="Arial" w:cs="Arial"/>
                <w:color w:val="0068B5"/>
                <w:sz w:val="18"/>
                <w:szCs w:val="18"/>
              </w:rPr>
              <w:t>16 </w:t>
            </w:r>
          </w:p>
        </w:tc>
        <w:tc>
          <w:tcPr>
            <w:tcW w:w="0" w:type="auto"/>
            <w:shd w:val="clear" w:color="auto" w:fill="auto"/>
            <w:tcMar>
              <w:top w:w="40" w:type="dxa"/>
              <w:left w:w="0" w:type="dxa"/>
              <w:bottom w:w="40" w:type="dxa"/>
              <w:right w:w="20" w:type="dxa"/>
            </w:tcMar>
            <w:vAlign w:val="bottom"/>
          </w:tcPr>
          <w:p w14:paraId="5C7C664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4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645"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64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4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648" w14:textId="77777777" w:rsidR="0008009C" w:rsidRDefault="00936FDF">
            <w:pPr>
              <w:jc w:val="right"/>
              <w:textAlignment w:val="bottom"/>
            </w:pPr>
            <w:r>
              <w:rPr>
                <w:rFonts w:ascii="Arial" w:eastAsia="宋体" w:hAnsi="Arial" w:cs="Arial"/>
                <w:color w:val="0068B5"/>
                <w:sz w:val="18"/>
                <w:szCs w:val="18"/>
              </w:rPr>
              <w:t>(79)</w:t>
            </w:r>
          </w:p>
        </w:tc>
        <w:tc>
          <w:tcPr>
            <w:tcW w:w="0" w:type="auto"/>
            <w:shd w:val="clear" w:color="auto" w:fill="auto"/>
            <w:tcMar>
              <w:top w:w="40" w:type="dxa"/>
              <w:left w:w="0" w:type="dxa"/>
              <w:bottom w:w="40" w:type="dxa"/>
              <w:right w:w="20" w:type="dxa"/>
            </w:tcMar>
            <w:vAlign w:val="bottom"/>
          </w:tcPr>
          <w:p w14:paraId="5C7C6649" w14:textId="77777777" w:rsidR="0008009C" w:rsidRDefault="0008009C">
            <w:pPr>
              <w:jc w:val="right"/>
              <w:rPr>
                <w:rFonts w:ascii="宋体"/>
              </w:rPr>
            </w:pPr>
          </w:p>
        </w:tc>
      </w:tr>
      <w:tr w:rsidR="0008009C" w14:paraId="5C7C665C" w14:textId="77777777">
        <w:tc>
          <w:tcPr>
            <w:tcW w:w="0" w:type="auto"/>
            <w:gridSpan w:val="3"/>
            <w:shd w:val="clear" w:color="auto" w:fill="auto"/>
            <w:tcMar>
              <w:top w:w="40" w:type="dxa"/>
              <w:left w:w="20" w:type="dxa"/>
              <w:bottom w:w="40" w:type="dxa"/>
              <w:right w:w="20" w:type="dxa"/>
            </w:tcMar>
            <w:vAlign w:val="bottom"/>
          </w:tcPr>
          <w:p w14:paraId="5C7C664B" w14:textId="77777777" w:rsidR="0008009C" w:rsidRDefault="00936FDF">
            <w:pPr>
              <w:textAlignment w:val="bottom"/>
            </w:pPr>
            <w:r>
              <w:rPr>
                <w:rFonts w:ascii="Arial" w:eastAsia="宋体" w:hAnsi="Arial" w:cs="Arial"/>
                <w:color w:val="262626"/>
                <w:sz w:val="18"/>
                <w:szCs w:val="18"/>
              </w:rPr>
              <w:t>Tax effects</w:t>
            </w:r>
          </w:p>
        </w:tc>
        <w:tc>
          <w:tcPr>
            <w:tcW w:w="0" w:type="auto"/>
            <w:shd w:val="clear" w:color="auto" w:fill="auto"/>
          </w:tcPr>
          <w:p w14:paraId="5C7C664C" w14:textId="77777777" w:rsidR="0008009C" w:rsidRDefault="0008009C">
            <w:pPr>
              <w:rPr>
                <w:rFonts w:ascii="宋体"/>
                <w:vanish/>
              </w:rPr>
            </w:pPr>
          </w:p>
        </w:tc>
        <w:tc>
          <w:tcPr>
            <w:tcW w:w="0" w:type="auto"/>
            <w:shd w:val="clear" w:color="auto" w:fill="auto"/>
          </w:tcPr>
          <w:p w14:paraId="5C7C664D" w14:textId="77777777" w:rsidR="0008009C" w:rsidRDefault="0008009C">
            <w:pPr>
              <w:rPr>
                <w:rFonts w:ascii="宋体"/>
                <w:vanish/>
              </w:rPr>
            </w:pPr>
          </w:p>
        </w:tc>
        <w:tc>
          <w:tcPr>
            <w:tcW w:w="0" w:type="auto"/>
            <w:shd w:val="clear" w:color="auto" w:fill="auto"/>
          </w:tcPr>
          <w:p w14:paraId="5C7C664E" w14:textId="77777777" w:rsidR="0008009C" w:rsidRDefault="0008009C">
            <w:pPr>
              <w:rPr>
                <w:rFonts w:ascii="宋体"/>
                <w:vanish/>
              </w:rPr>
            </w:pPr>
          </w:p>
        </w:tc>
        <w:tc>
          <w:tcPr>
            <w:tcW w:w="0" w:type="auto"/>
            <w:shd w:val="clear" w:color="auto" w:fill="auto"/>
          </w:tcPr>
          <w:p w14:paraId="5C7C664F" w14:textId="77777777" w:rsidR="0008009C" w:rsidRDefault="0008009C">
            <w:pPr>
              <w:rPr>
                <w:rFonts w:ascii="宋体"/>
                <w:vanish/>
              </w:rPr>
            </w:pPr>
          </w:p>
        </w:tc>
        <w:tc>
          <w:tcPr>
            <w:tcW w:w="0" w:type="auto"/>
            <w:gridSpan w:val="3"/>
            <w:shd w:val="clear" w:color="auto" w:fill="auto"/>
            <w:tcMar>
              <w:top w:w="0" w:type="dxa"/>
              <w:left w:w="20" w:type="dxa"/>
              <w:bottom w:w="0" w:type="dxa"/>
              <w:right w:w="20" w:type="dxa"/>
            </w:tcMar>
          </w:tcPr>
          <w:p w14:paraId="5C7C665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651" w14:textId="77777777" w:rsidR="0008009C" w:rsidRDefault="00936FDF">
            <w:pPr>
              <w:jc w:val="right"/>
              <w:textAlignment w:val="bottom"/>
            </w:pPr>
            <w:r>
              <w:rPr>
                <w:rFonts w:ascii="Arial" w:eastAsia="宋体" w:hAnsi="Arial" w:cs="Arial"/>
                <w:color w:val="0068B5"/>
                <w:sz w:val="18"/>
                <w:szCs w:val="18"/>
              </w:rPr>
              <w:t>79 </w:t>
            </w:r>
          </w:p>
        </w:tc>
        <w:tc>
          <w:tcPr>
            <w:tcW w:w="0" w:type="auto"/>
            <w:shd w:val="clear" w:color="auto" w:fill="auto"/>
            <w:tcMar>
              <w:top w:w="40" w:type="dxa"/>
              <w:left w:w="0" w:type="dxa"/>
              <w:bottom w:w="40" w:type="dxa"/>
              <w:right w:w="20" w:type="dxa"/>
            </w:tcMar>
            <w:vAlign w:val="bottom"/>
          </w:tcPr>
          <w:p w14:paraId="5C7C665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5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654" w14:textId="77777777" w:rsidR="0008009C" w:rsidRDefault="00936FDF">
            <w:pPr>
              <w:jc w:val="right"/>
              <w:textAlignment w:val="bottom"/>
            </w:pPr>
            <w:r>
              <w:rPr>
                <w:rFonts w:ascii="Arial" w:eastAsia="宋体" w:hAnsi="Arial" w:cs="Arial"/>
                <w:color w:val="0068B5"/>
                <w:sz w:val="18"/>
                <w:szCs w:val="18"/>
              </w:rPr>
              <w:t>(8)</w:t>
            </w:r>
          </w:p>
        </w:tc>
        <w:tc>
          <w:tcPr>
            <w:tcW w:w="0" w:type="auto"/>
            <w:shd w:val="clear" w:color="auto" w:fill="auto"/>
            <w:tcMar>
              <w:top w:w="40" w:type="dxa"/>
              <w:left w:w="0" w:type="dxa"/>
              <w:bottom w:w="40" w:type="dxa"/>
              <w:right w:w="20" w:type="dxa"/>
            </w:tcMar>
            <w:vAlign w:val="bottom"/>
          </w:tcPr>
          <w:p w14:paraId="5C7C665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5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657" w14:textId="77777777" w:rsidR="0008009C" w:rsidRDefault="00936FDF">
            <w:pPr>
              <w:jc w:val="right"/>
              <w:textAlignment w:val="bottom"/>
            </w:pPr>
            <w:r>
              <w:rPr>
                <w:rFonts w:ascii="Arial" w:eastAsia="宋体" w:hAnsi="Arial" w:cs="Arial"/>
                <w:color w:val="0068B5"/>
                <w:sz w:val="18"/>
                <w:szCs w:val="18"/>
              </w:rPr>
              <w:t>4 </w:t>
            </w:r>
          </w:p>
        </w:tc>
        <w:tc>
          <w:tcPr>
            <w:tcW w:w="0" w:type="auto"/>
            <w:shd w:val="clear" w:color="auto" w:fill="auto"/>
            <w:tcMar>
              <w:top w:w="40" w:type="dxa"/>
              <w:left w:w="0" w:type="dxa"/>
              <w:bottom w:w="40" w:type="dxa"/>
              <w:right w:w="20" w:type="dxa"/>
            </w:tcMar>
            <w:vAlign w:val="bottom"/>
          </w:tcPr>
          <w:p w14:paraId="5C7C665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5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65A" w14:textId="77777777" w:rsidR="0008009C" w:rsidRDefault="00936FDF">
            <w:pPr>
              <w:jc w:val="right"/>
              <w:textAlignment w:val="bottom"/>
            </w:pPr>
            <w:r>
              <w:rPr>
                <w:rFonts w:ascii="Arial" w:eastAsia="宋体" w:hAnsi="Arial" w:cs="Arial"/>
                <w:color w:val="0068B5"/>
                <w:sz w:val="18"/>
                <w:szCs w:val="18"/>
              </w:rPr>
              <w:t>75 </w:t>
            </w:r>
          </w:p>
        </w:tc>
        <w:tc>
          <w:tcPr>
            <w:tcW w:w="0" w:type="auto"/>
            <w:shd w:val="clear" w:color="auto" w:fill="auto"/>
            <w:tcMar>
              <w:top w:w="40" w:type="dxa"/>
              <w:left w:w="0" w:type="dxa"/>
              <w:bottom w:w="40" w:type="dxa"/>
              <w:right w:w="20" w:type="dxa"/>
            </w:tcMar>
            <w:vAlign w:val="bottom"/>
          </w:tcPr>
          <w:p w14:paraId="5C7C665B" w14:textId="77777777" w:rsidR="0008009C" w:rsidRDefault="0008009C">
            <w:pPr>
              <w:jc w:val="right"/>
              <w:rPr>
                <w:rFonts w:ascii="宋体"/>
              </w:rPr>
            </w:pPr>
          </w:p>
        </w:tc>
      </w:tr>
      <w:tr w:rsidR="0008009C" w14:paraId="5C7C666E" w14:textId="77777777">
        <w:tc>
          <w:tcPr>
            <w:tcW w:w="0" w:type="auto"/>
            <w:gridSpan w:val="3"/>
            <w:shd w:val="clear" w:color="auto" w:fill="auto"/>
            <w:tcMar>
              <w:top w:w="40" w:type="dxa"/>
              <w:left w:w="20" w:type="dxa"/>
              <w:bottom w:w="40" w:type="dxa"/>
              <w:right w:w="20" w:type="dxa"/>
            </w:tcMar>
            <w:vAlign w:val="bottom"/>
          </w:tcPr>
          <w:p w14:paraId="5C7C665D" w14:textId="77777777" w:rsidR="0008009C" w:rsidRDefault="00936FDF">
            <w:pPr>
              <w:textAlignment w:val="bottom"/>
            </w:pPr>
            <w:r>
              <w:rPr>
                <w:rFonts w:ascii="Arial" w:eastAsia="宋体" w:hAnsi="Arial" w:cs="Arial"/>
                <w:b/>
                <w:bCs/>
                <w:color w:val="262626"/>
                <w:sz w:val="18"/>
                <w:szCs w:val="18"/>
              </w:rPr>
              <w:t>Other comprehensive income (loss)</w:t>
            </w:r>
          </w:p>
        </w:tc>
        <w:tc>
          <w:tcPr>
            <w:tcW w:w="0" w:type="auto"/>
            <w:shd w:val="clear" w:color="auto" w:fill="auto"/>
          </w:tcPr>
          <w:p w14:paraId="5C7C665E" w14:textId="77777777" w:rsidR="0008009C" w:rsidRDefault="0008009C">
            <w:pPr>
              <w:rPr>
                <w:rFonts w:ascii="宋体"/>
                <w:vanish/>
              </w:rPr>
            </w:pPr>
          </w:p>
        </w:tc>
        <w:tc>
          <w:tcPr>
            <w:tcW w:w="0" w:type="auto"/>
            <w:shd w:val="clear" w:color="auto" w:fill="auto"/>
          </w:tcPr>
          <w:p w14:paraId="5C7C665F" w14:textId="77777777" w:rsidR="0008009C" w:rsidRDefault="0008009C">
            <w:pPr>
              <w:rPr>
                <w:rFonts w:ascii="宋体"/>
                <w:vanish/>
              </w:rPr>
            </w:pPr>
          </w:p>
        </w:tc>
        <w:tc>
          <w:tcPr>
            <w:tcW w:w="0" w:type="auto"/>
            <w:shd w:val="clear" w:color="auto" w:fill="auto"/>
          </w:tcPr>
          <w:p w14:paraId="5C7C6660" w14:textId="77777777" w:rsidR="0008009C" w:rsidRDefault="0008009C">
            <w:pPr>
              <w:rPr>
                <w:rFonts w:ascii="宋体"/>
                <w:vanish/>
              </w:rPr>
            </w:pPr>
          </w:p>
        </w:tc>
        <w:tc>
          <w:tcPr>
            <w:tcW w:w="0" w:type="auto"/>
            <w:shd w:val="clear" w:color="auto" w:fill="auto"/>
          </w:tcPr>
          <w:p w14:paraId="5C7C6661" w14:textId="77777777" w:rsidR="0008009C" w:rsidRDefault="0008009C">
            <w:pPr>
              <w:rPr>
                <w:rFonts w:ascii="宋体"/>
                <w:vanish/>
              </w:rPr>
            </w:pPr>
          </w:p>
        </w:tc>
        <w:tc>
          <w:tcPr>
            <w:tcW w:w="0" w:type="auto"/>
            <w:gridSpan w:val="3"/>
            <w:shd w:val="clear" w:color="auto" w:fill="auto"/>
            <w:tcMar>
              <w:top w:w="0" w:type="dxa"/>
              <w:left w:w="20" w:type="dxa"/>
              <w:bottom w:w="0" w:type="dxa"/>
              <w:right w:w="20" w:type="dxa"/>
            </w:tcMar>
          </w:tcPr>
          <w:p w14:paraId="5C7C6662"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663" w14:textId="77777777" w:rsidR="0008009C" w:rsidRDefault="00936FDF">
            <w:pPr>
              <w:jc w:val="right"/>
              <w:textAlignment w:val="bottom"/>
            </w:pPr>
            <w:r>
              <w:rPr>
                <w:rFonts w:ascii="Arial" w:eastAsia="宋体" w:hAnsi="Arial" w:cs="Arial"/>
                <w:b/>
                <w:bCs/>
                <w:color w:val="0068B5"/>
                <w:sz w:val="18"/>
                <w:szCs w:val="18"/>
              </w:rPr>
              <w:t>(350)</w:t>
            </w:r>
          </w:p>
        </w:tc>
        <w:tc>
          <w:tcPr>
            <w:tcW w:w="0" w:type="auto"/>
            <w:tcBorders>
              <w:top w:val="single" w:sz="8" w:space="0" w:color="262626"/>
            </w:tcBorders>
            <w:shd w:val="clear" w:color="auto" w:fill="auto"/>
            <w:tcMar>
              <w:top w:w="40" w:type="dxa"/>
              <w:left w:w="0" w:type="dxa"/>
              <w:bottom w:w="40" w:type="dxa"/>
              <w:right w:w="20" w:type="dxa"/>
            </w:tcMar>
            <w:vAlign w:val="bottom"/>
          </w:tcPr>
          <w:p w14:paraId="5C7C666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65"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666" w14:textId="77777777" w:rsidR="0008009C" w:rsidRDefault="00936FDF">
            <w:pPr>
              <w:jc w:val="right"/>
              <w:textAlignment w:val="bottom"/>
            </w:pPr>
            <w:r>
              <w:rPr>
                <w:rFonts w:ascii="Arial" w:eastAsia="宋体" w:hAnsi="Arial" w:cs="Arial"/>
                <w:b/>
                <w:bCs/>
                <w:color w:val="0068B5"/>
                <w:sz w:val="18"/>
                <w:szCs w:val="18"/>
              </w:rPr>
              <w:t>13</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66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68"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669" w14:textId="77777777" w:rsidR="0008009C" w:rsidRDefault="00936FDF">
            <w:pPr>
              <w:jc w:val="right"/>
              <w:textAlignment w:val="bottom"/>
            </w:pPr>
            <w:r>
              <w:rPr>
                <w:rFonts w:ascii="Arial" w:eastAsia="宋体" w:hAnsi="Arial" w:cs="Arial"/>
                <w:b/>
                <w:bCs/>
                <w:color w:val="0068B5"/>
                <w:sz w:val="18"/>
                <w:szCs w:val="18"/>
              </w:rPr>
              <w:t>(15)</w:t>
            </w:r>
          </w:p>
        </w:tc>
        <w:tc>
          <w:tcPr>
            <w:tcW w:w="0" w:type="auto"/>
            <w:tcBorders>
              <w:top w:val="single" w:sz="8" w:space="0" w:color="262626"/>
            </w:tcBorders>
            <w:shd w:val="clear" w:color="auto" w:fill="auto"/>
            <w:tcMar>
              <w:top w:w="40" w:type="dxa"/>
              <w:left w:w="0" w:type="dxa"/>
              <w:bottom w:w="40" w:type="dxa"/>
              <w:right w:w="20" w:type="dxa"/>
            </w:tcMar>
            <w:vAlign w:val="bottom"/>
          </w:tcPr>
          <w:p w14:paraId="5C7C666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6B"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66C" w14:textId="77777777" w:rsidR="0008009C" w:rsidRDefault="00936FDF">
            <w:pPr>
              <w:jc w:val="right"/>
              <w:textAlignment w:val="bottom"/>
            </w:pPr>
            <w:r>
              <w:rPr>
                <w:rFonts w:ascii="Arial" w:eastAsia="宋体" w:hAnsi="Arial" w:cs="Arial"/>
                <w:b/>
                <w:bCs/>
                <w:color w:val="0068B5"/>
                <w:sz w:val="18"/>
                <w:szCs w:val="18"/>
              </w:rPr>
              <w:t>(352)</w:t>
            </w:r>
          </w:p>
        </w:tc>
        <w:tc>
          <w:tcPr>
            <w:tcW w:w="0" w:type="auto"/>
            <w:tcBorders>
              <w:top w:val="single" w:sz="8" w:space="0" w:color="262626"/>
            </w:tcBorders>
            <w:shd w:val="clear" w:color="auto" w:fill="auto"/>
            <w:tcMar>
              <w:top w:w="40" w:type="dxa"/>
              <w:left w:w="0" w:type="dxa"/>
              <w:bottom w:w="40" w:type="dxa"/>
              <w:right w:w="20" w:type="dxa"/>
            </w:tcMar>
            <w:vAlign w:val="bottom"/>
          </w:tcPr>
          <w:p w14:paraId="5C7C666D" w14:textId="77777777" w:rsidR="0008009C" w:rsidRDefault="0008009C">
            <w:pPr>
              <w:jc w:val="right"/>
              <w:rPr>
                <w:rFonts w:ascii="宋体"/>
              </w:rPr>
            </w:pPr>
          </w:p>
        </w:tc>
      </w:tr>
      <w:tr w:rsidR="0008009C" w14:paraId="5C7C6684" w14:textId="77777777">
        <w:tc>
          <w:tcPr>
            <w:tcW w:w="0" w:type="auto"/>
            <w:gridSpan w:val="3"/>
            <w:shd w:val="clear" w:color="auto" w:fill="auto"/>
            <w:tcMar>
              <w:top w:w="40" w:type="dxa"/>
              <w:left w:w="20" w:type="dxa"/>
              <w:bottom w:w="40" w:type="dxa"/>
              <w:right w:w="20" w:type="dxa"/>
            </w:tcMar>
            <w:vAlign w:val="bottom"/>
          </w:tcPr>
          <w:p w14:paraId="5C7C666F" w14:textId="77777777" w:rsidR="0008009C" w:rsidRDefault="00936FDF">
            <w:pPr>
              <w:textAlignment w:val="bottom"/>
            </w:pPr>
            <w:r>
              <w:rPr>
                <w:rFonts w:ascii="Arial" w:eastAsia="宋体" w:hAnsi="Arial" w:cs="Arial"/>
                <w:b/>
                <w:bCs/>
                <w:color w:val="262626"/>
                <w:sz w:val="18"/>
                <w:szCs w:val="18"/>
              </w:rPr>
              <w:t>Balance as of March 27, 2021</w:t>
            </w:r>
          </w:p>
        </w:tc>
        <w:tc>
          <w:tcPr>
            <w:tcW w:w="0" w:type="auto"/>
            <w:shd w:val="clear" w:color="auto" w:fill="auto"/>
          </w:tcPr>
          <w:p w14:paraId="5C7C6670" w14:textId="77777777" w:rsidR="0008009C" w:rsidRDefault="0008009C">
            <w:pPr>
              <w:rPr>
                <w:rFonts w:ascii="宋体"/>
                <w:vanish/>
              </w:rPr>
            </w:pPr>
          </w:p>
        </w:tc>
        <w:tc>
          <w:tcPr>
            <w:tcW w:w="0" w:type="auto"/>
            <w:shd w:val="clear" w:color="auto" w:fill="auto"/>
          </w:tcPr>
          <w:p w14:paraId="5C7C6671" w14:textId="77777777" w:rsidR="0008009C" w:rsidRDefault="0008009C">
            <w:pPr>
              <w:rPr>
                <w:rFonts w:ascii="宋体"/>
                <w:vanish/>
              </w:rPr>
            </w:pPr>
          </w:p>
        </w:tc>
        <w:tc>
          <w:tcPr>
            <w:tcW w:w="0" w:type="auto"/>
            <w:shd w:val="clear" w:color="auto" w:fill="auto"/>
          </w:tcPr>
          <w:p w14:paraId="5C7C6672" w14:textId="77777777" w:rsidR="0008009C" w:rsidRDefault="0008009C">
            <w:pPr>
              <w:rPr>
                <w:rFonts w:ascii="宋体"/>
                <w:vanish/>
              </w:rPr>
            </w:pPr>
          </w:p>
        </w:tc>
        <w:tc>
          <w:tcPr>
            <w:tcW w:w="0" w:type="auto"/>
            <w:shd w:val="clear" w:color="auto" w:fill="auto"/>
          </w:tcPr>
          <w:p w14:paraId="5C7C6673" w14:textId="77777777" w:rsidR="0008009C" w:rsidRDefault="0008009C">
            <w:pPr>
              <w:rPr>
                <w:rFonts w:ascii="宋体"/>
                <w:vanish/>
              </w:rPr>
            </w:pPr>
          </w:p>
        </w:tc>
        <w:tc>
          <w:tcPr>
            <w:tcW w:w="0" w:type="auto"/>
            <w:gridSpan w:val="3"/>
            <w:shd w:val="clear" w:color="auto" w:fill="auto"/>
            <w:tcMar>
              <w:top w:w="0" w:type="dxa"/>
              <w:left w:w="20" w:type="dxa"/>
              <w:bottom w:w="0" w:type="dxa"/>
              <w:right w:w="20" w:type="dxa"/>
            </w:tcMar>
          </w:tcPr>
          <w:p w14:paraId="5C7C6674"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675"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676" w14:textId="77777777" w:rsidR="0008009C" w:rsidRDefault="00936FDF">
            <w:pPr>
              <w:jc w:val="right"/>
              <w:textAlignment w:val="bottom"/>
            </w:pPr>
            <w:r>
              <w:rPr>
                <w:rFonts w:ascii="Arial" w:eastAsia="宋体" w:hAnsi="Arial" w:cs="Arial"/>
                <w:b/>
                <w:bCs/>
                <w:color w:val="0068B5"/>
                <w:sz w:val="18"/>
                <w:szCs w:val="18"/>
              </w:rPr>
              <w:t>381</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67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78"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679"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67A" w14:textId="77777777" w:rsidR="0008009C" w:rsidRDefault="00936FDF">
            <w:pPr>
              <w:jc w:val="right"/>
              <w:textAlignment w:val="bottom"/>
            </w:pPr>
            <w:r>
              <w:rPr>
                <w:rFonts w:ascii="Arial" w:eastAsia="宋体" w:hAnsi="Arial" w:cs="Arial"/>
                <w:b/>
                <w:bCs/>
                <w:color w:val="0068B5"/>
                <w:sz w:val="18"/>
                <w:szCs w:val="18"/>
              </w:rPr>
              <w:t>(1,552)</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67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7C"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67D"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67E" w14:textId="77777777" w:rsidR="0008009C" w:rsidRDefault="00936FDF">
            <w:pPr>
              <w:jc w:val="right"/>
              <w:textAlignment w:val="bottom"/>
            </w:pPr>
            <w:r>
              <w:rPr>
                <w:rFonts w:ascii="Arial" w:eastAsia="宋体" w:hAnsi="Arial" w:cs="Arial"/>
                <w:b/>
                <w:bCs/>
                <w:color w:val="0068B5"/>
                <w:sz w:val="18"/>
                <w:szCs w:val="18"/>
              </w:rPr>
              <w:t>68</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67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80"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681"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682" w14:textId="77777777" w:rsidR="0008009C" w:rsidRDefault="00936FDF">
            <w:pPr>
              <w:jc w:val="right"/>
              <w:textAlignment w:val="bottom"/>
            </w:pPr>
            <w:r>
              <w:rPr>
                <w:rFonts w:ascii="Arial" w:eastAsia="宋体" w:hAnsi="Arial" w:cs="Arial"/>
                <w:b/>
                <w:bCs/>
                <w:color w:val="0068B5"/>
                <w:sz w:val="18"/>
                <w:szCs w:val="18"/>
              </w:rPr>
              <w:t>(1,103)</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683" w14:textId="77777777" w:rsidR="0008009C" w:rsidRDefault="0008009C">
            <w:pPr>
              <w:jc w:val="right"/>
              <w:rPr>
                <w:rFonts w:ascii="宋体"/>
              </w:rPr>
            </w:pPr>
          </w:p>
        </w:tc>
      </w:tr>
    </w:tbl>
    <w:p w14:paraId="5C7C6685" w14:textId="77777777" w:rsidR="0008009C" w:rsidRDefault="00936FDF">
      <w:pPr>
        <w:spacing w:before="300" w:after="180"/>
      </w:pPr>
      <w:r>
        <w:rPr>
          <w:rFonts w:ascii="Arial" w:eastAsia="宋体" w:hAnsi="Arial" w:cs="Arial"/>
          <w:color w:val="262626"/>
          <w:sz w:val="18"/>
          <w:szCs w:val="18"/>
        </w:rPr>
        <w:t>We estimate that we will reclassify approximately $127 mill</w:t>
      </w:r>
      <w:r>
        <w:rPr>
          <w:rFonts w:ascii="Arial" w:eastAsia="宋体" w:hAnsi="Arial" w:cs="Arial"/>
          <w:color w:val="262626"/>
          <w:sz w:val="18"/>
          <w:szCs w:val="18"/>
        </w:rPr>
        <w:t xml:space="preserve">ion (before taxes) of net derivative gains included in accumulated other comprehensive income (loss) into earnings within the next 12 months.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8009C" w14:paraId="5C7C668C" w14:textId="77777777">
        <w:tc>
          <w:tcPr>
            <w:tcW w:w="50" w:type="pct"/>
            <w:shd w:val="clear" w:color="auto" w:fill="auto"/>
          </w:tcPr>
          <w:p w14:paraId="5C7C6686" w14:textId="77777777" w:rsidR="0008009C" w:rsidRDefault="0008009C">
            <w:pPr>
              <w:rPr>
                <w:rFonts w:ascii="宋体"/>
              </w:rPr>
            </w:pPr>
          </w:p>
        </w:tc>
        <w:tc>
          <w:tcPr>
            <w:tcW w:w="511" w:type="pct"/>
            <w:shd w:val="clear" w:color="auto" w:fill="auto"/>
          </w:tcPr>
          <w:p w14:paraId="5C7C6687" w14:textId="77777777" w:rsidR="0008009C" w:rsidRDefault="0008009C">
            <w:pPr>
              <w:rPr>
                <w:rFonts w:ascii="宋体"/>
              </w:rPr>
            </w:pPr>
          </w:p>
        </w:tc>
        <w:tc>
          <w:tcPr>
            <w:tcW w:w="5" w:type="pct"/>
            <w:shd w:val="clear" w:color="auto" w:fill="auto"/>
          </w:tcPr>
          <w:p w14:paraId="5C7C6688" w14:textId="77777777" w:rsidR="0008009C" w:rsidRDefault="0008009C">
            <w:pPr>
              <w:rPr>
                <w:rFonts w:ascii="宋体"/>
              </w:rPr>
            </w:pPr>
          </w:p>
        </w:tc>
        <w:tc>
          <w:tcPr>
            <w:tcW w:w="50" w:type="pct"/>
            <w:shd w:val="clear" w:color="auto" w:fill="auto"/>
          </w:tcPr>
          <w:p w14:paraId="5C7C6689" w14:textId="77777777" w:rsidR="0008009C" w:rsidRDefault="0008009C">
            <w:pPr>
              <w:rPr>
                <w:rFonts w:ascii="宋体"/>
              </w:rPr>
            </w:pPr>
          </w:p>
        </w:tc>
        <w:tc>
          <w:tcPr>
            <w:tcW w:w="4378" w:type="pct"/>
            <w:shd w:val="clear" w:color="auto" w:fill="auto"/>
          </w:tcPr>
          <w:p w14:paraId="5C7C668A" w14:textId="77777777" w:rsidR="0008009C" w:rsidRDefault="0008009C">
            <w:pPr>
              <w:rPr>
                <w:rFonts w:ascii="宋体"/>
              </w:rPr>
            </w:pPr>
          </w:p>
        </w:tc>
        <w:tc>
          <w:tcPr>
            <w:tcW w:w="5" w:type="pct"/>
            <w:shd w:val="clear" w:color="auto" w:fill="auto"/>
          </w:tcPr>
          <w:p w14:paraId="5C7C668B" w14:textId="77777777" w:rsidR="0008009C" w:rsidRDefault="0008009C">
            <w:pPr>
              <w:rPr>
                <w:rFonts w:ascii="宋体"/>
              </w:rPr>
            </w:pPr>
          </w:p>
        </w:tc>
      </w:tr>
      <w:tr w:rsidR="0008009C" w14:paraId="5C7C668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C7C668D" w14:textId="77777777" w:rsidR="0008009C" w:rsidRDefault="00936FDF">
            <w:pPr>
              <w:textAlignment w:val="bottom"/>
            </w:pPr>
            <w:r>
              <w:rPr>
                <w:rFonts w:ascii="Arial" w:eastAsia="宋体" w:hAnsi="Arial" w:cs="Arial"/>
                <w:color w:val="FFFFFF"/>
                <w:sz w:val="28"/>
                <w:szCs w:val="28"/>
              </w:rPr>
              <w:t xml:space="preserve">Note 12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C7C668E" w14:textId="77777777" w:rsidR="0008009C" w:rsidRDefault="00936FDF">
            <w:pPr>
              <w:textAlignment w:val="bottom"/>
            </w:pPr>
            <w:r>
              <w:rPr>
                <w:rFonts w:ascii="Arial" w:eastAsia="宋体" w:hAnsi="Arial" w:cs="Arial"/>
                <w:color w:val="0068B5"/>
                <w:sz w:val="28"/>
                <w:szCs w:val="28"/>
              </w:rPr>
              <w:t>Derivative Financial Instruments</w:t>
            </w:r>
          </w:p>
        </w:tc>
      </w:tr>
    </w:tbl>
    <w:p w14:paraId="5C7C6690" w14:textId="77777777" w:rsidR="0008009C" w:rsidRDefault="00936FDF">
      <w:pPr>
        <w:spacing w:before="300" w:after="180"/>
      </w:pPr>
      <w:r>
        <w:rPr>
          <w:rFonts w:ascii="Arial" w:eastAsia="宋体" w:hAnsi="Arial" w:cs="Arial"/>
          <w:color w:val="0068B5"/>
        </w:rPr>
        <w:t>Volume of Derivative Activity</w:t>
      </w:r>
    </w:p>
    <w:p w14:paraId="5C7C6691" w14:textId="77777777" w:rsidR="0008009C" w:rsidRDefault="00936FDF">
      <w:pPr>
        <w:spacing w:after="120"/>
      </w:pPr>
      <w:r>
        <w:rPr>
          <w:rFonts w:ascii="Arial" w:eastAsia="宋体" w:hAnsi="Arial" w:cs="Arial"/>
          <w:color w:val="262626"/>
          <w:sz w:val="18"/>
          <w:szCs w:val="18"/>
        </w:rPr>
        <w:t xml:space="preserve">Total gross notional </w:t>
      </w:r>
      <w:r>
        <w:rPr>
          <w:rFonts w:ascii="Arial" w:eastAsia="宋体" w:hAnsi="Arial" w:cs="Arial"/>
          <w:color w:val="262626"/>
          <w:sz w:val="18"/>
          <w:szCs w:val="18"/>
        </w:rPr>
        <w:t>amounts for outstanding derivatives at the end of each period were as follows: </w:t>
      </w:r>
    </w:p>
    <w:tbl>
      <w:tblPr>
        <w:tblW w:w="5000" w:type="pct"/>
        <w:tblCellMar>
          <w:top w:w="15" w:type="dxa"/>
          <w:left w:w="15" w:type="dxa"/>
          <w:bottom w:w="15" w:type="dxa"/>
          <w:right w:w="15" w:type="dxa"/>
        </w:tblCellMar>
        <w:tblLook w:val="04A0" w:firstRow="1" w:lastRow="0" w:firstColumn="1" w:lastColumn="0" w:noHBand="0" w:noVBand="1"/>
      </w:tblPr>
      <w:tblGrid>
        <w:gridCol w:w="38"/>
        <w:gridCol w:w="6052"/>
        <w:gridCol w:w="36"/>
        <w:gridCol w:w="36"/>
        <w:gridCol w:w="36"/>
        <w:gridCol w:w="36"/>
        <w:gridCol w:w="121"/>
        <w:gridCol w:w="804"/>
        <w:gridCol w:w="36"/>
        <w:gridCol w:w="36"/>
        <w:gridCol w:w="36"/>
        <w:gridCol w:w="36"/>
        <w:gridCol w:w="121"/>
        <w:gridCol w:w="804"/>
        <w:gridCol w:w="36"/>
        <w:gridCol w:w="36"/>
        <w:gridCol w:w="36"/>
      </w:tblGrid>
      <w:tr w:rsidR="0008009C" w14:paraId="5C7C66A3" w14:textId="77777777">
        <w:tc>
          <w:tcPr>
            <w:tcW w:w="50" w:type="pct"/>
            <w:shd w:val="clear" w:color="auto" w:fill="auto"/>
          </w:tcPr>
          <w:p w14:paraId="5C7C6692" w14:textId="77777777" w:rsidR="0008009C" w:rsidRDefault="0008009C">
            <w:pPr>
              <w:rPr>
                <w:rFonts w:ascii="宋体"/>
              </w:rPr>
            </w:pPr>
          </w:p>
        </w:tc>
        <w:tc>
          <w:tcPr>
            <w:tcW w:w="3688" w:type="pct"/>
            <w:shd w:val="clear" w:color="auto" w:fill="auto"/>
          </w:tcPr>
          <w:p w14:paraId="5C7C6693" w14:textId="77777777" w:rsidR="0008009C" w:rsidRDefault="0008009C">
            <w:pPr>
              <w:rPr>
                <w:rFonts w:ascii="宋体"/>
              </w:rPr>
            </w:pPr>
          </w:p>
        </w:tc>
        <w:tc>
          <w:tcPr>
            <w:tcW w:w="5" w:type="pct"/>
            <w:shd w:val="clear" w:color="auto" w:fill="auto"/>
          </w:tcPr>
          <w:p w14:paraId="5C7C6694" w14:textId="77777777" w:rsidR="0008009C" w:rsidRDefault="0008009C">
            <w:pPr>
              <w:rPr>
                <w:rFonts w:ascii="宋体"/>
              </w:rPr>
            </w:pPr>
          </w:p>
        </w:tc>
        <w:tc>
          <w:tcPr>
            <w:tcW w:w="5" w:type="pct"/>
            <w:shd w:val="clear" w:color="auto" w:fill="auto"/>
          </w:tcPr>
          <w:p w14:paraId="5C7C6695" w14:textId="77777777" w:rsidR="0008009C" w:rsidRDefault="0008009C">
            <w:pPr>
              <w:rPr>
                <w:rFonts w:ascii="宋体"/>
              </w:rPr>
            </w:pPr>
          </w:p>
        </w:tc>
        <w:tc>
          <w:tcPr>
            <w:tcW w:w="24" w:type="pct"/>
            <w:shd w:val="clear" w:color="auto" w:fill="auto"/>
          </w:tcPr>
          <w:p w14:paraId="5C7C6696" w14:textId="77777777" w:rsidR="0008009C" w:rsidRDefault="0008009C">
            <w:pPr>
              <w:rPr>
                <w:rFonts w:ascii="宋体"/>
              </w:rPr>
            </w:pPr>
          </w:p>
        </w:tc>
        <w:tc>
          <w:tcPr>
            <w:tcW w:w="5" w:type="pct"/>
            <w:shd w:val="clear" w:color="auto" w:fill="auto"/>
          </w:tcPr>
          <w:p w14:paraId="5C7C6697" w14:textId="77777777" w:rsidR="0008009C" w:rsidRDefault="0008009C">
            <w:pPr>
              <w:rPr>
                <w:rFonts w:ascii="宋体"/>
              </w:rPr>
            </w:pPr>
          </w:p>
        </w:tc>
        <w:tc>
          <w:tcPr>
            <w:tcW w:w="50" w:type="pct"/>
            <w:shd w:val="clear" w:color="auto" w:fill="auto"/>
          </w:tcPr>
          <w:p w14:paraId="5C7C6698" w14:textId="77777777" w:rsidR="0008009C" w:rsidRDefault="0008009C">
            <w:pPr>
              <w:rPr>
                <w:rFonts w:ascii="宋体"/>
              </w:rPr>
            </w:pPr>
          </w:p>
        </w:tc>
        <w:tc>
          <w:tcPr>
            <w:tcW w:w="539" w:type="pct"/>
            <w:shd w:val="clear" w:color="auto" w:fill="auto"/>
          </w:tcPr>
          <w:p w14:paraId="5C7C6699" w14:textId="77777777" w:rsidR="0008009C" w:rsidRDefault="0008009C">
            <w:pPr>
              <w:rPr>
                <w:rFonts w:ascii="宋体"/>
              </w:rPr>
            </w:pPr>
          </w:p>
        </w:tc>
        <w:tc>
          <w:tcPr>
            <w:tcW w:w="5" w:type="pct"/>
            <w:shd w:val="clear" w:color="auto" w:fill="auto"/>
          </w:tcPr>
          <w:p w14:paraId="5C7C669A" w14:textId="77777777" w:rsidR="0008009C" w:rsidRDefault="0008009C">
            <w:pPr>
              <w:rPr>
                <w:rFonts w:ascii="宋体"/>
              </w:rPr>
            </w:pPr>
          </w:p>
        </w:tc>
        <w:tc>
          <w:tcPr>
            <w:tcW w:w="5" w:type="pct"/>
            <w:shd w:val="clear" w:color="auto" w:fill="auto"/>
          </w:tcPr>
          <w:p w14:paraId="5C7C669B" w14:textId="77777777" w:rsidR="0008009C" w:rsidRDefault="0008009C">
            <w:pPr>
              <w:rPr>
                <w:rFonts w:ascii="宋体"/>
              </w:rPr>
            </w:pPr>
          </w:p>
        </w:tc>
        <w:tc>
          <w:tcPr>
            <w:tcW w:w="24" w:type="pct"/>
            <w:shd w:val="clear" w:color="auto" w:fill="auto"/>
          </w:tcPr>
          <w:p w14:paraId="5C7C669C" w14:textId="77777777" w:rsidR="0008009C" w:rsidRDefault="0008009C">
            <w:pPr>
              <w:rPr>
                <w:rFonts w:ascii="宋体"/>
              </w:rPr>
            </w:pPr>
          </w:p>
        </w:tc>
        <w:tc>
          <w:tcPr>
            <w:tcW w:w="5" w:type="pct"/>
            <w:shd w:val="clear" w:color="auto" w:fill="auto"/>
          </w:tcPr>
          <w:p w14:paraId="5C7C669D" w14:textId="77777777" w:rsidR="0008009C" w:rsidRDefault="0008009C">
            <w:pPr>
              <w:rPr>
                <w:rFonts w:ascii="宋体"/>
              </w:rPr>
            </w:pPr>
          </w:p>
        </w:tc>
        <w:tc>
          <w:tcPr>
            <w:tcW w:w="50" w:type="pct"/>
            <w:shd w:val="clear" w:color="auto" w:fill="auto"/>
          </w:tcPr>
          <w:p w14:paraId="5C7C669E" w14:textId="77777777" w:rsidR="0008009C" w:rsidRDefault="0008009C">
            <w:pPr>
              <w:rPr>
                <w:rFonts w:ascii="宋体"/>
              </w:rPr>
            </w:pPr>
          </w:p>
        </w:tc>
        <w:tc>
          <w:tcPr>
            <w:tcW w:w="539" w:type="pct"/>
            <w:shd w:val="clear" w:color="auto" w:fill="auto"/>
          </w:tcPr>
          <w:p w14:paraId="5C7C669F" w14:textId="77777777" w:rsidR="0008009C" w:rsidRDefault="0008009C">
            <w:pPr>
              <w:rPr>
                <w:rFonts w:ascii="宋体"/>
              </w:rPr>
            </w:pPr>
          </w:p>
        </w:tc>
        <w:tc>
          <w:tcPr>
            <w:tcW w:w="5" w:type="pct"/>
            <w:shd w:val="clear" w:color="auto" w:fill="auto"/>
          </w:tcPr>
          <w:p w14:paraId="5C7C66A0" w14:textId="77777777" w:rsidR="0008009C" w:rsidRDefault="0008009C">
            <w:pPr>
              <w:rPr>
                <w:rFonts w:ascii="宋体"/>
              </w:rPr>
            </w:pPr>
          </w:p>
        </w:tc>
        <w:tc>
          <w:tcPr>
            <w:tcW w:w="0" w:type="auto"/>
            <w:shd w:val="clear" w:color="auto" w:fill="auto"/>
          </w:tcPr>
          <w:p w14:paraId="5C7C66A1" w14:textId="77777777" w:rsidR="0008009C" w:rsidRDefault="0008009C">
            <w:pPr>
              <w:rPr>
                <w:rFonts w:ascii="宋体"/>
                <w:vanish/>
              </w:rPr>
            </w:pPr>
          </w:p>
        </w:tc>
        <w:tc>
          <w:tcPr>
            <w:tcW w:w="0" w:type="auto"/>
            <w:shd w:val="clear" w:color="auto" w:fill="auto"/>
          </w:tcPr>
          <w:p w14:paraId="5C7C66A2" w14:textId="77777777" w:rsidR="0008009C" w:rsidRDefault="0008009C">
            <w:pPr>
              <w:rPr>
                <w:rFonts w:ascii="宋体"/>
                <w:vanish/>
              </w:rPr>
            </w:pPr>
          </w:p>
        </w:tc>
      </w:tr>
      <w:tr w:rsidR="0008009C" w14:paraId="5C7C66AB" w14:textId="77777777">
        <w:tc>
          <w:tcPr>
            <w:tcW w:w="0" w:type="auto"/>
            <w:gridSpan w:val="3"/>
            <w:shd w:val="clear" w:color="auto" w:fill="auto"/>
            <w:tcMar>
              <w:top w:w="40" w:type="dxa"/>
              <w:left w:w="20" w:type="dxa"/>
              <w:bottom w:w="40" w:type="dxa"/>
              <w:right w:w="20" w:type="dxa"/>
            </w:tcMar>
            <w:vAlign w:val="bottom"/>
          </w:tcPr>
          <w:p w14:paraId="5C7C66A4" w14:textId="77777777" w:rsidR="0008009C" w:rsidRDefault="00936FDF">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66A5"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6A6"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shd w:val="clear" w:color="auto" w:fill="auto"/>
            <w:tcMar>
              <w:top w:w="0" w:type="dxa"/>
              <w:left w:w="20" w:type="dxa"/>
              <w:bottom w:w="0" w:type="dxa"/>
              <w:right w:w="20" w:type="dxa"/>
            </w:tcMar>
          </w:tcPr>
          <w:p w14:paraId="5C7C66A7"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6A8" w14:textId="77777777" w:rsidR="0008009C" w:rsidRDefault="00936FDF">
            <w:pPr>
              <w:jc w:val="center"/>
              <w:textAlignment w:val="bottom"/>
            </w:pPr>
            <w:r>
              <w:rPr>
                <w:rFonts w:ascii="Arial" w:eastAsia="宋体" w:hAnsi="Arial" w:cs="Arial"/>
                <w:b/>
                <w:bCs/>
                <w:color w:val="262626"/>
                <w:sz w:val="18"/>
                <w:szCs w:val="18"/>
              </w:rPr>
              <w:t>Dec 26, 2020</w:t>
            </w:r>
          </w:p>
        </w:tc>
        <w:tc>
          <w:tcPr>
            <w:tcW w:w="0" w:type="auto"/>
            <w:shd w:val="clear" w:color="auto" w:fill="auto"/>
          </w:tcPr>
          <w:p w14:paraId="5C7C66A9" w14:textId="77777777" w:rsidR="0008009C" w:rsidRDefault="0008009C">
            <w:pPr>
              <w:rPr>
                <w:rFonts w:ascii="宋体"/>
                <w:vanish/>
              </w:rPr>
            </w:pPr>
          </w:p>
        </w:tc>
        <w:tc>
          <w:tcPr>
            <w:tcW w:w="0" w:type="auto"/>
            <w:shd w:val="clear" w:color="auto" w:fill="auto"/>
          </w:tcPr>
          <w:p w14:paraId="5C7C66AA" w14:textId="77777777" w:rsidR="0008009C" w:rsidRDefault="0008009C">
            <w:pPr>
              <w:rPr>
                <w:rFonts w:ascii="宋体"/>
                <w:vanish/>
              </w:rPr>
            </w:pPr>
          </w:p>
        </w:tc>
      </w:tr>
      <w:tr w:rsidR="0008009C" w14:paraId="5C7C66B7"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66AC" w14:textId="77777777" w:rsidR="0008009C" w:rsidRDefault="00936FDF">
            <w:pPr>
              <w:ind w:hanging="180"/>
              <w:textAlignment w:val="top"/>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tcPr>
          <w:p w14:paraId="5C7C66AD"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6AE"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6AF" w14:textId="77777777" w:rsidR="0008009C" w:rsidRDefault="00936FDF">
            <w:pPr>
              <w:jc w:val="right"/>
              <w:textAlignment w:val="bottom"/>
            </w:pPr>
            <w:r>
              <w:rPr>
                <w:rFonts w:ascii="Arial" w:eastAsia="宋体" w:hAnsi="Arial" w:cs="Arial"/>
                <w:color w:val="0068B5"/>
                <w:sz w:val="18"/>
                <w:szCs w:val="18"/>
              </w:rPr>
              <w:t>31,349 </w:t>
            </w:r>
          </w:p>
        </w:tc>
        <w:tc>
          <w:tcPr>
            <w:tcW w:w="0" w:type="auto"/>
            <w:tcBorders>
              <w:top w:val="single" w:sz="8" w:space="0" w:color="0068B5"/>
            </w:tcBorders>
            <w:shd w:val="clear" w:color="auto" w:fill="auto"/>
            <w:tcMar>
              <w:top w:w="40" w:type="dxa"/>
              <w:left w:w="0" w:type="dxa"/>
              <w:bottom w:w="40" w:type="dxa"/>
              <w:right w:w="20" w:type="dxa"/>
            </w:tcMar>
            <w:vAlign w:val="bottom"/>
          </w:tcPr>
          <w:p w14:paraId="5C7C66B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B1"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6B2" w14:textId="77777777" w:rsidR="0008009C" w:rsidRDefault="00936FDF">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6B3" w14:textId="77777777" w:rsidR="0008009C" w:rsidRDefault="00936FDF">
            <w:pPr>
              <w:jc w:val="right"/>
              <w:textAlignment w:val="bottom"/>
            </w:pPr>
            <w:r>
              <w:rPr>
                <w:rFonts w:ascii="Arial" w:eastAsia="宋体" w:hAnsi="Arial" w:cs="Arial"/>
                <w:color w:val="262626"/>
                <w:sz w:val="18"/>
                <w:szCs w:val="18"/>
              </w:rPr>
              <w:t>31,209 </w:t>
            </w:r>
          </w:p>
        </w:tc>
        <w:tc>
          <w:tcPr>
            <w:tcW w:w="0" w:type="auto"/>
            <w:tcBorders>
              <w:top w:val="single" w:sz="8" w:space="0" w:color="0068B5"/>
            </w:tcBorders>
            <w:shd w:val="clear" w:color="auto" w:fill="auto"/>
            <w:tcMar>
              <w:top w:w="40" w:type="dxa"/>
              <w:left w:w="0" w:type="dxa"/>
              <w:bottom w:w="40" w:type="dxa"/>
              <w:right w:w="20" w:type="dxa"/>
            </w:tcMar>
            <w:vAlign w:val="bottom"/>
          </w:tcPr>
          <w:p w14:paraId="5C7C66B4" w14:textId="77777777" w:rsidR="0008009C" w:rsidRDefault="0008009C">
            <w:pPr>
              <w:jc w:val="right"/>
              <w:rPr>
                <w:rFonts w:ascii="宋体"/>
              </w:rPr>
            </w:pPr>
          </w:p>
        </w:tc>
        <w:tc>
          <w:tcPr>
            <w:tcW w:w="0" w:type="auto"/>
            <w:shd w:val="clear" w:color="auto" w:fill="auto"/>
          </w:tcPr>
          <w:p w14:paraId="5C7C66B5" w14:textId="77777777" w:rsidR="0008009C" w:rsidRDefault="0008009C">
            <w:pPr>
              <w:rPr>
                <w:rFonts w:ascii="宋体"/>
                <w:vanish/>
              </w:rPr>
            </w:pPr>
          </w:p>
        </w:tc>
        <w:tc>
          <w:tcPr>
            <w:tcW w:w="0" w:type="auto"/>
            <w:shd w:val="clear" w:color="auto" w:fill="auto"/>
          </w:tcPr>
          <w:p w14:paraId="5C7C66B6" w14:textId="77777777" w:rsidR="0008009C" w:rsidRDefault="0008009C">
            <w:pPr>
              <w:rPr>
                <w:rFonts w:ascii="宋体"/>
                <w:vanish/>
              </w:rPr>
            </w:pPr>
          </w:p>
        </w:tc>
      </w:tr>
      <w:tr w:rsidR="0008009C" w14:paraId="5C7C66C1" w14:textId="77777777">
        <w:tc>
          <w:tcPr>
            <w:tcW w:w="0" w:type="auto"/>
            <w:gridSpan w:val="3"/>
            <w:shd w:val="clear" w:color="auto" w:fill="auto"/>
            <w:tcMar>
              <w:top w:w="40" w:type="dxa"/>
              <w:left w:w="20" w:type="dxa"/>
              <w:bottom w:w="40" w:type="dxa"/>
              <w:right w:w="20" w:type="dxa"/>
            </w:tcMar>
          </w:tcPr>
          <w:p w14:paraId="5C7C66B8" w14:textId="77777777" w:rsidR="0008009C" w:rsidRDefault="00936FDF">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tcPr>
          <w:p w14:paraId="5C7C66B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6BA" w14:textId="77777777" w:rsidR="0008009C" w:rsidRDefault="00936FDF">
            <w:pPr>
              <w:jc w:val="right"/>
              <w:textAlignment w:val="bottom"/>
            </w:pPr>
            <w:r>
              <w:rPr>
                <w:rFonts w:ascii="Arial" w:eastAsia="宋体" w:hAnsi="Arial" w:cs="Arial"/>
                <w:color w:val="0068B5"/>
                <w:sz w:val="18"/>
                <w:szCs w:val="18"/>
              </w:rPr>
              <w:t>14,556 </w:t>
            </w:r>
          </w:p>
        </w:tc>
        <w:tc>
          <w:tcPr>
            <w:tcW w:w="0" w:type="auto"/>
            <w:shd w:val="clear" w:color="auto" w:fill="auto"/>
            <w:tcMar>
              <w:top w:w="40" w:type="dxa"/>
              <w:left w:w="0" w:type="dxa"/>
              <w:bottom w:w="40" w:type="dxa"/>
              <w:right w:w="20" w:type="dxa"/>
            </w:tcMar>
            <w:vAlign w:val="bottom"/>
          </w:tcPr>
          <w:p w14:paraId="5C7C66B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B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6BD" w14:textId="77777777" w:rsidR="0008009C" w:rsidRDefault="00936FDF">
            <w:pPr>
              <w:jc w:val="right"/>
              <w:textAlignment w:val="bottom"/>
            </w:pPr>
            <w:r>
              <w:rPr>
                <w:rFonts w:ascii="Arial" w:eastAsia="宋体" w:hAnsi="Arial" w:cs="Arial"/>
                <w:color w:val="262626"/>
                <w:sz w:val="18"/>
                <w:szCs w:val="18"/>
              </w:rPr>
              <w:t>14,461 </w:t>
            </w:r>
          </w:p>
        </w:tc>
        <w:tc>
          <w:tcPr>
            <w:tcW w:w="0" w:type="auto"/>
            <w:shd w:val="clear" w:color="auto" w:fill="auto"/>
            <w:tcMar>
              <w:top w:w="40" w:type="dxa"/>
              <w:left w:w="0" w:type="dxa"/>
              <w:bottom w:w="40" w:type="dxa"/>
              <w:right w:w="20" w:type="dxa"/>
            </w:tcMar>
            <w:vAlign w:val="bottom"/>
          </w:tcPr>
          <w:p w14:paraId="5C7C66BE" w14:textId="77777777" w:rsidR="0008009C" w:rsidRDefault="0008009C">
            <w:pPr>
              <w:jc w:val="right"/>
              <w:rPr>
                <w:rFonts w:ascii="宋体"/>
              </w:rPr>
            </w:pPr>
          </w:p>
        </w:tc>
        <w:tc>
          <w:tcPr>
            <w:tcW w:w="0" w:type="auto"/>
            <w:shd w:val="clear" w:color="auto" w:fill="auto"/>
          </w:tcPr>
          <w:p w14:paraId="5C7C66BF" w14:textId="77777777" w:rsidR="0008009C" w:rsidRDefault="0008009C">
            <w:pPr>
              <w:rPr>
                <w:rFonts w:ascii="宋体"/>
                <w:vanish/>
              </w:rPr>
            </w:pPr>
          </w:p>
        </w:tc>
        <w:tc>
          <w:tcPr>
            <w:tcW w:w="0" w:type="auto"/>
            <w:shd w:val="clear" w:color="auto" w:fill="auto"/>
          </w:tcPr>
          <w:p w14:paraId="5C7C66C0" w14:textId="77777777" w:rsidR="0008009C" w:rsidRDefault="0008009C">
            <w:pPr>
              <w:rPr>
                <w:rFonts w:ascii="宋体"/>
                <w:vanish/>
              </w:rPr>
            </w:pPr>
          </w:p>
        </w:tc>
      </w:tr>
      <w:tr w:rsidR="0008009C" w14:paraId="5C7C66CB" w14:textId="77777777">
        <w:tc>
          <w:tcPr>
            <w:tcW w:w="0" w:type="auto"/>
            <w:gridSpan w:val="3"/>
            <w:shd w:val="clear" w:color="auto" w:fill="auto"/>
            <w:tcMar>
              <w:top w:w="40" w:type="dxa"/>
              <w:left w:w="20" w:type="dxa"/>
              <w:bottom w:w="40" w:type="dxa"/>
              <w:right w:w="20" w:type="dxa"/>
            </w:tcMar>
          </w:tcPr>
          <w:p w14:paraId="5C7C66C2" w14:textId="77777777" w:rsidR="0008009C" w:rsidRDefault="00936FDF">
            <w:pPr>
              <w:ind w:hanging="180"/>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tcPr>
          <w:p w14:paraId="5C7C66C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6C4" w14:textId="77777777" w:rsidR="0008009C" w:rsidRDefault="00936FDF">
            <w:pPr>
              <w:jc w:val="right"/>
              <w:textAlignment w:val="bottom"/>
            </w:pPr>
            <w:r>
              <w:rPr>
                <w:rFonts w:ascii="Arial" w:eastAsia="宋体" w:hAnsi="Arial" w:cs="Arial"/>
                <w:color w:val="0068B5"/>
                <w:sz w:val="18"/>
                <w:szCs w:val="18"/>
              </w:rPr>
              <w:t>2,139 </w:t>
            </w:r>
          </w:p>
        </w:tc>
        <w:tc>
          <w:tcPr>
            <w:tcW w:w="0" w:type="auto"/>
            <w:shd w:val="clear" w:color="auto" w:fill="auto"/>
            <w:tcMar>
              <w:top w:w="40" w:type="dxa"/>
              <w:left w:w="0" w:type="dxa"/>
              <w:bottom w:w="40" w:type="dxa"/>
              <w:right w:w="20" w:type="dxa"/>
            </w:tcMar>
            <w:vAlign w:val="bottom"/>
          </w:tcPr>
          <w:p w14:paraId="5C7C66C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C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6C7" w14:textId="77777777" w:rsidR="0008009C" w:rsidRDefault="00936FDF">
            <w:pPr>
              <w:jc w:val="right"/>
              <w:textAlignment w:val="bottom"/>
            </w:pPr>
            <w:r>
              <w:rPr>
                <w:rFonts w:ascii="Arial" w:eastAsia="宋体" w:hAnsi="Arial" w:cs="Arial"/>
                <w:color w:val="262626"/>
                <w:sz w:val="18"/>
                <w:szCs w:val="18"/>
              </w:rPr>
              <w:t>2,026 </w:t>
            </w:r>
          </w:p>
        </w:tc>
        <w:tc>
          <w:tcPr>
            <w:tcW w:w="0" w:type="auto"/>
            <w:shd w:val="clear" w:color="auto" w:fill="auto"/>
            <w:tcMar>
              <w:top w:w="40" w:type="dxa"/>
              <w:left w:w="0" w:type="dxa"/>
              <w:bottom w:w="40" w:type="dxa"/>
              <w:right w:w="20" w:type="dxa"/>
            </w:tcMar>
            <w:vAlign w:val="bottom"/>
          </w:tcPr>
          <w:p w14:paraId="5C7C66C8" w14:textId="77777777" w:rsidR="0008009C" w:rsidRDefault="0008009C">
            <w:pPr>
              <w:jc w:val="right"/>
              <w:rPr>
                <w:rFonts w:ascii="宋体"/>
              </w:rPr>
            </w:pPr>
          </w:p>
        </w:tc>
        <w:tc>
          <w:tcPr>
            <w:tcW w:w="0" w:type="auto"/>
            <w:shd w:val="clear" w:color="auto" w:fill="auto"/>
          </w:tcPr>
          <w:p w14:paraId="5C7C66C9" w14:textId="77777777" w:rsidR="0008009C" w:rsidRDefault="0008009C">
            <w:pPr>
              <w:rPr>
                <w:rFonts w:ascii="宋体"/>
                <w:vanish/>
              </w:rPr>
            </w:pPr>
          </w:p>
        </w:tc>
        <w:tc>
          <w:tcPr>
            <w:tcW w:w="0" w:type="auto"/>
            <w:shd w:val="clear" w:color="auto" w:fill="auto"/>
          </w:tcPr>
          <w:p w14:paraId="5C7C66CA" w14:textId="77777777" w:rsidR="0008009C" w:rsidRDefault="0008009C">
            <w:pPr>
              <w:rPr>
                <w:rFonts w:ascii="宋体"/>
                <w:vanish/>
              </w:rPr>
            </w:pPr>
          </w:p>
        </w:tc>
      </w:tr>
      <w:tr w:rsidR="0008009C" w14:paraId="5C7C66D7" w14:textId="77777777">
        <w:tc>
          <w:tcPr>
            <w:tcW w:w="0" w:type="auto"/>
            <w:gridSpan w:val="3"/>
            <w:shd w:val="clear" w:color="auto" w:fill="auto"/>
            <w:tcMar>
              <w:top w:w="40" w:type="dxa"/>
              <w:left w:w="20" w:type="dxa"/>
              <w:bottom w:w="40" w:type="dxa"/>
              <w:right w:w="20" w:type="dxa"/>
            </w:tcMar>
          </w:tcPr>
          <w:p w14:paraId="5C7C66CC" w14:textId="77777777" w:rsidR="0008009C" w:rsidRDefault="00936FDF">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tcPr>
          <w:p w14:paraId="5C7C66CD"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6CE"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6CF" w14:textId="77777777" w:rsidR="0008009C" w:rsidRDefault="00936FDF">
            <w:pPr>
              <w:jc w:val="right"/>
              <w:textAlignment w:val="bottom"/>
            </w:pPr>
            <w:r>
              <w:rPr>
                <w:rFonts w:ascii="Arial" w:eastAsia="宋体" w:hAnsi="Arial" w:cs="Arial"/>
                <w:b/>
                <w:bCs/>
                <w:color w:val="0068B5"/>
                <w:sz w:val="18"/>
                <w:szCs w:val="18"/>
              </w:rPr>
              <w:t>48,044</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6D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6D1"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6D2"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6D3" w14:textId="77777777" w:rsidR="0008009C" w:rsidRDefault="00936FDF">
            <w:pPr>
              <w:jc w:val="right"/>
              <w:textAlignment w:val="bottom"/>
            </w:pPr>
            <w:r>
              <w:rPr>
                <w:rFonts w:ascii="Arial" w:eastAsia="宋体" w:hAnsi="Arial" w:cs="Arial"/>
                <w:b/>
                <w:bCs/>
                <w:color w:val="262626"/>
                <w:sz w:val="18"/>
                <w:szCs w:val="18"/>
              </w:rPr>
              <w:t>47,696</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6D4" w14:textId="77777777" w:rsidR="0008009C" w:rsidRDefault="0008009C">
            <w:pPr>
              <w:jc w:val="right"/>
              <w:rPr>
                <w:rFonts w:ascii="宋体"/>
              </w:rPr>
            </w:pPr>
          </w:p>
        </w:tc>
        <w:tc>
          <w:tcPr>
            <w:tcW w:w="0" w:type="auto"/>
            <w:shd w:val="clear" w:color="auto" w:fill="auto"/>
          </w:tcPr>
          <w:p w14:paraId="5C7C66D5" w14:textId="77777777" w:rsidR="0008009C" w:rsidRDefault="0008009C">
            <w:pPr>
              <w:rPr>
                <w:rFonts w:ascii="宋体"/>
                <w:vanish/>
              </w:rPr>
            </w:pPr>
          </w:p>
        </w:tc>
        <w:tc>
          <w:tcPr>
            <w:tcW w:w="0" w:type="auto"/>
            <w:shd w:val="clear" w:color="auto" w:fill="auto"/>
          </w:tcPr>
          <w:p w14:paraId="5C7C66D6" w14:textId="77777777" w:rsidR="0008009C" w:rsidRDefault="0008009C">
            <w:pPr>
              <w:rPr>
                <w:rFonts w:ascii="宋体"/>
                <w:vanish/>
              </w:rPr>
            </w:pPr>
          </w:p>
        </w:tc>
      </w:tr>
    </w:tbl>
    <w:p w14:paraId="5C7C66D8" w14:textId="77777777" w:rsidR="0008009C" w:rsidRDefault="0008009C">
      <w:pPr>
        <w:spacing w:after="180"/>
      </w:pPr>
    </w:p>
    <w:p w14:paraId="5C7C66D9" w14:textId="77777777" w:rsidR="0008009C" w:rsidRDefault="0008009C">
      <w:pPr>
        <w:spacing w:after="180"/>
      </w:pPr>
    </w:p>
    <w:p w14:paraId="5C7C66DA" w14:textId="77777777" w:rsidR="0008009C" w:rsidRDefault="0008009C">
      <w:pPr>
        <w:spacing w:after="180"/>
      </w:pPr>
    </w:p>
    <w:p w14:paraId="5C7C66DB" w14:textId="77777777" w:rsidR="0008009C" w:rsidRDefault="0008009C">
      <w:pPr>
        <w:spacing w:after="180"/>
      </w:pPr>
    </w:p>
    <w:p w14:paraId="5C7C66DC" w14:textId="77777777" w:rsidR="0008009C" w:rsidRDefault="0008009C">
      <w:pPr>
        <w:spacing w:after="180"/>
      </w:pPr>
    </w:p>
    <w:p w14:paraId="5C7C66DD" w14:textId="77777777" w:rsidR="0008009C" w:rsidRDefault="0008009C">
      <w:pPr>
        <w:spacing w:after="180"/>
      </w:pPr>
    </w:p>
    <w:p w14:paraId="5C7C66DE" w14:textId="77777777" w:rsidR="0008009C" w:rsidRDefault="0008009C">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8009C" w14:paraId="5C7C66EB" w14:textId="77777777">
        <w:tc>
          <w:tcPr>
            <w:tcW w:w="50" w:type="pct"/>
            <w:shd w:val="clear" w:color="auto" w:fill="auto"/>
            <w:vAlign w:val="bottom"/>
          </w:tcPr>
          <w:p w14:paraId="5C7C66DF" w14:textId="77777777" w:rsidR="0008009C" w:rsidRDefault="0008009C">
            <w:pPr>
              <w:rPr>
                <w:rFonts w:ascii="宋体"/>
              </w:rPr>
            </w:pPr>
          </w:p>
        </w:tc>
        <w:tc>
          <w:tcPr>
            <w:tcW w:w="238" w:type="pct"/>
            <w:shd w:val="clear" w:color="auto" w:fill="auto"/>
            <w:vAlign w:val="bottom"/>
          </w:tcPr>
          <w:p w14:paraId="5C7C66E0" w14:textId="77777777" w:rsidR="0008009C" w:rsidRDefault="0008009C">
            <w:pPr>
              <w:rPr>
                <w:rFonts w:ascii="宋体"/>
              </w:rPr>
            </w:pPr>
          </w:p>
        </w:tc>
        <w:tc>
          <w:tcPr>
            <w:tcW w:w="5" w:type="pct"/>
            <w:shd w:val="clear" w:color="auto" w:fill="auto"/>
            <w:vAlign w:val="bottom"/>
          </w:tcPr>
          <w:p w14:paraId="5C7C66E1" w14:textId="77777777" w:rsidR="0008009C" w:rsidRDefault="0008009C">
            <w:pPr>
              <w:rPr>
                <w:rFonts w:ascii="宋体"/>
              </w:rPr>
            </w:pPr>
          </w:p>
        </w:tc>
        <w:tc>
          <w:tcPr>
            <w:tcW w:w="50" w:type="pct"/>
            <w:shd w:val="clear" w:color="auto" w:fill="auto"/>
            <w:vAlign w:val="bottom"/>
          </w:tcPr>
          <w:p w14:paraId="5C7C66E2" w14:textId="77777777" w:rsidR="0008009C" w:rsidRDefault="0008009C">
            <w:pPr>
              <w:rPr>
                <w:rFonts w:ascii="宋体"/>
              </w:rPr>
            </w:pPr>
          </w:p>
        </w:tc>
        <w:tc>
          <w:tcPr>
            <w:tcW w:w="983" w:type="pct"/>
            <w:shd w:val="clear" w:color="auto" w:fill="auto"/>
            <w:vAlign w:val="bottom"/>
          </w:tcPr>
          <w:p w14:paraId="5C7C66E3" w14:textId="77777777" w:rsidR="0008009C" w:rsidRDefault="0008009C">
            <w:pPr>
              <w:rPr>
                <w:rFonts w:ascii="宋体"/>
              </w:rPr>
            </w:pPr>
          </w:p>
        </w:tc>
        <w:tc>
          <w:tcPr>
            <w:tcW w:w="5" w:type="pct"/>
            <w:shd w:val="clear" w:color="auto" w:fill="auto"/>
            <w:vAlign w:val="bottom"/>
          </w:tcPr>
          <w:p w14:paraId="5C7C66E4" w14:textId="77777777" w:rsidR="0008009C" w:rsidRDefault="0008009C">
            <w:pPr>
              <w:rPr>
                <w:rFonts w:ascii="宋体"/>
              </w:rPr>
            </w:pPr>
          </w:p>
        </w:tc>
        <w:tc>
          <w:tcPr>
            <w:tcW w:w="50" w:type="pct"/>
            <w:shd w:val="clear" w:color="auto" w:fill="auto"/>
            <w:vAlign w:val="bottom"/>
          </w:tcPr>
          <w:p w14:paraId="5C7C66E5" w14:textId="77777777" w:rsidR="0008009C" w:rsidRDefault="0008009C">
            <w:pPr>
              <w:rPr>
                <w:rFonts w:ascii="宋体"/>
              </w:rPr>
            </w:pPr>
          </w:p>
        </w:tc>
        <w:tc>
          <w:tcPr>
            <w:tcW w:w="2035" w:type="pct"/>
            <w:shd w:val="clear" w:color="auto" w:fill="auto"/>
            <w:vAlign w:val="bottom"/>
          </w:tcPr>
          <w:p w14:paraId="5C7C66E6" w14:textId="77777777" w:rsidR="0008009C" w:rsidRDefault="0008009C">
            <w:pPr>
              <w:rPr>
                <w:rFonts w:ascii="宋体"/>
              </w:rPr>
            </w:pPr>
          </w:p>
        </w:tc>
        <w:tc>
          <w:tcPr>
            <w:tcW w:w="5" w:type="pct"/>
            <w:shd w:val="clear" w:color="auto" w:fill="auto"/>
            <w:vAlign w:val="bottom"/>
          </w:tcPr>
          <w:p w14:paraId="5C7C66E7" w14:textId="77777777" w:rsidR="0008009C" w:rsidRDefault="0008009C">
            <w:pPr>
              <w:rPr>
                <w:rFonts w:ascii="宋体"/>
              </w:rPr>
            </w:pPr>
          </w:p>
        </w:tc>
        <w:tc>
          <w:tcPr>
            <w:tcW w:w="50" w:type="pct"/>
            <w:shd w:val="clear" w:color="auto" w:fill="auto"/>
            <w:vAlign w:val="bottom"/>
          </w:tcPr>
          <w:p w14:paraId="5C7C66E8" w14:textId="77777777" w:rsidR="0008009C" w:rsidRDefault="0008009C">
            <w:pPr>
              <w:rPr>
                <w:rFonts w:ascii="宋体"/>
              </w:rPr>
            </w:pPr>
          </w:p>
        </w:tc>
        <w:tc>
          <w:tcPr>
            <w:tcW w:w="1522" w:type="pct"/>
            <w:shd w:val="clear" w:color="auto" w:fill="auto"/>
            <w:vAlign w:val="bottom"/>
          </w:tcPr>
          <w:p w14:paraId="5C7C66E9" w14:textId="77777777" w:rsidR="0008009C" w:rsidRDefault="0008009C">
            <w:pPr>
              <w:rPr>
                <w:rFonts w:ascii="宋体"/>
              </w:rPr>
            </w:pPr>
          </w:p>
        </w:tc>
        <w:tc>
          <w:tcPr>
            <w:tcW w:w="5" w:type="pct"/>
            <w:shd w:val="clear" w:color="auto" w:fill="auto"/>
            <w:vAlign w:val="bottom"/>
          </w:tcPr>
          <w:p w14:paraId="5C7C66EA" w14:textId="77777777" w:rsidR="0008009C" w:rsidRDefault="0008009C">
            <w:pPr>
              <w:rPr>
                <w:rFonts w:ascii="宋体"/>
              </w:rPr>
            </w:pPr>
          </w:p>
        </w:tc>
      </w:tr>
      <w:tr w:rsidR="0008009C" w14:paraId="5C7C66F0"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66EC"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17" wp14:editId="5C7C7D18">
                  <wp:extent cx="304800" cy="304800"/>
                  <wp:effectExtent l="0" t="0" r="0" b="0"/>
                  <wp:docPr id="97" name="图片 69"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69"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6ED"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66EE" w14:textId="77777777" w:rsidR="0008009C" w:rsidRDefault="00936FDF">
            <w:pPr>
              <w:textAlignment w:val="center"/>
            </w:pPr>
            <w:r>
              <w:rPr>
                <w:rFonts w:ascii="Arial" w:eastAsia="宋体" w:hAnsi="Arial" w:cs="Arial"/>
                <w:color w:val="262626"/>
                <w:sz w:val="16"/>
                <w:szCs w:val="16"/>
              </w:rPr>
              <w:t> Notes to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6EF" w14:textId="77777777" w:rsidR="0008009C" w:rsidRDefault="00936FDF">
            <w:pPr>
              <w:jc w:val="right"/>
              <w:textAlignment w:val="center"/>
            </w:pPr>
            <w:r>
              <w:rPr>
                <w:rFonts w:ascii="Arial" w:eastAsia="宋体" w:hAnsi="Arial" w:cs="Arial"/>
                <w:color w:val="262626"/>
                <w:sz w:val="16"/>
                <w:szCs w:val="16"/>
              </w:rPr>
              <w:t>15</w:t>
            </w:r>
          </w:p>
        </w:tc>
      </w:tr>
    </w:tbl>
    <w:p w14:paraId="5C7C66F1" w14:textId="77777777" w:rsidR="0008009C" w:rsidRDefault="00936FDF">
      <w:r>
        <w:pict w14:anchorId="5C7C7D19">
          <v:rect id="_x0000_i1041" style="width:415.3pt;height:1.5pt" o:hralign="center" o:hrstd="t" o:hr="t" fillcolor="#a0a0a0" stroked="f"/>
        </w:pict>
      </w:r>
    </w:p>
    <w:p w14:paraId="5C7C66F2" w14:textId="77777777" w:rsidR="0008009C" w:rsidRDefault="00936FDF">
      <w:pPr>
        <w:spacing w:after="180"/>
        <w:jc w:val="right"/>
      </w:pPr>
      <w:hyperlink r:id="rId40" w:anchor="i3a00378f6cc84b1c9cfc83239548ad53_7" w:history="1">
        <w:r>
          <w:rPr>
            <w:rStyle w:val="a5"/>
            <w:rFonts w:ascii="Arial" w:eastAsia="宋体" w:hAnsi="Arial" w:cs="Arial"/>
            <w:b/>
            <w:bCs/>
            <w:sz w:val="16"/>
            <w:szCs w:val="16"/>
          </w:rPr>
          <w:t>Table of Contents</w:t>
        </w:r>
      </w:hyperlink>
    </w:p>
    <w:p w14:paraId="5C7C66F3" w14:textId="77777777" w:rsidR="0008009C" w:rsidRDefault="0008009C">
      <w:pPr>
        <w:spacing w:after="180"/>
        <w:jc w:val="right"/>
      </w:pPr>
    </w:p>
    <w:p w14:paraId="5C7C66F4" w14:textId="77777777" w:rsidR="0008009C" w:rsidRDefault="00936FDF">
      <w:pPr>
        <w:spacing w:before="300" w:after="180"/>
      </w:pPr>
      <w:r>
        <w:rPr>
          <w:rFonts w:ascii="Arial" w:eastAsia="宋体" w:hAnsi="Arial" w:cs="Arial"/>
          <w:color w:val="0068B5"/>
        </w:rPr>
        <w:t>Fair Value of Derivative Instruments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980"/>
        <w:gridCol w:w="38"/>
        <w:gridCol w:w="36"/>
        <w:gridCol w:w="36"/>
        <w:gridCol w:w="36"/>
        <w:gridCol w:w="122"/>
        <w:gridCol w:w="784"/>
        <w:gridCol w:w="36"/>
        <w:gridCol w:w="36"/>
        <w:gridCol w:w="36"/>
        <w:gridCol w:w="36"/>
        <w:gridCol w:w="122"/>
        <w:gridCol w:w="846"/>
        <w:gridCol w:w="36"/>
        <w:gridCol w:w="36"/>
        <w:gridCol w:w="36"/>
        <w:gridCol w:w="36"/>
        <w:gridCol w:w="122"/>
        <w:gridCol w:w="739"/>
        <w:gridCol w:w="36"/>
        <w:gridCol w:w="36"/>
        <w:gridCol w:w="36"/>
        <w:gridCol w:w="36"/>
        <w:gridCol w:w="122"/>
        <w:gridCol w:w="846"/>
        <w:gridCol w:w="36"/>
      </w:tblGrid>
      <w:tr w:rsidR="0008009C" w14:paraId="5C7C6710" w14:textId="77777777">
        <w:tc>
          <w:tcPr>
            <w:tcW w:w="50" w:type="pct"/>
            <w:shd w:val="clear" w:color="auto" w:fill="auto"/>
          </w:tcPr>
          <w:p w14:paraId="5C7C66F5" w14:textId="77777777" w:rsidR="0008009C" w:rsidRDefault="0008009C">
            <w:pPr>
              <w:rPr>
                <w:rFonts w:ascii="宋体"/>
              </w:rPr>
            </w:pPr>
          </w:p>
        </w:tc>
        <w:tc>
          <w:tcPr>
            <w:tcW w:w="2431" w:type="pct"/>
            <w:shd w:val="clear" w:color="auto" w:fill="auto"/>
          </w:tcPr>
          <w:p w14:paraId="5C7C66F6" w14:textId="77777777" w:rsidR="0008009C" w:rsidRDefault="0008009C">
            <w:pPr>
              <w:rPr>
                <w:rFonts w:ascii="宋体"/>
              </w:rPr>
            </w:pPr>
          </w:p>
        </w:tc>
        <w:tc>
          <w:tcPr>
            <w:tcW w:w="5" w:type="pct"/>
            <w:shd w:val="clear" w:color="auto" w:fill="auto"/>
          </w:tcPr>
          <w:p w14:paraId="5C7C66F7" w14:textId="77777777" w:rsidR="0008009C" w:rsidRDefault="0008009C">
            <w:pPr>
              <w:rPr>
                <w:rFonts w:ascii="宋体"/>
              </w:rPr>
            </w:pPr>
          </w:p>
        </w:tc>
        <w:tc>
          <w:tcPr>
            <w:tcW w:w="5" w:type="pct"/>
            <w:shd w:val="clear" w:color="auto" w:fill="auto"/>
          </w:tcPr>
          <w:p w14:paraId="5C7C66F8" w14:textId="77777777" w:rsidR="0008009C" w:rsidRDefault="0008009C">
            <w:pPr>
              <w:rPr>
                <w:rFonts w:ascii="宋体"/>
              </w:rPr>
            </w:pPr>
          </w:p>
        </w:tc>
        <w:tc>
          <w:tcPr>
            <w:tcW w:w="24" w:type="pct"/>
            <w:shd w:val="clear" w:color="auto" w:fill="auto"/>
          </w:tcPr>
          <w:p w14:paraId="5C7C66F9" w14:textId="77777777" w:rsidR="0008009C" w:rsidRDefault="0008009C">
            <w:pPr>
              <w:rPr>
                <w:rFonts w:ascii="宋体"/>
              </w:rPr>
            </w:pPr>
          </w:p>
        </w:tc>
        <w:tc>
          <w:tcPr>
            <w:tcW w:w="5" w:type="pct"/>
            <w:shd w:val="clear" w:color="auto" w:fill="auto"/>
          </w:tcPr>
          <w:p w14:paraId="5C7C66FA" w14:textId="77777777" w:rsidR="0008009C" w:rsidRDefault="0008009C">
            <w:pPr>
              <w:rPr>
                <w:rFonts w:ascii="宋体"/>
              </w:rPr>
            </w:pPr>
          </w:p>
        </w:tc>
        <w:tc>
          <w:tcPr>
            <w:tcW w:w="50" w:type="pct"/>
            <w:shd w:val="clear" w:color="auto" w:fill="auto"/>
          </w:tcPr>
          <w:p w14:paraId="5C7C66FB" w14:textId="77777777" w:rsidR="0008009C" w:rsidRDefault="0008009C">
            <w:pPr>
              <w:rPr>
                <w:rFonts w:ascii="宋体"/>
              </w:rPr>
            </w:pPr>
          </w:p>
        </w:tc>
        <w:tc>
          <w:tcPr>
            <w:tcW w:w="539" w:type="pct"/>
            <w:shd w:val="clear" w:color="auto" w:fill="auto"/>
          </w:tcPr>
          <w:p w14:paraId="5C7C66FC" w14:textId="77777777" w:rsidR="0008009C" w:rsidRDefault="0008009C">
            <w:pPr>
              <w:rPr>
                <w:rFonts w:ascii="宋体"/>
              </w:rPr>
            </w:pPr>
          </w:p>
        </w:tc>
        <w:tc>
          <w:tcPr>
            <w:tcW w:w="5" w:type="pct"/>
            <w:shd w:val="clear" w:color="auto" w:fill="auto"/>
          </w:tcPr>
          <w:p w14:paraId="5C7C66FD" w14:textId="77777777" w:rsidR="0008009C" w:rsidRDefault="0008009C">
            <w:pPr>
              <w:rPr>
                <w:rFonts w:ascii="宋体"/>
              </w:rPr>
            </w:pPr>
          </w:p>
        </w:tc>
        <w:tc>
          <w:tcPr>
            <w:tcW w:w="5" w:type="pct"/>
            <w:shd w:val="clear" w:color="auto" w:fill="auto"/>
          </w:tcPr>
          <w:p w14:paraId="5C7C66FE" w14:textId="77777777" w:rsidR="0008009C" w:rsidRDefault="0008009C">
            <w:pPr>
              <w:rPr>
                <w:rFonts w:ascii="宋体"/>
              </w:rPr>
            </w:pPr>
          </w:p>
        </w:tc>
        <w:tc>
          <w:tcPr>
            <w:tcW w:w="24" w:type="pct"/>
            <w:shd w:val="clear" w:color="auto" w:fill="auto"/>
          </w:tcPr>
          <w:p w14:paraId="5C7C66FF" w14:textId="77777777" w:rsidR="0008009C" w:rsidRDefault="0008009C">
            <w:pPr>
              <w:rPr>
                <w:rFonts w:ascii="宋体"/>
              </w:rPr>
            </w:pPr>
          </w:p>
        </w:tc>
        <w:tc>
          <w:tcPr>
            <w:tcW w:w="5" w:type="pct"/>
            <w:shd w:val="clear" w:color="auto" w:fill="auto"/>
          </w:tcPr>
          <w:p w14:paraId="5C7C6700" w14:textId="77777777" w:rsidR="0008009C" w:rsidRDefault="0008009C">
            <w:pPr>
              <w:rPr>
                <w:rFonts w:ascii="宋体"/>
              </w:rPr>
            </w:pPr>
          </w:p>
        </w:tc>
        <w:tc>
          <w:tcPr>
            <w:tcW w:w="50" w:type="pct"/>
            <w:shd w:val="clear" w:color="auto" w:fill="auto"/>
          </w:tcPr>
          <w:p w14:paraId="5C7C6701" w14:textId="77777777" w:rsidR="0008009C" w:rsidRDefault="0008009C">
            <w:pPr>
              <w:rPr>
                <w:rFonts w:ascii="宋体"/>
              </w:rPr>
            </w:pPr>
          </w:p>
        </w:tc>
        <w:tc>
          <w:tcPr>
            <w:tcW w:w="539" w:type="pct"/>
            <w:shd w:val="clear" w:color="auto" w:fill="auto"/>
          </w:tcPr>
          <w:p w14:paraId="5C7C6702" w14:textId="77777777" w:rsidR="0008009C" w:rsidRDefault="0008009C">
            <w:pPr>
              <w:rPr>
                <w:rFonts w:ascii="宋体"/>
              </w:rPr>
            </w:pPr>
          </w:p>
        </w:tc>
        <w:tc>
          <w:tcPr>
            <w:tcW w:w="5" w:type="pct"/>
            <w:shd w:val="clear" w:color="auto" w:fill="auto"/>
          </w:tcPr>
          <w:p w14:paraId="5C7C6703" w14:textId="77777777" w:rsidR="0008009C" w:rsidRDefault="0008009C">
            <w:pPr>
              <w:rPr>
                <w:rFonts w:ascii="宋体"/>
              </w:rPr>
            </w:pPr>
          </w:p>
        </w:tc>
        <w:tc>
          <w:tcPr>
            <w:tcW w:w="5" w:type="pct"/>
            <w:shd w:val="clear" w:color="auto" w:fill="auto"/>
          </w:tcPr>
          <w:p w14:paraId="5C7C6704" w14:textId="77777777" w:rsidR="0008009C" w:rsidRDefault="0008009C">
            <w:pPr>
              <w:rPr>
                <w:rFonts w:ascii="宋体"/>
              </w:rPr>
            </w:pPr>
          </w:p>
        </w:tc>
        <w:tc>
          <w:tcPr>
            <w:tcW w:w="24" w:type="pct"/>
            <w:shd w:val="clear" w:color="auto" w:fill="auto"/>
          </w:tcPr>
          <w:p w14:paraId="5C7C6705" w14:textId="77777777" w:rsidR="0008009C" w:rsidRDefault="0008009C">
            <w:pPr>
              <w:rPr>
                <w:rFonts w:ascii="宋体"/>
              </w:rPr>
            </w:pPr>
          </w:p>
        </w:tc>
        <w:tc>
          <w:tcPr>
            <w:tcW w:w="5" w:type="pct"/>
            <w:shd w:val="clear" w:color="auto" w:fill="auto"/>
          </w:tcPr>
          <w:p w14:paraId="5C7C6706" w14:textId="77777777" w:rsidR="0008009C" w:rsidRDefault="0008009C">
            <w:pPr>
              <w:rPr>
                <w:rFonts w:ascii="宋体"/>
              </w:rPr>
            </w:pPr>
          </w:p>
        </w:tc>
        <w:tc>
          <w:tcPr>
            <w:tcW w:w="50" w:type="pct"/>
            <w:shd w:val="clear" w:color="auto" w:fill="auto"/>
          </w:tcPr>
          <w:p w14:paraId="5C7C6707" w14:textId="77777777" w:rsidR="0008009C" w:rsidRDefault="0008009C">
            <w:pPr>
              <w:rPr>
                <w:rFonts w:ascii="宋体"/>
              </w:rPr>
            </w:pPr>
          </w:p>
        </w:tc>
        <w:tc>
          <w:tcPr>
            <w:tcW w:w="539" w:type="pct"/>
            <w:shd w:val="clear" w:color="auto" w:fill="auto"/>
          </w:tcPr>
          <w:p w14:paraId="5C7C6708" w14:textId="77777777" w:rsidR="0008009C" w:rsidRDefault="0008009C">
            <w:pPr>
              <w:rPr>
                <w:rFonts w:ascii="宋体"/>
              </w:rPr>
            </w:pPr>
          </w:p>
        </w:tc>
        <w:tc>
          <w:tcPr>
            <w:tcW w:w="5" w:type="pct"/>
            <w:shd w:val="clear" w:color="auto" w:fill="auto"/>
          </w:tcPr>
          <w:p w14:paraId="5C7C6709" w14:textId="77777777" w:rsidR="0008009C" w:rsidRDefault="0008009C">
            <w:pPr>
              <w:rPr>
                <w:rFonts w:ascii="宋体"/>
              </w:rPr>
            </w:pPr>
          </w:p>
        </w:tc>
        <w:tc>
          <w:tcPr>
            <w:tcW w:w="5" w:type="pct"/>
            <w:shd w:val="clear" w:color="auto" w:fill="auto"/>
          </w:tcPr>
          <w:p w14:paraId="5C7C670A" w14:textId="77777777" w:rsidR="0008009C" w:rsidRDefault="0008009C">
            <w:pPr>
              <w:rPr>
                <w:rFonts w:ascii="宋体"/>
              </w:rPr>
            </w:pPr>
          </w:p>
        </w:tc>
        <w:tc>
          <w:tcPr>
            <w:tcW w:w="24" w:type="pct"/>
            <w:shd w:val="clear" w:color="auto" w:fill="auto"/>
          </w:tcPr>
          <w:p w14:paraId="5C7C670B" w14:textId="77777777" w:rsidR="0008009C" w:rsidRDefault="0008009C">
            <w:pPr>
              <w:rPr>
                <w:rFonts w:ascii="宋体"/>
              </w:rPr>
            </w:pPr>
          </w:p>
        </w:tc>
        <w:tc>
          <w:tcPr>
            <w:tcW w:w="5" w:type="pct"/>
            <w:shd w:val="clear" w:color="auto" w:fill="auto"/>
          </w:tcPr>
          <w:p w14:paraId="5C7C670C" w14:textId="77777777" w:rsidR="0008009C" w:rsidRDefault="0008009C">
            <w:pPr>
              <w:rPr>
                <w:rFonts w:ascii="宋体"/>
              </w:rPr>
            </w:pPr>
          </w:p>
        </w:tc>
        <w:tc>
          <w:tcPr>
            <w:tcW w:w="50" w:type="pct"/>
            <w:shd w:val="clear" w:color="auto" w:fill="auto"/>
          </w:tcPr>
          <w:p w14:paraId="5C7C670D" w14:textId="77777777" w:rsidR="0008009C" w:rsidRDefault="0008009C">
            <w:pPr>
              <w:rPr>
                <w:rFonts w:ascii="宋体"/>
              </w:rPr>
            </w:pPr>
          </w:p>
        </w:tc>
        <w:tc>
          <w:tcPr>
            <w:tcW w:w="539" w:type="pct"/>
            <w:shd w:val="clear" w:color="auto" w:fill="auto"/>
          </w:tcPr>
          <w:p w14:paraId="5C7C670E" w14:textId="77777777" w:rsidR="0008009C" w:rsidRDefault="0008009C">
            <w:pPr>
              <w:rPr>
                <w:rFonts w:ascii="宋体"/>
              </w:rPr>
            </w:pPr>
          </w:p>
        </w:tc>
        <w:tc>
          <w:tcPr>
            <w:tcW w:w="5" w:type="pct"/>
            <w:shd w:val="clear" w:color="auto" w:fill="auto"/>
          </w:tcPr>
          <w:p w14:paraId="5C7C670F" w14:textId="77777777" w:rsidR="0008009C" w:rsidRDefault="0008009C">
            <w:pPr>
              <w:rPr>
                <w:rFonts w:ascii="宋体"/>
              </w:rPr>
            </w:pPr>
          </w:p>
        </w:tc>
      </w:tr>
      <w:tr w:rsidR="0008009C" w14:paraId="5C7C6716" w14:textId="77777777">
        <w:tc>
          <w:tcPr>
            <w:tcW w:w="0" w:type="auto"/>
            <w:gridSpan w:val="3"/>
            <w:shd w:val="clear" w:color="auto" w:fill="auto"/>
            <w:tcMar>
              <w:top w:w="40" w:type="dxa"/>
              <w:left w:w="20" w:type="dxa"/>
              <w:bottom w:w="40" w:type="dxa"/>
              <w:right w:w="20" w:type="dxa"/>
            </w:tcMar>
            <w:vAlign w:val="bottom"/>
          </w:tcPr>
          <w:p w14:paraId="5C7C6711" w14:textId="77777777" w:rsidR="0008009C" w:rsidRDefault="00936FDF">
            <w:pPr>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tcPr>
          <w:p w14:paraId="5C7C6712"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bottom"/>
          </w:tcPr>
          <w:p w14:paraId="5C7C6713"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shd w:val="clear" w:color="auto" w:fill="auto"/>
            <w:tcMar>
              <w:top w:w="0" w:type="dxa"/>
              <w:left w:w="20" w:type="dxa"/>
              <w:bottom w:w="0" w:type="dxa"/>
              <w:right w:w="20" w:type="dxa"/>
            </w:tcMar>
          </w:tcPr>
          <w:p w14:paraId="5C7C6714"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bottom"/>
          </w:tcPr>
          <w:p w14:paraId="5C7C6715" w14:textId="77777777" w:rsidR="0008009C" w:rsidRDefault="00936FDF">
            <w:pPr>
              <w:jc w:val="center"/>
              <w:textAlignment w:val="bottom"/>
            </w:pPr>
            <w:r>
              <w:rPr>
                <w:rFonts w:ascii="Arial" w:eastAsia="宋体" w:hAnsi="Arial" w:cs="Arial"/>
                <w:b/>
                <w:bCs/>
                <w:color w:val="262626"/>
                <w:sz w:val="18"/>
                <w:szCs w:val="18"/>
              </w:rPr>
              <w:t>Dec 26, 2020</w:t>
            </w:r>
          </w:p>
        </w:tc>
      </w:tr>
      <w:tr w:rsidR="0008009C" w14:paraId="5C7C6720" w14:textId="77777777">
        <w:tc>
          <w:tcPr>
            <w:tcW w:w="0" w:type="auto"/>
            <w:gridSpan w:val="3"/>
            <w:shd w:val="clear" w:color="auto" w:fill="auto"/>
            <w:tcMar>
              <w:top w:w="40" w:type="dxa"/>
              <w:left w:w="20" w:type="dxa"/>
              <w:bottom w:w="40" w:type="dxa"/>
              <w:right w:w="20" w:type="dxa"/>
            </w:tcMar>
            <w:vAlign w:val="bottom"/>
          </w:tcPr>
          <w:p w14:paraId="5C7C6717"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6718"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719" w14:textId="77777777" w:rsidR="0008009C" w:rsidRDefault="00936FDF">
            <w:pP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8" w:space="0" w:color="0068B5"/>
            </w:tcBorders>
            <w:shd w:val="clear" w:color="auto" w:fill="auto"/>
            <w:tcMar>
              <w:top w:w="0" w:type="dxa"/>
              <w:left w:w="20" w:type="dxa"/>
              <w:bottom w:w="0" w:type="dxa"/>
              <w:right w:w="20" w:type="dxa"/>
            </w:tcMar>
          </w:tcPr>
          <w:p w14:paraId="5C7C671A"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71B" w14:textId="77777777" w:rsidR="0008009C" w:rsidRDefault="00936FDF">
            <w:pP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c>
          <w:tcPr>
            <w:tcW w:w="0" w:type="auto"/>
            <w:gridSpan w:val="3"/>
            <w:shd w:val="clear" w:color="auto" w:fill="auto"/>
            <w:tcMar>
              <w:top w:w="0" w:type="dxa"/>
              <w:left w:w="20" w:type="dxa"/>
              <w:bottom w:w="0" w:type="dxa"/>
              <w:right w:w="20" w:type="dxa"/>
            </w:tcMar>
          </w:tcPr>
          <w:p w14:paraId="5C7C671C"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71D" w14:textId="77777777" w:rsidR="0008009C" w:rsidRDefault="00936FDF">
            <w:pP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8" w:space="0" w:color="0068B5"/>
            </w:tcBorders>
            <w:shd w:val="clear" w:color="auto" w:fill="auto"/>
            <w:tcMar>
              <w:top w:w="0" w:type="dxa"/>
              <w:left w:w="20" w:type="dxa"/>
              <w:bottom w:w="0" w:type="dxa"/>
              <w:right w:w="20" w:type="dxa"/>
            </w:tcMar>
          </w:tcPr>
          <w:p w14:paraId="5C7C671E"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71F" w14:textId="77777777" w:rsidR="0008009C" w:rsidRDefault="00936FDF">
            <w:pP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r>
      <w:tr w:rsidR="0008009C" w14:paraId="5C7C672A"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6721" w14:textId="77777777" w:rsidR="0008009C" w:rsidRDefault="00936FDF">
            <w:pPr>
              <w:ind w:hanging="180"/>
              <w:textAlignment w:val="top"/>
            </w:pPr>
            <w:r>
              <w:rPr>
                <w:rFonts w:ascii="Arial" w:eastAsia="宋体" w:hAnsi="Arial" w:cs="Arial"/>
                <w:color w:val="262626"/>
                <w:sz w:val="18"/>
                <w:szCs w:val="18"/>
              </w:rPr>
              <w:t>Derivatives designated as hedging instruments:</w:t>
            </w:r>
          </w:p>
        </w:tc>
        <w:tc>
          <w:tcPr>
            <w:tcW w:w="0" w:type="auto"/>
            <w:gridSpan w:val="3"/>
            <w:shd w:val="clear" w:color="auto" w:fill="auto"/>
            <w:tcMar>
              <w:top w:w="0" w:type="dxa"/>
              <w:left w:w="20" w:type="dxa"/>
              <w:bottom w:w="0" w:type="dxa"/>
              <w:right w:w="20" w:type="dxa"/>
            </w:tcMar>
          </w:tcPr>
          <w:p w14:paraId="5C7C6722"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72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724"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72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726"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72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728"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729" w14:textId="77777777" w:rsidR="0008009C" w:rsidRDefault="0008009C">
            <w:pPr>
              <w:rPr>
                <w:rFonts w:ascii="宋体"/>
              </w:rPr>
            </w:pPr>
          </w:p>
        </w:tc>
      </w:tr>
      <w:tr w:rsidR="0008009C" w14:paraId="5C7C673C" w14:textId="77777777">
        <w:tc>
          <w:tcPr>
            <w:tcW w:w="0" w:type="auto"/>
            <w:gridSpan w:val="3"/>
            <w:shd w:val="clear" w:color="auto" w:fill="auto"/>
            <w:tcMar>
              <w:top w:w="40" w:type="dxa"/>
              <w:left w:w="20" w:type="dxa"/>
              <w:bottom w:w="40" w:type="dxa"/>
              <w:right w:w="20" w:type="dxa"/>
            </w:tcMar>
          </w:tcPr>
          <w:p w14:paraId="5C7C672B" w14:textId="77777777" w:rsidR="0008009C" w:rsidRDefault="00936FDF">
            <w:pPr>
              <w:textAlignment w:val="top"/>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tcPr>
          <w:p w14:paraId="5C7C672C"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72D"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672E" w14:textId="77777777" w:rsidR="0008009C" w:rsidRDefault="00936FDF">
            <w:pPr>
              <w:jc w:val="right"/>
              <w:textAlignment w:val="bottom"/>
            </w:pPr>
            <w:r>
              <w:rPr>
                <w:rFonts w:ascii="Arial" w:eastAsia="宋体" w:hAnsi="Arial" w:cs="Arial"/>
                <w:color w:val="0068B5"/>
                <w:sz w:val="18"/>
                <w:szCs w:val="18"/>
              </w:rPr>
              <w:t>215 </w:t>
            </w:r>
          </w:p>
        </w:tc>
        <w:tc>
          <w:tcPr>
            <w:tcW w:w="0" w:type="auto"/>
            <w:shd w:val="clear" w:color="auto" w:fill="auto"/>
            <w:tcMar>
              <w:top w:w="40" w:type="dxa"/>
              <w:left w:w="0" w:type="dxa"/>
              <w:bottom w:w="40" w:type="dxa"/>
              <w:right w:w="20" w:type="dxa"/>
            </w:tcMar>
            <w:vAlign w:val="bottom"/>
          </w:tcPr>
          <w:p w14:paraId="5C7C672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30"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731"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6732" w14:textId="77777777" w:rsidR="0008009C" w:rsidRDefault="00936FDF">
            <w:pPr>
              <w:jc w:val="right"/>
              <w:textAlignment w:val="bottom"/>
            </w:pPr>
            <w:r>
              <w:rPr>
                <w:rFonts w:ascii="Arial" w:eastAsia="宋体" w:hAnsi="Arial" w:cs="Arial"/>
                <w:color w:val="0068B5"/>
                <w:sz w:val="18"/>
                <w:szCs w:val="18"/>
              </w:rPr>
              <w:t>110 </w:t>
            </w:r>
          </w:p>
        </w:tc>
        <w:tc>
          <w:tcPr>
            <w:tcW w:w="0" w:type="auto"/>
            <w:shd w:val="clear" w:color="auto" w:fill="auto"/>
            <w:tcMar>
              <w:top w:w="40" w:type="dxa"/>
              <w:left w:w="0" w:type="dxa"/>
              <w:bottom w:w="40" w:type="dxa"/>
              <w:right w:w="20" w:type="dxa"/>
            </w:tcMar>
            <w:vAlign w:val="bottom"/>
          </w:tcPr>
          <w:p w14:paraId="5C7C673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34"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735"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6736" w14:textId="77777777" w:rsidR="0008009C" w:rsidRDefault="00936FDF">
            <w:pPr>
              <w:jc w:val="right"/>
              <w:textAlignment w:val="bottom"/>
            </w:pPr>
            <w:r>
              <w:rPr>
                <w:rFonts w:ascii="Arial" w:eastAsia="宋体" w:hAnsi="Arial" w:cs="Arial"/>
                <w:color w:val="262626"/>
                <w:sz w:val="18"/>
                <w:szCs w:val="18"/>
              </w:rPr>
              <w:t>551 </w:t>
            </w:r>
          </w:p>
        </w:tc>
        <w:tc>
          <w:tcPr>
            <w:tcW w:w="0" w:type="auto"/>
            <w:shd w:val="clear" w:color="auto" w:fill="auto"/>
            <w:tcMar>
              <w:top w:w="40" w:type="dxa"/>
              <w:left w:w="0" w:type="dxa"/>
              <w:bottom w:w="40" w:type="dxa"/>
              <w:right w:w="20" w:type="dxa"/>
            </w:tcMar>
            <w:vAlign w:val="bottom"/>
          </w:tcPr>
          <w:p w14:paraId="5C7C673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38"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739"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673A" w14:textId="77777777" w:rsidR="0008009C" w:rsidRDefault="00936FDF">
            <w:pPr>
              <w:jc w:val="right"/>
              <w:textAlignment w:val="bottom"/>
            </w:pPr>
            <w:r>
              <w:rPr>
                <w:rFonts w:ascii="Arial" w:eastAsia="宋体" w:hAnsi="Arial" w:cs="Arial"/>
                <w:color w:val="262626"/>
                <w:sz w:val="18"/>
                <w:szCs w:val="18"/>
              </w:rPr>
              <w:t>2 </w:t>
            </w:r>
          </w:p>
        </w:tc>
        <w:tc>
          <w:tcPr>
            <w:tcW w:w="0" w:type="auto"/>
            <w:shd w:val="clear" w:color="auto" w:fill="auto"/>
            <w:tcMar>
              <w:top w:w="40" w:type="dxa"/>
              <w:left w:w="0" w:type="dxa"/>
              <w:bottom w:w="40" w:type="dxa"/>
              <w:right w:w="20" w:type="dxa"/>
            </w:tcMar>
            <w:vAlign w:val="bottom"/>
          </w:tcPr>
          <w:p w14:paraId="5C7C673B" w14:textId="77777777" w:rsidR="0008009C" w:rsidRDefault="0008009C">
            <w:pPr>
              <w:jc w:val="right"/>
              <w:rPr>
                <w:rFonts w:ascii="宋体"/>
              </w:rPr>
            </w:pPr>
          </w:p>
        </w:tc>
      </w:tr>
      <w:tr w:rsidR="0008009C" w14:paraId="5C7C674A" w14:textId="77777777">
        <w:tc>
          <w:tcPr>
            <w:tcW w:w="0" w:type="auto"/>
            <w:gridSpan w:val="3"/>
            <w:shd w:val="clear" w:color="auto" w:fill="auto"/>
            <w:tcMar>
              <w:top w:w="40" w:type="dxa"/>
              <w:left w:w="20" w:type="dxa"/>
              <w:bottom w:w="40" w:type="dxa"/>
              <w:right w:w="20" w:type="dxa"/>
            </w:tcMar>
          </w:tcPr>
          <w:p w14:paraId="5C7C673D" w14:textId="77777777" w:rsidR="0008009C" w:rsidRDefault="00936FDF">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tcPr>
          <w:p w14:paraId="5C7C673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73F" w14:textId="77777777" w:rsidR="0008009C" w:rsidRDefault="00936FDF">
            <w:pPr>
              <w:jc w:val="right"/>
              <w:textAlignment w:val="bottom"/>
            </w:pPr>
            <w:r>
              <w:rPr>
                <w:rFonts w:ascii="Arial" w:eastAsia="宋体" w:hAnsi="Arial" w:cs="Arial"/>
                <w:color w:val="0068B5"/>
                <w:sz w:val="18"/>
                <w:szCs w:val="18"/>
              </w:rPr>
              <w:t>986 </w:t>
            </w:r>
          </w:p>
        </w:tc>
        <w:tc>
          <w:tcPr>
            <w:tcW w:w="0" w:type="auto"/>
            <w:shd w:val="clear" w:color="auto" w:fill="auto"/>
            <w:tcMar>
              <w:top w:w="40" w:type="dxa"/>
              <w:left w:w="0" w:type="dxa"/>
              <w:bottom w:w="40" w:type="dxa"/>
              <w:right w:w="20" w:type="dxa"/>
            </w:tcMar>
            <w:vAlign w:val="bottom"/>
          </w:tcPr>
          <w:p w14:paraId="5C7C674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4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742"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74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4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745" w14:textId="77777777" w:rsidR="0008009C" w:rsidRDefault="00936FDF">
            <w:pPr>
              <w:jc w:val="right"/>
              <w:textAlignment w:val="bottom"/>
            </w:pPr>
            <w:r>
              <w:rPr>
                <w:rFonts w:ascii="Arial" w:eastAsia="宋体" w:hAnsi="Arial" w:cs="Arial"/>
                <w:color w:val="262626"/>
                <w:sz w:val="18"/>
                <w:szCs w:val="18"/>
              </w:rPr>
              <w:t>1,498 </w:t>
            </w:r>
          </w:p>
        </w:tc>
        <w:tc>
          <w:tcPr>
            <w:tcW w:w="0" w:type="auto"/>
            <w:shd w:val="clear" w:color="auto" w:fill="auto"/>
            <w:tcMar>
              <w:top w:w="40" w:type="dxa"/>
              <w:left w:w="0" w:type="dxa"/>
              <w:bottom w:w="40" w:type="dxa"/>
              <w:right w:w="20" w:type="dxa"/>
            </w:tcMar>
            <w:vAlign w:val="bottom"/>
          </w:tcPr>
          <w:p w14:paraId="5C7C674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4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748"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749" w14:textId="77777777" w:rsidR="0008009C" w:rsidRDefault="0008009C">
            <w:pPr>
              <w:jc w:val="right"/>
              <w:rPr>
                <w:rFonts w:ascii="宋体"/>
              </w:rPr>
            </w:pPr>
          </w:p>
        </w:tc>
      </w:tr>
      <w:tr w:rsidR="0008009C" w14:paraId="5C7C6758" w14:textId="77777777">
        <w:tc>
          <w:tcPr>
            <w:tcW w:w="0" w:type="auto"/>
            <w:gridSpan w:val="3"/>
            <w:shd w:val="clear" w:color="auto" w:fill="auto"/>
            <w:tcMar>
              <w:top w:w="40" w:type="dxa"/>
              <w:left w:w="20" w:type="dxa"/>
              <w:bottom w:w="40" w:type="dxa"/>
              <w:right w:w="20" w:type="dxa"/>
            </w:tcMar>
          </w:tcPr>
          <w:p w14:paraId="5C7C674B" w14:textId="77777777" w:rsidR="0008009C" w:rsidRDefault="00936FDF">
            <w:pPr>
              <w:ind w:hanging="180"/>
              <w:textAlignment w:val="top"/>
            </w:pPr>
            <w:r>
              <w:rPr>
                <w:rFonts w:ascii="Arial" w:eastAsia="宋体" w:hAnsi="Arial" w:cs="Arial"/>
                <w:b/>
                <w:bCs/>
                <w:color w:val="262626"/>
                <w:sz w:val="18"/>
                <w:szCs w:val="18"/>
              </w:rPr>
              <w:t>Total derivatives designated as hedging instruments</w:t>
            </w:r>
          </w:p>
        </w:tc>
        <w:tc>
          <w:tcPr>
            <w:tcW w:w="0" w:type="auto"/>
            <w:gridSpan w:val="3"/>
            <w:shd w:val="clear" w:color="auto" w:fill="auto"/>
            <w:tcMar>
              <w:top w:w="0" w:type="dxa"/>
              <w:left w:w="20" w:type="dxa"/>
              <w:bottom w:w="0" w:type="dxa"/>
              <w:right w:w="20" w:type="dxa"/>
            </w:tcMar>
          </w:tcPr>
          <w:p w14:paraId="5C7C674C"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74D" w14:textId="77777777" w:rsidR="0008009C" w:rsidRDefault="00936FDF">
            <w:pPr>
              <w:jc w:val="right"/>
              <w:textAlignment w:val="bottom"/>
            </w:pPr>
            <w:r>
              <w:rPr>
                <w:rFonts w:ascii="Arial" w:eastAsia="宋体" w:hAnsi="Arial" w:cs="Arial"/>
                <w:b/>
                <w:bCs/>
                <w:color w:val="0068B5"/>
                <w:sz w:val="18"/>
                <w:szCs w:val="18"/>
              </w:rPr>
              <w:t>1,201</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74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4F"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750" w14:textId="77777777" w:rsidR="0008009C" w:rsidRDefault="00936FDF">
            <w:pPr>
              <w:jc w:val="right"/>
              <w:textAlignment w:val="bottom"/>
            </w:pPr>
            <w:r>
              <w:rPr>
                <w:rFonts w:ascii="Arial" w:eastAsia="宋体" w:hAnsi="Arial" w:cs="Arial"/>
                <w:b/>
                <w:bCs/>
                <w:color w:val="0068B5"/>
                <w:sz w:val="18"/>
                <w:szCs w:val="18"/>
              </w:rPr>
              <w:t>110</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75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52"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753" w14:textId="77777777" w:rsidR="0008009C" w:rsidRDefault="00936FDF">
            <w:pPr>
              <w:jc w:val="right"/>
              <w:textAlignment w:val="bottom"/>
            </w:pPr>
            <w:r>
              <w:rPr>
                <w:rFonts w:ascii="Arial" w:eastAsia="宋体" w:hAnsi="Arial" w:cs="Arial"/>
                <w:b/>
                <w:bCs/>
                <w:color w:val="262626"/>
                <w:sz w:val="18"/>
                <w:szCs w:val="18"/>
              </w:rPr>
              <w:t>2,049</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75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55"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756" w14:textId="77777777" w:rsidR="0008009C" w:rsidRDefault="00936FDF">
            <w:pPr>
              <w:jc w:val="right"/>
              <w:textAlignment w:val="bottom"/>
            </w:pPr>
            <w:r>
              <w:rPr>
                <w:rFonts w:ascii="Arial" w:eastAsia="宋体" w:hAnsi="Arial" w:cs="Arial"/>
                <w:b/>
                <w:bCs/>
                <w:color w:val="262626"/>
                <w:sz w:val="18"/>
                <w:szCs w:val="18"/>
              </w:rPr>
              <w:t>2</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757" w14:textId="77777777" w:rsidR="0008009C" w:rsidRDefault="0008009C">
            <w:pPr>
              <w:jc w:val="right"/>
              <w:rPr>
                <w:rFonts w:ascii="宋体"/>
              </w:rPr>
            </w:pPr>
          </w:p>
        </w:tc>
      </w:tr>
      <w:tr w:rsidR="0008009C" w14:paraId="5C7C6762" w14:textId="77777777">
        <w:tc>
          <w:tcPr>
            <w:tcW w:w="0" w:type="auto"/>
            <w:gridSpan w:val="3"/>
            <w:shd w:val="clear" w:color="auto" w:fill="auto"/>
            <w:tcMar>
              <w:top w:w="40" w:type="dxa"/>
              <w:left w:w="20" w:type="dxa"/>
              <w:bottom w:w="40" w:type="dxa"/>
              <w:right w:w="20" w:type="dxa"/>
            </w:tcMar>
          </w:tcPr>
          <w:p w14:paraId="5C7C6759" w14:textId="77777777" w:rsidR="0008009C" w:rsidRDefault="00936FDF">
            <w:pPr>
              <w:ind w:hanging="180"/>
              <w:textAlignment w:val="top"/>
            </w:pPr>
            <w:r>
              <w:rPr>
                <w:rFonts w:ascii="Arial" w:eastAsia="宋体" w:hAnsi="Arial" w:cs="Arial"/>
                <w:color w:val="262626"/>
                <w:sz w:val="18"/>
                <w:szCs w:val="18"/>
              </w:rPr>
              <w:t>Derivatives not designated as hedging instruments:</w:t>
            </w:r>
          </w:p>
        </w:tc>
        <w:tc>
          <w:tcPr>
            <w:tcW w:w="0" w:type="auto"/>
            <w:gridSpan w:val="3"/>
            <w:shd w:val="clear" w:color="auto" w:fill="auto"/>
            <w:tcMar>
              <w:top w:w="0" w:type="dxa"/>
              <w:left w:w="20" w:type="dxa"/>
              <w:bottom w:w="0" w:type="dxa"/>
              <w:right w:w="20" w:type="dxa"/>
            </w:tcMar>
          </w:tcPr>
          <w:p w14:paraId="5C7C675A" w14:textId="77777777" w:rsidR="0008009C" w:rsidRDefault="0008009C">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5C7C675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75C" w14:textId="77777777" w:rsidR="0008009C" w:rsidRDefault="0008009C">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5C7C675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75E" w14:textId="77777777" w:rsidR="0008009C" w:rsidRDefault="0008009C">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5C7C675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760" w14:textId="77777777" w:rsidR="0008009C" w:rsidRDefault="0008009C">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5C7C6761" w14:textId="77777777" w:rsidR="0008009C" w:rsidRDefault="0008009C">
            <w:pPr>
              <w:rPr>
                <w:rFonts w:ascii="宋体"/>
              </w:rPr>
            </w:pPr>
          </w:p>
        </w:tc>
      </w:tr>
      <w:tr w:rsidR="0008009C" w14:paraId="5C7C6770" w14:textId="77777777">
        <w:tc>
          <w:tcPr>
            <w:tcW w:w="0" w:type="auto"/>
            <w:gridSpan w:val="3"/>
            <w:shd w:val="clear" w:color="auto" w:fill="auto"/>
            <w:tcMar>
              <w:top w:w="40" w:type="dxa"/>
              <w:left w:w="20" w:type="dxa"/>
              <w:bottom w:w="40" w:type="dxa"/>
              <w:right w:w="20" w:type="dxa"/>
            </w:tcMar>
          </w:tcPr>
          <w:p w14:paraId="5C7C6763" w14:textId="77777777" w:rsidR="0008009C" w:rsidRDefault="00936FDF">
            <w:pPr>
              <w:textAlignment w:val="top"/>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tcPr>
          <w:p w14:paraId="5C7C676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765" w14:textId="77777777" w:rsidR="0008009C" w:rsidRDefault="00936FDF">
            <w:pPr>
              <w:jc w:val="right"/>
              <w:textAlignment w:val="bottom"/>
            </w:pPr>
            <w:r>
              <w:rPr>
                <w:rFonts w:ascii="Arial" w:eastAsia="宋体" w:hAnsi="Arial" w:cs="Arial"/>
                <w:color w:val="0068B5"/>
                <w:sz w:val="18"/>
                <w:szCs w:val="18"/>
              </w:rPr>
              <w:t>221 </w:t>
            </w:r>
          </w:p>
        </w:tc>
        <w:tc>
          <w:tcPr>
            <w:tcW w:w="0" w:type="auto"/>
            <w:shd w:val="clear" w:color="auto" w:fill="auto"/>
            <w:tcMar>
              <w:top w:w="40" w:type="dxa"/>
              <w:left w:w="0" w:type="dxa"/>
              <w:bottom w:w="40" w:type="dxa"/>
              <w:right w:w="20" w:type="dxa"/>
            </w:tcMar>
            <w:vAlign w:val="bottom"/>
          </w:tcPr>
          <w:p w14:paraId="5C7C676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6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768" w14:textId="77777777" w:rsidR="0008009C" w:rsidRDefault="00936FDF">
            <w:pPr>
              <w:jc w:val="right"/>
              <w:textAlignment w:val="bottom"/>
            </w:pPr>
            <w:r>
              <w:rPr>
                <w:rFonts w:ascii="Arial" w:eastAsia="宋体" w:hAnsi="Arial" w:cs="Arial"/>
                <w:color w:val="0068B5"/>
                <w:sz w:val="18"/>
                <w:szCs w:val="18"/>
              </w:rPr>
              <w:t>404 </w:t>
            </w:r>
          </w:p>
        </w:tc>
        <w:tc>
          <w:tcPr>
            <w:tcW w:w="0" w:type="auto"/>
            <w:shd w:val="clear" w:color="auto" w:fill="auto"/>
            <w:tcMar>
              <w:top w:w="40" w:type="dxa"/>
              <w:left w:w="0" w:type="dxa"/>
              <w:bottom w:w="40" w:type="dxa"/>
              <w:right w:w="20" w:type="dxa"/>
            </w:tcMar>
            <w:vAlign w:val="bottom"/>
          </w:tcPr>
          <w:p w14:paraId="5C7C676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6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76B" w14:textId="77777777" w:rsidR="0008009C" w:rsidRDefault="00936FDF">
            <w:pPr>
              <w:jc w:val="right"/>
              <w:textAlignment w:val="bottom"/>
            </w:pPr>
            <w:r>
              <w:rPr>
                <w:rFonts w:ascii="Arial" w:eastAsia="宋体" w:hAnsi="Arial" w:cs="Arial"/>
                <w:color w:val="262626"/>
                <w:sz w:val="18"/>
                <w:szCs w:val="18"/>
              </w:rPr>
              <w:t>142 </w:t>
            </w:r>
          </w:p>
        </w:tc>
        <w:tc>
          <w:tcPr>
            <w:tcW w:w="0" w:type="auto"/>
            <w:shd w:val="clear" w:color="auto" w:fill="auto"/>
            <w:tcMar>
              <w:top w:w="40" w:type="dxa"/>
              <w:left w:w="0" w:type="dxa"/>
              <w:bottom w:w="40" w:type="dxa"/>
              <w:right w:w="20" w:type="dxa"/>
            </w:tcMar>
            <w:vAlign w:val="bottom"/>
          </w:tcPr>
          <w:p w14:paraId="5C7C676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6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76E" w14:textId="77777777" w:rsidR="0008009C" w:rsidRDefault="00936FDF">
            <w:pPr>
              <w:jc w:val="right"/>
              <w:textAlignment w:val="bottom"/>
            </w:pPr>
            <w:r>
              <w:rPr>
                <w:rFonts w:ascii="Arial" w:eastAsia="宋体" w:hAnsi="Arial" w:cs="Arial"/>
                <w:color w:val="262626"/>
                <w:sz w:val="18"/>
                <w:szCs w:val="18"/>
              </w:rPr>
              <w:t>685 </w:t>
            </w:r>
          </w:p>
        </w:tc>
        <w:tc>
          <w:tcPr>
            <w:tcW w:w="0" w:type="auto"/>
            <w:shd w:val="clear" w:color="auto" w:fill="auto"/>
            <w:tcMar>
              <w:top w:w="40" w:type="dxa"/>
              <w:left w:w="0" w:type="dxa"/>
              <w:bottom w:w="40" w:type="dxa"/>
              <w:right w:w="20" w:type="dxa"/>
            </w:tcMar>
            <w:vAlign w:val="bottom"/>
          </w:tcPr>
          <w:p w14:paraId="5C7C676F" w14:textId="77777777" w:rsidR="0008009C" w:rsidRDefault="0008009C">
            <w:pPr>
              <w:jc w:val="right"/>
              <w:rPr>
                <w:rFonts w:ascii="宋体"/>
              </w:rPr>
            </w:pPr>
          </w:p>
        </w:tc>
      </w:tr>
      <w:tr w:rsidR="0008009C" w14:paraId="5C7C677E" w14:textId="77777777">
        <w:tc>
          <w:tcPr>
            <w:tcW w:w="0" w:type="auto"/>
            <w:gridSpan w:val="3"/>
            <w:shd w:val="clear" w:color="auto" w:fill="auto"/>
            <w:tcMar>
              <w:top w:w="40" w:type="dxa"/>
              <w:left w:w="20" w:type="dxa"/>
              <w:bottom w:w="40" w:type="dxa"/>
              <w:right w:w="20" w:type="dxa"/>
            </w:tcMar>
          </w:tcPr>
          <w:p w14:paraId="5C7C6771" w14:textId="77777777" w:rsidR="0008009C" w:rsidRDefault="00936FDF">
            <w:pPr>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tcPr>
          <w:p w14:paraId="5C7C677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773" w14:textId="77777777" w:rsidR="0008009C" w:rsidRDefault="00936FDF">
            <w:pPr>
              <w:jc w:val="right"/>
              <w:textAlignment w:val="bottom"/>
            </w:pPr>
            <w:r>
              <w:rPr>
                <w:rFonts w:ascii="Arial" w:eastAsia="宋体" w:hAnsi="Arial" w:cs="Arial"/>
                <w:color w:val="0068B5"/>
                <w:sz w:val="18"/>
                <w:szCs w:val="18"/>
              </w:rPr>
              <w:t>6 </w:t>
            </w:r>
          </w:p>
        </w:tc>
        <w:tc>
          <w:tcPr>
            <w:tcW w:w="0" w:type="auto"/>
            <w:shd w:val="clear" w:color="auto" w:fill="auto"/>
            <w:tcMar>
              <w:top w:w="40" w:type="dxa"/>
              <w:left w:w="0" w:type="dxa"/>
              <w:bottom w:w="40" w:type="dxa"/>
              <w:right w:w="20" w:type="dxa"/>
            </w:tcMar>
            <w:vAlign w:val="bottom"/>
          </w:tcPr>
          <w:p w14:paraId="5C7C677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7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776" w14:textId="77777777" w:rsidR="0008009C" w:rsidRDefault="00936FDF">
            <w:pPr>
              <w:jc w:val="right"/>
              <w:textAlignment w:val="bottom"/>
            </w:pPr>
            <w:r>
              <w:rPr>
                <w:rFonts w:ascii="Arial" w:eastAsia="宋体" w:hAnsi="Arial" w:cs="Arial"/>
                <w:color w:val="0068B5"/>
                <w:sz w:val="18"/>
                <w:szCs w:val="18"/>
              </w:rPr>
              <w:t>98 </w:t>
            </w:r>
          </w:p>
        </w:tc>
        <w:tc>
          <w:tcPr>
            <w:tcW w:w="0" w:type="auto"/>
            <w:shd w:val="clear" w:color="auto" w:fill="auto"/>
            <w:tcMar>
              <w:top w:w="40" w:type="dxa"/>
              <w:left w:w="0" w:type="dxa"/>
              <w:bottom w:w="40" w:type="dxa"/>
              <w:right w:w="20" w:type="dxa"/>
            </w:tcMar>
            <w:vAlign w:val="bottom"/>
          </w:tcPr>
          <w:p w14:paraId="5C7C677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7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779" w14:textId="77777777" w:rsidR="0008009C" w:rsidRDefault="00936FDF">
            <w:pPr>
              <w:jc w:val="right"/>
              <w:textAlignment w:val="bottom"/>
            </w:pPr>
            <w:r>
              <w:rPr>
                <w:rFonts w:ascii="Arial" w:eastAsia="宋体" w:hAnsi="Arial" w:cs="Arial"/>
                <w:color w:val="262626"/>
                <w:sz w:val="18"/>
                <w:szCs w:val="18"/>
              </w:rPr>
              <w:t>3 </w:t>
            </w:r>
          </w:p>
        </w:tc>
        <w:tc>
          <w:tcPr>
            <w:tcW w:w="0" w:type="auto"/>
            <w:shd w:val="clear" w:color="auto" w:fill="auto"/>
            <w:tcMar>
              <w:top w:w="40" w:type="dxa"/>
              <w:left w:w="0" w:type="dxa"/>
              <w:bottom w:w="40" w:type="dxa"/>
              <w:right w:w="20" w:type="dxa"/>
            </w:tcMar>
            <w:vAlign w:val="bottom"/>
          </w:tcPr>
          <w:p w14:paraId="5C7C677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7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77C" w14:textId="77777777" w:rsidR="0008009C" w:rsidRDefault="00936FDF">
            <w:pPr>
              <w:jc w:val="right"/>
              <w:textAlignment w:val="bottom"/>
            </w:pPr>
            <w:r>
              <w:rPr>
                <w:rFonts w:ascii="Arial" w:eastAsia="宋体" w:hAnsi="Arial" w:cs="Arial"/>
                <w:color w:val="262626"/>
                <w:sz w:val="18"/>
                <w:szCs w:val="18"/>
              </w:rPr>
              <w:t>128 </w:t>
            </w:r>
          </w:p>
        </w:tc>
        <w:tc>
          <w:tcPr>
            <w:tcW w:w="0" w:type="auto"/>
            <w:shd w:val="clear" w:color="auto" w:fill="auto"/>
            <w:tcMar>
              <w:top w:w="40" w:type="dxa"/>
              <w:left w:w="0" w:type="dxa"/>
              <w:bottom w:w="40" w:type="dxa"/>
              <w:right w:w="20" w:type="dxa"/>
            </w:tcMar>
            <w:vAlign w:val="bottom"/>
          </w:tcPr>
          <w:p w14:paraId="5C7C677D" w14:textId="77777777" w:rsidR="0008009C" w:rsidRDefault="0008009C">
            <w:pPr>
              <w:jc w:val="right"/>
              <w:rPr>
                <w:rFonts w:ascii="宋体"/>
              </w:rPr>
            </w:pPr>
          </w:p>
        </w:tc>
      </w:tr>
      <w:tr w:rsidR="0008009C" w14:paraId="5C7C678C" w14:textId="77777777">
        <w:tc>
          <w:tcPr>
            <w:tcW w:w="0" w:type="auto"/>
            <w:gridSpan w:val="3"/>
            <w:shd w:val="clear" w:color="auto" w:fill="auto"/>
            <w:tcMar>
              <w:top w:w="40" w:type="dxa"/>
              <w:left w:w="20" w:type="dxa"/>
              <w:bottom w:w="40" w:type="dxa"/>
              <w:right w:w="20" w:type="dxa"/>
            </w:tcMar>
          </w:tcPr>
          <w:p w14:paraId="5C7C677F" w14:textId="77777777" w:rsidR="0008009C" w:rsidRDefault="00936FDF">
            <w:pPr>
              <w:textAlignment w:val="top"/>
            </w:pPr>
            <w:r>
              <w:rPr>
                <w:rFonts w:ascii="Arial" w:eastAsia="宋体" w:hAnsi="Arial" w:cs="Arial"/>
                <w:color w:val="262626"/>
                <w:sz w:val="18"/>
                <w:szCs w:val="18"/>
              </w:rPr>
              <w:t>Equity contracts</w:t>
            </w:r>
          </w:p>
        </w:tc>
        <w:tc>
          <w:tcPr>
            <w:tcW w:w="0" w:type="auto"/>
            <w:gridSpan w:val="3"/>
            <w:shd w:val="clear" w:color="auto" w:fill="auto"/>
            <w:tcMar>
              <w:top w:w="0" w:type="dxa"/>
              <w:left w:w="20" w:type="dxa"/>
              <w:bottom w:w="0" w:type="dxa"/>
              <w:right w:w="20" w:type="dxa"/>
            </w:tcMar>
          </w:tcPr>
          <w:p w14:paraId="5C7C678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781" w14:textId="77777777" w:rsidR="0008009C" w:rsidRDefault="00936FDF">
            <w:pPr>
              <w:jc w:val="right"/>
              <w:textAlignment w:val="bottom"/>
            </w:pPr>
            <w:r>
              <w:rPr>
                <w:rFonts w:ascii="Arial" w:eastAsia="宋体" w:hAnsi="Arial" w:cs="Arial"/>
                <w:color w:val="0068B5"/>
                <w:sz w:val="18"/>
                <w:szCs w:val="18"/>
              </w:rPr>
              <w:t>33 </w:t>
            </w:r>
          </w:p>
        </w:tc>
        <w:tc>
          <w:tcPr>
            <w:tcW w:w="0" w:type="auto"/>
            <w:shd w:val="clear" w:color="auto" w:fill="auto"/>
            <w:tcMar>
              <w:top w:w="40" w:type="dxa"/>
              <w:left w:w="0" w:type="dxa"/>
              <w:bottom w:w="40" w:type="dxa"/>
              <w:right w:w="20" w:type="dxa"/>
            </w:tcMar>
            <w:vAlign w:val="bottom"/>
          </w:tcPr>
          <w:p w14:paraId="5C7C678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8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784" w14:textId="77777777" w:rsidR="0008009C" w:rsidRDefault="00936FDF">
            <w:pPr>
              <w:jc w:val="right"/>
              <w:textAlignment w:val="bottom"/>
            </w:pPr>
            <w:r>
              <w:rPr>
                <w:rFonts w:ascii="Arial" w:eastAsia="宋体" w:hAnsi="Arial" w:cs="Arial"/>
                <w:color w:val="0068B5"/>
                <w:sz w:val="18"/>
                <w:szCs w:val="18"/>
              </w:rPr>
              <w:t>6 </w:t>
            </w:r>
          </w:p>
        </w:tc>
        <w:tc>
          <w:tcPr>
            <w:tcW w:w="0" w:type="auto"/>
            <w:shd w:val="clear" w:color="auto" w:fill="auto"/>
            <w:tcMar>
              <w:top w:w="40" w:type="dxa"/>
              <w:left w:w="0" w:type="dxa"/>
              <w:bottom w:w="40" w:type="dxa"/>
              <w:right w:w="20" w:type="dxa"/>
            </w:tcMar>
            <w:vAlign w:val="bottom"/>
          </w:tcPr>
          <w:p w14:paraId="5C7C678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8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787" w14:textId="77777777" w:rsidR="0008009C" w:rsidRDefault="00936FDF">
            <w:pPr>
              <w:jc w:val="right"/>
              <w:textAlignment w:val="bottom"/>
            </w:pPr>
            <w:r>
              <w:rPr>
                <w:rFonts w:ascii="Arial" w:eastAsia="宋体" w:hAnsi="Arial" w:cs="Arial"/>
                <w:color w:val="262626"/>
                <w:sz w:val="18"/>
                <w:szCs w:val="18"/>
              </w:rPr>
              <w:t>48 </w:t>
            </w:r>
          </w:p>
        </w:tc>
        <w:tc>
          <w:tcPr>
            <w:tcW w:w="0" w:type="auto"/>
            <w:shd w:val="clear" w:color="auto" w:fill="auto"/>
            <w:tcMar>
              <w:top w:w="40" w:type="dxa"/>
              <w:left w:w="0" w:type="dxa"/>
              <w:bottom w:w="40" w:type="dxa"/>
              <w:right w:w="20" w:type="dxa"/>
            </w:tcMar>
            <w:vAlign w:val="bottom"/>
          </w:tcPr>
          <w:p w14:paraId="5C7C678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8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78A"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78B" w14:textId="77777777" w:rsidR="0008009C" w:rsidRDefault="0008009C">
            <w:pPr>
              <w:jc w:val="right"/>
              <w:rPr>
                <w:rFonts w:ascii="宋体"/>
              </w:rPr>
            </w:pPr>
          </w:p>
        </w:tc>
      </w:tr>
      <w:tr w:rsidR="0008009C" w14:paraId="5C7C679A" w14:textId="77777777">
        <w:tc>
          <w:tcPr>
            <w:tcW w:w="0" w:type="auto"/>
            <w:gridSpan w:val="3"/>
            <w:shd w:val="clear" w:color="auto" w:fill="auto"/>
            <w:tcMar>
              <w:top w:w="40" w:type="dxa"/>
              <w:left w:w="20" w:type="dxa"/>
              <w:bottom w:w="40" w:type="dxa"/>
              <w:right w:w="20" w:type="dxa"/>
            </w:tcMar>
          </w:tcPr>
          <w:p w14:paraId="5C7C678D" w14:textId="77777777" w:rsidR="0008009C" w:rsidRDefault="00936FDF">
            <w:pPr>
              <w:textAlignment w:val="top"/>
            </w:pPr>
            <w:r>
              <w:rPr>
                <w:rFonts w:ascii="Arial" w:eastAsia="宋体" w:hAnsi="Arial" w:cs="Arial"/>
                <w:b/>
                <w:bCs/>
                <w:color w:val="262626"/>
                <w:sz w:val="18"/>
                <w:szCs w:val="18"/>
              </w:rPr>
              <w:t>Total derivatives not designated as hedging instruments</w:t>
            </w:r>
          </w:p>
        </w:tc>
        <w:tc>
          <w:tcPr>
            <w:tcW w:w="0" w:type="auto"/>
            <w:gridSpan w:val="3"/>
            <w:shd w:val="clear" w:color="auto" w:fill="auto"/>
            <w:tcMar>
              <w:top w:w="0" w:type="dxa"/>
              <w:left w:w="20" w:type="dxa"/>
              <w:bottom w:w="0" w:type="dxa"/>
              <w:right w:w="20" w:type="dxa"/>
            </w:tcMar>
          </w:tcPr>
          <w:p w14:paraId="5C7C678E"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78F" w14:textId="77777777" w:rsidR="0008009C" w:rsidRDefault="00936FDF">
            <w:pPr>
              <w:jc w:val="right"/>
              <w:textAlignment w:val="bottom"/>
            </w:pPr>
            <w:r>
              <w:rPr>
                <w:rFonts w:ascii="Arial" w:eastAsia="宋体" w:hAnsi="Arial" w:cs="Arial"/>
                <w:b/>
                <w:bCs/>
                <w:color w:val="0068B5"/>
                <w:sz w:val="18"/>
                <w:szCs w:val="18"/>
              </w:rPr>
              <w:t>260</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79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91"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792" w14:textId="77777777" w:rsidR="0008009C" w:rsidRDefault="00936FDF">
            <w:pPr>
              <w:jc w:val="right"/>
              <w:textAlignment w:val="bottom"/>
            </w:pPr>
            <w:r>
              <w:rPr>
                <w:rFonts w:ascii="Arial" w:eastAsia="宋体" w:hAnsi="Arial" w:cs="Arial"/>
                <w:b/>
                <w:bCs/>
                <w:color w:val="0068B5"/>
                <w:sz w:val="18"/>
                <w:szCs w:val="18"/>
              </w:rPr>
              <w:t>508</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79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94"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795" w14:textId="77777777" w:rsidR="0008009C" w:rsidRDefault="00936FDF">
            <w:pPr>
              <w:jc w:val="right"/>
              <w:textAlignment w:val="bottom"/>
            </w:pPr>
            <w:r>
              <w:rPr>
                <w:rFonts w:ascii="Arial" w:eastAsia="宋体" w:hAnsi="Arial" w:cs="Arial"/>
                <w:b/>
                <w:bCs/>
                <w:color w:val="262626"/>
                <w:sz w:val="18"/>
                <w:szCs w:val="18"/>
              </w:rPr>
              <w:t>193</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79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97"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798" w14:textId="77777777" w:rsidR="0008009C" w:rsidRDefault="00936FDF">
            <w:pPr>
              <w:jc w:val="right"/>
              <w:textAlignment w:val="bottom"/>
            </w:pPr>
            <w:r>
              <w:rPr>
                <w:rFonts w:ascii="Arial" w:eastAsia="宋体" w:hAnsi="Arial" w:cs="Arial"/>
                <w:b/>
                <w:bCs/>
                <w:color w:val="262626"/>
                <w:sz w:val="18"/>
                <w:szCs w:val="18"/>
              </w:rPr>
              <w:t>813</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799" w14:textId="77777777" w:rsidR="0008009C" w:rsidRDefault="0008009C">
            <w:pPr>
              <w:jc w:val="right"/>
              <w:rPr>
                <w:rFonts w:ascii="宋体"/>
              </w:rPr>
            </w:pPr>
          </w:p>
        </w:tc>
      </w:tr>
      <w:tr w:rsidR="0008009C" w14:paraId="5C7C67AC" w14:textId="77777777">
        <w:tc>
          <w:tcPr>
            <w:tcW w:w="0" w:type="auto"/>
            <w:gridSpan w:val="3"/>
            <w:shd w:val="clear" w:color="auto" w:fill="auto"/>
            <w:tcMar>
              <w:top w:w="40" w:type="dxa"/>
              <w:left w:w="20" w:type="dxa"/>
              <w:bottom w:w="40" w:type="dxa"/>
              <w:right w:w="20" w:type="dxa"/>
            </w:tcMar>
          </w:tcPr>
          <w:p w14:paraId="5C7C679B" w14:textId="77777777" w:rsidR="0008009C" w:rsidRDefault="00936FDF">
            <w:pPr>
              <w:textAlignment w:val="top"/>
            </w:pPr>
            <w:r>
              <w:rPr>
                <w:rFonts w:ascii="Arial" w:eastAsia="宋体" w:hAnsi="Arial" w:cs="Arial"/>
                <w:b/>
                <w:bCs/>
                <w:color w:val="262626"/>
                <w:sz w:val="18"/>
                <w:szCs w:val="18"/>
              </w:rPr>
              <w:t>Total derivatives</w:t>
            </w:r>
          </w:p>
        </w:tc>
        <w:tc>
          <w:tcPr>
            <w:tcW w:w="0" w:type="auto"/>
            <w:gridSpan w:val="3"/>
            <w:shd w:val="clear" w:color="auto" w:fill="auto"/>
            <w:tcMar>
              <w:top w:w="0" w:type="dxa"/>
              <w:left w:w="20" w:type="dxa"/>
              <w:bottom w:w="0" w:type="dxa"/>
              <w:right w:w="20" w:type="dxa"/>
            </w:tcMar>
          </w:tcPr>
          <w:p w14:paraId="5C7C679C"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79D"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79E" w14:textId="77777777" w:rsidR="0008009C" w:rsidRDefault="00936FDF">
            <w:pPr>
              <w:jc w:val="right"/>
              <w:textAlignment w:val="bottom"/>
            </w:pPr>
            <w:r>
              <w:rPr>
                <w:rFonts w:ascii="Arial" w:eastAsia="宋体" w:hAnsi="Arial" w:cs="Arial"/>
                <w:b/>
                <w:bCs/>
                <w:color w:val="0068B5"/>
                <w:sz w:val="18"/>
                <w:szCs w:val="18"/>
              </w:rPr>
              <w:t>1,461</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79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A0"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7A1"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7A2" w14:textId="77777777" w:rsidR="0008009C" w:rsidRDefault="00936FDF">
            <w:pPr>
              <w:jc w:val="right"/>
              <w:textAlignment w:val="bottom"/>
            </w:pPr>
            <w:r>
              <w:rPr>
                <w:rFonts w:ascii="Arial" w:eastAsia="宋体" w:hAnsi="Arial" w:cs="Arial"/>
                <w:b/>
                <w:bCs/>
                <w:color w:val="0068B5"/>
                <w:sz w:val="18"/>
                <w:szCs w:val="18"/>
              </w:rPr>
              <w:t>618</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7A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A4"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7A5"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7A6" w14:textId="77777777" w:rsidR="0008009C" w:rsidRDefault="00936FDF">
            <w:pPr>
              <w:jc w:val="right"/>
              <w:textAlignment w:val="bottom"/>
            </w:pPr>
            <w:r>
              <w:rPr>
                <w:rFonts w:ascii="Arial" w:eastAsia="宋体" w:hAnsi="Arial" w:cs="Arial"/>
                <w:b/>
                <w:bCs/>
                <w:color w:val="262626"/>
                <w:sz w:val="18"/>
                <w:szCs w:val="18"/>
              </w:rPr>
              <w:t>2,242</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7A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7A8"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7A9"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7AA" w14:textId="77777777" w:rsidR="0008009C" w:rsidRDefault="00936FDF">
            <w:pPr>
              <w:jc w:val="right"/>
              <w:textAlignment w:val="bottom"/>
            </w:pPr>
            <w:r>
              <w:rPr>
                <w:rFonts w:ascii="Arial" w:eastAsia="宋体" w:hAnsi="Arial" w:cs="Arial"/>
                <w:b/>
                <w:bCs/>
                <w:color w:val="262626"/>
                <w:sz w:val="18"/>
                <w:szCs w:val="18"/>
              </w:rPr>
              <w:t>815</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7AB" w14:textId="77777777" w:rsidR="0008009C" w:rsidRDefault="0008009C">
            <w:pPr>
              <w:jc w:val="right"/>
              <w:rPr>
                <w:rFonts w:ascii="宋体"/>
              </w:rPr>
            </w:pPr>
          </w:p>
        </w:tc>
      </w:tr>
    </w:tbl>
    <w:p w14:paraId="5C7C67AD" w14:textId="77777777" w:rsidR="0008009C" w:rsidRDefault="00936FDF">
      <w:pPr>
        <w:ind w:hanging="180"/>
      </w:pPr>
      <w:r>
        <w:rPr>
          <w:rFonts w:ascii="Arial" w:eastAsia="宋体" w:hAnsi="Arial" w:cs="Arial"/>
          <w:i/>
          <w:iCs/>
          <w:color w:val="262626"/>
          <w:sz w:val="10"/>
          <w:szCs w:val="10"/>
        </w:rPr>
        <w:t>1</w:t>
      </w:r>
      <w:r>
        <w:rPr>
          <w:rFonts w:ascii="Arial" w:eastAsia="宋体" w:hAnsi="Arial" w:cs="Arial"/>
          <w:i/>
          <w:iCs/>
          <w:color w:val="262626"/>
          <w:sz w:val="16"/>
          <w:szCs w:val="16"/>
        </w:rPr>
        <w:t>Derivative assets are recorded as other assets, current and non-current.</w:t>
      </w:r>
    </w:p>
    <w:p w14:paraId="5C7C67AE" w14:textId="77777777" w:rsidR="0008009C" w:rsidRDefault="00936FDF">
      <w:pPr>
        <w:ind w:hanging="180"/>
      </w:pPr>
      <w:r>
        <w:rPr>
          <w:rFonts w:ascii="Arial" w:eastAsia="宋体" w:hAnsi="Arial" w:cs="Arial"/>
          <w:i/>
          <w:iCs/>
          <w:color w:val="262626"/>
          <w:sz w:val="10"/>
          <w:szCs w:val="10"/>
        </w:rPr>
        <w:t>2</w:t>
      </w:r>
      <w:r>
        <w:rPr>
          <w:rFonts w:ascii="Arial" w:eastAsia="宋体" w:hAnsi="Arial" w:cs="Arial"/>
          <w:i/>
          <w:iCs/>
          <w:color w:val="262626"/>
          <w:sz w:val="16"/>
          <w:szCs w:val="16"/>
        </w:rPr>
        <w:t>Derivative</w:t>
      </w:r>
      <w:r>
        <w:rPr>
          <w:rFonts w:ascii="Arial" w:eastAsia="宋体" w:hAnsi="Arial" w:cs="Arial"/>
          <w:i/>
          <w:iCs/>
          <w:color w:val="262626"/>
          <w:sz w:val="16"/>
          <w:szCs w:val="16"/>
        </w:rPr>
        <w:t xml:space="preserve"> liabilities are recorded as other liabilities, current and non-current.</w:t>
      </w:r>
    </w:p>
    <w:p w14:paraId="5C7C67AF" w14:textId="77777777" w:rsidR="0008009C" w:rsidRDefault="00936FDF">
      <w:pPr>
        <w:ind w:hanging="180"/>
      </w:pPr>
      <w:r>
        <w:rPr>
          <w:rFonts w:ascii="Arial" w:eastAsia="宋体" w:hAnsi="Arial" w:cs="Arial"/>
          <w:i/>
          <w:iCs/>
          <w:color w:val="262626"/>
          <w:sz w:val="10"/>
          <w:szCs w:val="10"/>
        </w:rPr>
        <w:t>3</w:t>
      </w:r>
      <w:r>
        <w:rPr>
          <w:rFonts w:ascii="Arial" w:eastAsia="宋体" w:hAnsi="Arial" w:cs="Arial"/>
          <w:i/>
          <w:iCs/>
          <w:color w:val="262626"/>
          <w:sz w:val="16"/>
          <w:szCs w:val="16"/>
        </w:rPr>
        <w:t>The majority of these instruments mature within 12 months.</w:t>
      </w:r>
    </w:p>
    <w:p w14:paraId="5C7C67B0" w14:textId="77777777" w:rsidR="0008009C" w:rsidRDefault="00936FDF">
      <w:pPr>
        <w:spacing w:before="180" w:after="180"/>
      </w:pPr>
      <w:r>
        <w:rPr>
          <w:rFonts w:ascii="Arial" w:eastAsia="宋体" w:hAnsi="Arial" w:cs="Arial"/>
          <w:color w:val="0068B5"/>
        </w:rPr>
        <w:t>Amounts Offset in the Consolidated Condensed Balance Sheets</w:t>
      </w:r>
    </w:p>
    <w:p w14:paraId="5C7C67B1" w14:textId="77777777" w:rsidR="0008009C" w:rsidRDefault="00936FDF">
      <w:pPr>
        <w:spacing w:after="120"/>
      </w:pPr>
      <w:r>
        <w:rPr>
          <w:rFonts w:ascii="Arial" w:eastAsia="宋体" w:hAnsi="Arial" w:cs="Arial"/>
          <w:color w:val="262626"/>
          <w:sz w:val="18"/>
          <w:szCs w:val="18"/>
        </w:rPr>
        <w:t>The gross amounts of our derivative instruments and reverse rep</w:t>
      </w:r>
      <w:r>
        <w:rPr>
          <w:rFonts w:ascii="Arial" w:eastAsia="宋体" w:hAnsi="Arial" w:cs="Arial"/>
          <w:color w:val="262626"/>
          <w:sz w:val="18"/>
          <w:szCs w:val="18"/>
        </w:rPr>
        <w:t>urchase agreements subject to master netting arrangements with various counterparties, and cash and non-cash collateral posted under such agreements at the end of each period were as follows:</w:t>
      </w:r>
    </w:p>
    <w:tbl>
      <w:tblPr>
        <w:tblW w:w="4986" w:type="pct"/>
        <w:tblCellMar>
          <w:top w:w="15" w:type="dxa"/>
          <w:left w:w="15" w:type="dxa"/>
          <w:bottom w:w="15" w:type="dxa"/>
          <w:right w:w="15" w:type="dxa"/>
        </w:tblCellMar>
        <w:tblLook w:val="04A0" w:firstRow="1" w:lastRow="0" w:firstColumn="1" w:lastColumn="0" w:noHBand="0" w:noVBand="1"/>
      </w:tblPr>
      <w:tblGrid>
        <w:gridCol w:w="43"/>
        <w:gridCol w:w="1721"/>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tblGrid>
      <w:tr w:rsidR="0008009C" w14:paraId="5C7C67D9" w14:textId="77777777">
        <w:tc>
          <w:tcPr>
            <w:tcW w:w="50" w:type="pct"/>
            <w:shd w:val="clear" w:color="auto" w:fill="auto"/>
          </w:tcPr>
          <w:p w14:paraId="5C7C67B2" w14:textId="77777777" w:rsidR="0008009C" w:rsidRDefault="0008009C">
            <w:pPr>
              <w:rPr>
                <w:rFonts w:ascii="宋体"/>
              </w:rPr>
            </w:pPr>
          </w:p>
        </w:tc>
        <w:tc>
          <w:tcPr>
            <w:tcW w:w="1451" w:type="pct"/>
            <w:shd w:val="clear" w:color="auto" w:fill="auto"/>
          </w:tcPr>
          <w:p w14:paraId="5C7C67B3" w14:textId="77777777" w:rsidR="0008009C" w:rsidRDefault="0008009C">
            <w:pPr>
              <w:rPr>
                <w:rFonts w:ascii="宋体"/>
              </w:rPr>
            </w:pPr>
          </w:p>
        </w:tc>
        <w:tc>
          <w:tcPr>
            <w:tcW w:w="5" w:type="pct"/>
            <w:shd w:val="clear" w:color="auto" w:fill="auto"/>
          </w:tcPr>
          <w:p w14:paraId="5C7C67B4" w14:textId="77777777" w:rsidR="0008009C" w:rsidRDefault="0008009C">
            <w:pPr>
              <w:rPr>
                <w:rFonts w:ascii="宋体"/>
              </w:rPr>
            </w:pPr>
          </w:p>
        </w:tc>
        <w:tc>
          <w:tcPr>
            <w:tcW w:w="5" w:type="pct"/>
            <w:shd w:val="clear" w:color="auto" w:fill="auto"/>
          </w:tcPr>
          <w:p w14:paraId="5C7C67B5" w14:textId="77777777" w:rsidR="0008009C" w:rsidRDefault="0008009C">
            <w:pPr>
              <w:rPr>
                <w:rFonts w:ascii="宋体"/>
              </w:rPr>
            </w:pPr>
          </w:p>
        </w:tc>
        <w:tc>
          <w:tcPr>
            <w:tcW w:w="24" w:type="pct"/>
            <w:shd w:val="clear" w:color="auto" w:fill="auto"/>
          </w:tcPr>
          <w:p w14:paraId="5C7C67B6" w14:textId="77777777" w:rsidR="0008009C" w:rsidRDefault="0008009C">
            <w:pPr>
              <w:rPr>
                <w:rFonts w:ascii="宋体"/>
              </w:rPr>
            </w:pPr>
          </w:p>
        </w:tc>
        <w:tc>
          <w:tcPr>
            <w:tcW w:w="5" w:type="pct"/>
            <w:shd w:val="clear" w:color="auto" w:fill="auto"/>
          </w:tcPr>
          <w:p w14:paraId="5C7C67B7" w14:textId="77777777" w:rsidR="0008009C" w:rsidRDefault="0008009C">
            <w:pPr>
              <w:rPr>
                <w:rFonts w:ascii="宋体"/>
              </w:rPr>
            </w:pPr>
          </w:p>
        </w:tc>
        <w:tc>
          <w:tcPr>
            <w:tcW w:w="50" w:type="pct"/>
            <w:shd w:val="clear" w:color="auto" w:fill="auto"/>
          </w:tcPr>
          <w:p w14:paraId="5C7C67B8" w14:textId="77777777" w:rsidR="0008009C" w:rsidRDefault="0008009C">
            <w:pPr>
              <w:rPr>
                <w:rFonts w:ascii="宋体"/>
              </w:rPr>
            </w:pPr>
          </w:p>
        </w:tc>
        <w:tc>
          <w:tcPr>
            <w:tcW w:w="492" w:type="pct"/>
            <w:shd w:val="clear" w:color="auto" w:fill="auto"/>
          </w:tcPr>
          <w:p w14:paraId="5C7C67B9" w14:textId="77777777" w:rsidR="0008009C" w:rsidRDefault="0008009C">
            <w:pPr>
              <w:rPr>
                <w:rFonts w:ascii="宋体"/>
              </w:rPr>
            </w:pPr>
          </w:p>
        </w:tc>
        <w:tc>
          <w:tcPr>
            <w:tcW w:w="5" w:type="pct"/>
            <w:shd w:val="clear" w:color="auto" w:fill="auto"/>
          </w:tcPr>
          <w:p w14:paraId="5C7C67BA" w14:textId="77777777" w:rsidR="0008009C" w:rsidRDefault="0008009C">
            <w:pPr>
              <w:rPr>
                <w:rFonts w:ascii="宋体"/>
              </w:rPr>
            </w:pPr>
          </w:p>
        </w:tc>
        <w:tc>
          <w:tcPr>
            <w:tcW w:w="5" w:type="pct"/>
            <w:shd w:val="clear" w:color="auto" w:fill="auto"/>
          </w:tcPr>
          <w:p w14:paraId="5C7C67BB" w14:textId="77777777" w:rsidR="0008009C" w:rsidRDefault="0008009C">
            <w:pPr>
              <w:rPr>
                <w:rFonts w:ascii="宋体"/>
              </w:rPr>
            </w:pPr>
          </w:p>
        </w:tc>
        <w:tc>
          <w:tcPr>
            <w:tcW w:w="24" w:type="pct"/>
            <w:shd w:val="clear" w:color="auto" w:fill="auto"/>
          </w:tcPr>
          <w:p w14:paraId="5C7C67BC" w14:textId="77777777" w:rsidR="0008009C" w:rsidRDefault="0008009C">
            <w:pPr>
              <w:rPr>
                <w:rFonts w:ascii="宋体"/>
              </w:rPr>
            </w:pPr>
          </w:p>
        </w:tc>
        <w:tc>
          <w:tcPr>
            <w:tcW w:w="5" w:type="pct"/>
            <w:shd w:val="clear" w:color="auto" w:fill="auto"/>
          </w:tcPr>
          <w:p w14:paraId="5C7C67BD" w14:textId="77777777" w:rsidR="0008009C" w:rsidRDefault="0008009C">
            <w:pPr>
              <w:rPr>
                <w:rFonts w:ascii="宋体"/>
              </w:rPr>
            </w:pPr>
          </w:p>
        </w:tc>
        <w:tc>
          <w:tcPr>
            <w:tcW w:w="50" w:type="pct"/>
            <w:shd w:val="clear" w:color="auto" w:fill="auto"/>
          </w:tcPr>
          <w:p w14:paraId="5C7C67BE" w14:textId="77777777" w:rsidR="0008009C" w:rsidRDefault="0008009C">
            <w:pPr>
              <w:rPr>
                <w:rFonts w:ascii="宋体"/>
              </w:rPr>
            </w:pPr>
          </w:p>
        </w:tc>
        <w:tc>
          <w:tcPr>
            <w:tcW w:w="492" w:type="pct"/>
            <w:shd w:val="clear" w:color="auto" w:fill="auto"/>
          </w:tcPr>
          <w:p w14:paraId="5C7C67BF" w14:textId="77777777" w:rsidR="0008009C" w:rsidRDefault="0008009C">
            <w:pPr>
              <w:rPr>
                <w:rFonts w:ascii="宋体"/>
              </w:rPr>
            </w:pPr>
          </w:p>
        </w:tc>
        <w:tc>
          <w:tcPr>
            <w:tcW w:w="5" w:type="pct"/>
            <w:shd w:val="clear" w:color="auto" w:fill="auto"/>
          </w:tcPr>
          <w:p w14:paraId="5C7C67C0" w14:textId="77777777" w:rsidR="0008009C" w:rsidRDefault="0008009C">
            <w:pPr>
              <w:rPr>
                <w:rFonts w:ascii="宋体"/>
              </w:rPr>
            </w:pPr>
          </w:p>
        </w:tc>
        <w:tc>
          <w:tcPr>
            <w:tcW w:w="5" w:type="pct"/>
            <w:shd w:val="clear" w:color="auto" w:fill="auto"/>
          </w:tcPr>
          <w:p w14:paraId="5C7C67C1" w14:textId="77777777" w:rsidR="0008009C" w:rsidRDefault="0008009C">
            <w:pPr>
              <w:rPr>
                <w:rFonts w:ascii="宋体"/>
              </w:rPr>
            </w:pPr>
          </w:p>
        </w:tc>
        <w:tc>
          <w:tcPr>
            <w:tcW w:w="24" w:type="pct"/>
            <w:shd w:val="clear" w:color="auto" w:fill="auto"/>
          </w:tcPr>
          <w:p w14:paraId="5C7C67C2" w14:textId="77777777" w:rsidR="0008009C" w:rsidRDefault="0008009C">
            <w:pPr>
              <w:rPr>
                <w:rFonts w:ascii="宋体"/>
              </w:rPr>
            </w:pPr>
          </w:p>
        </w:tc>
        <w:tc>
          <w:tcPr>
            <w:tcW w:w="5" w:type="pct"/>
            <w:shd w:val="clear" w:color="auto" w:fill="auto"/>
          </w:tcPr>
          <w:p w14:paraId="5C7C67C3" w14:textId="77777777" w:rsidR="0008009C" w:rsidRDefault="0008009C">
            <w:pPr>
              <w:rPr>
                <w:rFonts w:ascii="宋体"/>
              </w:rPr>
            </w:pPr>
          </w:p>
        </w:tc>
        <w:tc>
          <w:tcPr>
            <w:tcW w:w="50" w:type="pct"/>
            <w:shd w:val="clear" w:color="auto" w:fill="auto"/>
          </w:tcPr>
          <w:p w14:paraId="5C7C67C4" w14:textId="77777777" w:rsidR="0008009C" w:rsidRDefault="0008009C">
            <w:pPr>
              <w:rPr>
                <w:rFonts w:ascii="宋体"/>
              </w:rPr>
            </w:pPr>
          </w:p>
        </w:tc>
        <w:tc>
          <w:tcPr>
            <w:tcW w:w="492" w:type="pct"/>
            <w:shd w:val="clear" w:color="auto" w:fill="auto"/>
          </w:tcPr>
          <w:p w14:paraId="5C7C67C5" w14:textId="77777777" w:rsidR="0008009C" w:rsidRDefault="0008009C">
            <w:pPr>
              <w:rPr>
                <w:rFonts w:ascii="宋体"/>
              </w:rPr>
            </w:pPr>
          </w:p>
        </w:tc>
        <w:tc>
          <w:tcPr>
            <w:tcW w:w="5" w:type="pct"/>
            <w:shd w:val="clear" w:color="auto" w:fill="auto"/>
          </w:tcPr>
          <w:p w14:paraId="5C7C67C6" w14:textId="77777777" w:rsidR="0008009C" w:rsidRDefault="0008009C">
            <w:pPr>
              <w:rPr>
                <w:rFonts w:ascii="宋体"/>
              </w:rPr>
            </w:pPr>
          </w:p>
        </w:tc>
        <w:tc>
          <w:tcPr>
            <w:tcW w:w="5" w:type="pct"/>
            <w:shd w:val="clear" w:color="auto" w:fill="auto"/>
          </w:tcPr>
          <w:p w14:paraId="5C7C67C7" w14:textId="77777777" w:rsidR="0008009C" w:rsidRDefault="0008009C">
            <w:pPr>
              <w:rPr>
                <w:rFonts w:ascii="宋体"/>
              </w:rPr>
            </w:pPr>
          </w:p>
        </w:tc>
        <w:tc>
          <w:tcPr>
            <w:tcW w:w="24" w:type="pct"/>
            <w:shd w:val="clear" w:color="auto" w:fill="auto"/>
          </w:tcPr>
          <w:p w14:paraId="5C7C67C8" w14:textId="77777777" w:rsidR="0008009C" w:rsidRDefault="0008009C">
            <w:pPr>
              <w:rPr>
                <w:rFonts w:ascii="宋体"/>
              </w:rPr>
            </w:pPr>
          </w:p>
        </w:tc>
        <w:tc>
          <w:tcPr>
            <w:tcW w:w="5" w:type="pct"/>
            <w:shd w:val="clear" w:color="auto" w:fill="auto"/>
          </w:tcPr>
          <w:p w14:paraId="5C7C67C9" w14:textId="77777777" w:rsidR="0008009C" w:rsidRDefault="0008009C">
            <w:pPr>
              <w:rPr>
                <w:rFonts w:ascii="宋体"/>
              </w:rPr>
            </w:pPr>
          </w:p>
        </w:tc>
        <w:tc>
          <w:tcPr>
            <w:tcW w:w="50" w:type="pct"/>
            <w:shd w:val="clear" w:color="auto" w:fill="auto"/>
          </w:tcPr>
          <w:p w14:paraId="5C7C67CA" w14:textId="77777777" w:rsidR="0008009C" w:rsidRDefault="0008009C">
            <w:pPr>
              <w:rPr>
                <w:rFonts w:ascii="宋体"/>
              </w:rPr>
            </w:pPr>
          </w:p>
        </w:tc>
        <w:tc>
          <w:tcPr>
            <w:tcW w:w="492" w:type="pct"/>
            <w:shd w:val="clear" w:color="auto" w:fill="auto"/>
          </w:tcPr>
          <w:p w14:paraId="5C7C67CB" w14:textId="77777777" w:rsidR="0008009C" w:rsidRDefault="0008009C">
            <w:pPr>
              <w:rPr>
                <w:rFonts w:ascii="宋体"/>
              </w:rPr>
            </w:pPr>
          </w:p>
        </w:tc>
        <w:tc>
          <w:tcPr>
            <w:tcW w:w="5" w:type="pct"/>
            <w:shd w:val="clear" w:color="auto" w:fill="auto"/>
          </w:tcPr>
          <w:p w14:paraId="5C7C67CC" w14:textId="77777777" w:rsidR="0008009C" w:rsidRDefault="0008009C">
            <w:pPr>
              <w:rPr>
                <w:rFonts w:ascii="宋体"/>
              </w:rPr>
            </w:pPr>
          </w:p>
        </w:tc>
        <w:tc>
          <w:tcPr>
            <w:tcW w:w="5" w:type="pct"/>
            <w:shd w:val="clear" w:color="auto" w:fill="auto"/>
          </w:tcPr>
          <w:p w14:paraId="5C7C67CD" w14:textId="77777777" w:rsidR="0008009C" w:rsidRDefault="0008009C">
            <w:pPr>
              <w:rPr>
                <w:rFonts w:ascii="宋体"/>
              </w:rPr>
            </w:pPr>
          </w:p>
        </w:tc>
        <w:tc>
          <w:tcPr>
            <w:tcW w:w="24" w:type="pct"/>
            <w:shd w:val="clear" w:color="auto" w:fill="auto"/>
          </w:tcPr>
          <w:p w14:paraId="5C7C67CE" w14:textId="77777777" w:rsidR="0008009C" w:rsidRDefault="0008009C">
            <w:pPr>
              <w:rPr>
                <w:rFonts w:ascii="宋体"/>
              </w:rPr>
            </w:pPr>
          </w:p>
        </w:tc>
        <w:tc>
          <w:tcPr>
            <w:tcW w:w="5" w:type="pct"/>
            <w:shd w:val="clear" w:color="auto" w:fill="auto"/>
          </w:tcPr>
          <w:p w14:paraId="5C7C67CF" w14:textId="77777777" w:rsidR="0008009C" w:rsidRDefault="0008009C">
            <w:pPr>
              <w:rPr>
                <w:rFonts w:ascii="宋体"/>
              </w:rPr>
            </w:pPr>
          </w:p>
        </w:tc>
        <w:tc>
          <w:tcPr>
            <w:tcW w:w="50" w:type="pct"/>
            <w:shd w:val="clear" w:color="auto" w:fill="auto"/>
          </w:tcPr>
          <w:p w14:paraId="5C7C67D0" w14:textId="77777777" w:rsidR="0008009C" w:rsidRDefault="0008009C">
            <w:pPr>
              <w:rPr>
                <w:rFonts w:ascii="宋体"/>
              </w:rPr>
            </w:pPr>
          </w:p>
        </w:tc>
        <w:tc>
          <w:tcPr>
            <w:tcW w:w="492" w:type="pct"/>
            <w:shd w:val="clear" w:color="auto" w:fill="auto"/>
          </w:tcPr>
          <w:p w14:paraId="5C7C67D1" w14:textId="77777777" w:rsidR="0008009C" w:rsidRDefault="0008009C">
            <w:pPr>
              <w:rPr>
                <w:rFonts w:ascii="宋体"/>
              </w:rPr>
            </w:pPr>
          </w:p>
        </w:tc>
        <w:tc>
          <w:tcPr>
            <w:tcW w:w="5" w:type="pct"/>
            <w:shd w:val="clear" w:color="auto" w:fill="auto"/>
          </w:tcPr>
          <w:p w14:paraId="5C7C67D2" w14:textId="77777777" w:rsidR="0008009C" w:rsidRDefault="0008009C">
            <w:pPr>
              <w:rPr>
                <w:rFonts w:ascii="宋体"/>
              </w:rPr>
            </w:pPr>
          </w:p>
        </w:tc>
        <w:tc>
          <w:tcPr>
            <w:tcW w:w="5" w:type="pct"/>
            <w:shd w:val="clear" w:color="auto" w:fill="auto"/>
          </w:tcPr>
          <w:p w14:paraId="5C7C67D3" w14:textId="77777777" w:rsidR="0008009C" w:rsidRDefault="0008009C">
            <w:pPr>
              <w:rPr>
                <w:rFonts w:ascii="宋体"/>
              </w:rPr>
            </w:pPr>
          </w:p>
        </w:tc>
        <w:tc>
          <w:tcPr>
            <w:tcW w:w="24" w:type="pct"/>
            <w:shd w:val="clear" w:color="auto" w:fill="auto"/>
          </w:tcPr>
          <w:p w14:paraId="5C7C67D4" w14:textId="77777777" w:rsidR="0008009C" w:rsidRDefault="0008009C">
            <w:pPr>
              <w:rPr>
                <w:rFonts w:ascii="宋体"/>
              </w:rPr>
            </w:pPr>
          </w:p>
        </w:tc>
        <w:tc>
          <w:tcPr>
            <w:tcW w:w="5" w:type="pct"/>
            <w:shd w:val="clear" w:color="auto" w:fill="auto"/>
          </w:tcPr>
          <w:p w14:paraId="5C7C67D5" w14:textId="77777777" w:rsidR="0008009C" w:rsidRDefault="0008009C">
            <w:pPr>
              <w:rPr>
                <w:rFonts w:ascii="宋体"/>
              </w:rPr>
            </w:pPr>
          </w:p>
        </w:tc>
        <w:tc>
          <w:tcPr>
            <w:tcW w:w="50" w:type="pct"/>
            <w:shd w:val="clear" w:color="auto" w:fill="auto"/>
          </w:tcPr>
          <w:p w14:paraId="5C7C67D6" w14:textId="77777777" w:rsidR="0008009C" w:rsidRDefault="0008009C">
            <w:pPr>
              <w:rPr>
                <w:rFonts w:ascii="宋体"/>
              </w:rPr>
            </w:pPr>
          </w:p>
        </w:tc>
        <w:tc>
          <w:tcPr>
            <w:tcW w:w="493" w:type="pct"/>
            <w:shd w:val="clear" w:color="auto" w:fill="auto"/>
          </w:tcPr>
          <w:p w14:paraId="5C7C67D7" w14:textId="77777777" w:rsidR="0008009C" w:rsidRDefault="0008009C">
            <w:pPr>
              <w:rPr>
                <w:rFonts w:ascii="宋体"/>
              </w:rPr>
            </w:pPr>
          </w:p>
        </w:tc>
        <w:tc>
          <w:tcPr>
            <w:tcW w:w="5" w:type="pct"/>
            <w:shd w:val="clear" w:color="auto" w:fill="auto"/>
          </w:tcPr>
          <w:p w14:paraId="5C7C67D8" w14:textId="77777777" w:rsidR="0008009C" w:rsidRDefault="0008009C">
            <w:pPr>
              <w:rPr>
                <w:rFonts w:ascii="宋体"/>
              </w:rPr>
            </w:pPr>
          </w:p>
        </w:tc>
      </w:tr>
      <w:tr w:rsidR="0008009C" w14:paraId="5C7C67DD" w14:textId="77777777">
        <w:tc>
          <w:tcPr>
            <w:tcW w:w="0" w:type="auto"/>
            <w:gridSpan w:val="3"/>
            <w:shd w:val="clear" w:color="auto" w:fill="auto"/>
            <w:tcMar>
              <w:top w:w="0" w:type="dxa"/>
              <w:left w:w="20" w:type="dxa"/>
              <w:bottom w:w="0" w:type="dxa"/>
              <w:right w:w="20" w:type="dxa"/>
            </w:tcMar>
          </w:tcPr>
          <w:p w14:paraId="5C7C67D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7DB" w14:textId="77777777" w:rsidR="0008009C" w:rsidRDefault="0008009C">
            <w:pPr>
              <w:rPr>
                <w:rFonts w:ascii="宋体"/>
              </w:rPr>
            </w:pPr>
          </w:p>
        </w:tc>
        <w:tc>
          <w:tcPr>
            <w:tcW w:w="0" w:type="auto"/>
            <w:gridSpan w:val="33"/>
            <w:shd w:val="clear" w:color="auto" w:fill="auto"/>
            <w:tcMar>
              <w:top w:w="40" w:type="dxa"/>
              <w:left w:w="20" w:type="dxa"/>
              <w:bottom w:w="40" w:type="dxa"/>
              <w:right w:w="20" w:type="dxa"/>
            </w:tcMar>
            <w:vAlign w:val="bottom"/>
          </w:tcPr>
          <w:p w14:paraId="5C7C67DC" w14:textId="77777777" w:rsidR="0008009C" w:rsidRDefault="00936FDF">
            <w:pPr>
              <w:jc w:val="center"/>
              <w:textAlignment w:val="bottom"/>
            </w:pPr>
            <w:r>
              <w:rPr>
                <w:rFonts w:ascii="Arial" w:eastAsia="宋体" w:hAnsi="Arial" w:cs="Arial"/>
                <w:b/>
                <w:bCs/>
                <w:color w:val="262626"/>
                <w:sz w:val="18"/>
                <w:szCs w:val="18"/>
              </w:rPr>
              <w:t>Mar 27, 2021</w:t>
            </w:r>
          </w:p>
        </w:tc>
      </w:tr>
      <w:tr w:rsidR="0008009C" w14:paraId="5C7C67E9" w14:textId="77777777">
        <w:tc>
          <w:tcPr>
            <w:tcW w:w="0" w:type="auto"/>
            <w:gridSpan w:val="3"/>
            <w:shd w:val="clear" w:color="auto" w:fill="auto"/>
            <w:tcMar>
              <w:top w:w="0" w:type="dxa"/>
              <w:left w:w="20" w:type="dxa"/>
              <w:bottom w:w="0" w:type="dxa"/>
              <w:right w:w="20" w:type="dxa"/>
            </w:tcMar>
          </w:tcPr>
          <w:p w14:paraId="5C7C67D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7DF"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7E0"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7E1"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7E2"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7E3"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7E4"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7E5" w14:textId="77777777" w:rsidR="0008009C" w:rsidRDefault="0008009C">
            <w:pPr>
              <w:rPr>
                <w:rFonts w:ascii="宋体"/>
              </w:rPr>
            </w:pPr>
          </w:p>
        </w:tc>
        <w:tc>
          <w:tcPr>
            <w:tcW w:w="0" w:type="auto"/>
            <w:gridSpan w:val="9"/>
            <w:tcBorders>
              <w:top w:val="single" w:sz="8" w:space="0" w:color="0068B5"/>
            </w:tcBorders>
            <w:shd w:val="clear" w:color="auto" w:fill="auto"/>
            <w:tcMar>
              <w:top w:w="40" w:type="dxa"/>
              <w:left w:w="20" w:type="dxa"/>
              <w:bottom w:w="40" w:type="dxa"/>
              <w:right w:w="20" w:type="dxa"/>
            </w:tcMar>
            <w:vAlign w:val="bottom"/>
          </w:tcPr>
          <w:p w14:paraId="5C7C67E6" w14:textId="77777777" w:rsidR="0008009C" w:rsidRDefault="00936FDF">
            <w:pPr>
              <w:jc w:val="center"/>
              <w:textAlignment w:val="bottom"/>
            </w:pPr>
            <w:r>
              <w:rPr>
                <w:rFonts w:ascii="Arial" w:eastAsia="宋体" w:hAnsi="Arial" w:cs="Arial"/>
                <w:b/>
                <w:bCs/>
                <w:color w:val="333333"/>
                <w:sz w:val="18"/>
                <w:szCs w:val="18"/>
              </w:rPr>
              <w:t>Gross Amounts Not Offset in the Balance Sheet</w:t>
            </w:r>
          </w:p>
        </w:tc>
        <w:tc>
          <w:tcPr>
            <w:tcW w:w="0" w:type="auto"/>
            <w:gridSpan w:val="3"/>
            <w:tcBorders>
              <w:top w:val="single" w:sz="8" w:space="0" w:color="0068B5"/>
            </w:tcBorders>
            <w:shd w:val="clear" w:color="auto" w:fill="auto"/>
            <w:tcMar>
              <w:top w:w="0" w:type="dxa"/>
              <w:left w:w="20" w:type="dxa"/>
              <w:bottom w:w="0" w:type="dxa"/>
              <w:right w:w="20" w:type="dxa"/>
            </w:tcMar>
          </w:tcPr>
          <w:p w14:paraId="5C7C67E7"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7E8" w14:textId="77777777" w:rsidR="0008009C" w:rsidRDefault="0008009C">
            <w:pPr>
              <w:rPr>
                <w:rFonts w:ascii="宋体"/>
              </w:rPr>
            </w:pPr>
          </w:p>
        </w:tc>
      </w:tr>
      <w:tr w:rsidR="0008009C" w14:paraId="5C7C67F7" w14:textId="77777777">
        <w:tc>
          <w:tcPr>
            <w:tcW w:w="0" w:type="auto"/>
            <w:gridSpan w:val="3"/>
            <w:shd w:val="clear" w:color="auto" w:fill="auto"/>
            <w:tcMar>
              <w:top w:w="40" w:type="dxa"/>
              <w:left w:w="20" w:type="dxa"/>
              <w:bottom w:w="40" w:type="dxa"/>
              <w:right w:w="20" w:type="dxa"/>
            </w:tcMar>
            <w:vAlign w:val="bottom"/>
          </w:tcPr>
          <w:p w14:paraId="5C7C67EA" w14:textId="77777777" w:rsidR="0008009C" w:rsidRDefault="00936FDF">
            <w:pPr>
              <w:ind w:hanging="180"/>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tcPr>
          <w:p w14:paraId="5C7C67EB"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7EC" w14:textId="77777777" w:rsidR="0008009C" w:rsidRDefault="00936FDF">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tcPr>
          <w:p w14:paraId="5C7C67ED"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7EE" w14:textId="77777777" w:rsidR="0008009C" w:rsidRDefault="00936FDF">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tcPr>
          <w:p w14:paraId="5C7C67E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7F0" w14:textId="77777777" w:rsidR="0008009C" w:rsidRDefault="00936FDF">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tcPr>
          <w:p w14:paraId="5C7C67F1"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7F2" w14:textId="77777777" w:rsidR="0008009C" w:rsidRDefault="00936FDF">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8" w:space="0" w:color="0068B5"/>
            </w:tcBorders>
            <w:shd w:val="clear" w:color="auto" w:fill="auto"/>
            <w:tcMar>
              <w:top w:w="0" w:type="dxa"/>
              <w:left w:w="20" w:type="dxa"/>
              <w:bottom w:w="0" w:type="dxa"/>
              <w:right w:w="20" w:type="dxa"/>
            </w:tcMar>
          </w:tcPr>
          <w:p w14:paraId="5C7C67F3"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7F4" w14:textId="77777777" w:rsidR="0008009C" w:rsidRDefault="00936FDF">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tcPr>
          <w:p w14:paraId="5C7C67F5"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7F6" w14:textId="77777777" w:rsidR="0008009C" w:rsidRDefault="00936FDF">
            <w:pPr>
              <w:jc w:val="center"/>
              <w:textAlignment w:val="bottom"/>
            </w:pPr>
            <w:r>
              <w:rPr>
                <w:rFonts w:ascii="Arial" w:eastAsia="宋体" w:hAnsi="Arial" w:cs="Arial"/>
                <w:b/>
                <w:bCs/>
                <w:color w:val="262626"/>
                <w:sz w:val="18"/>
                <w:szCs w:val="18"/>
              </w:rPr>
              <w:t>Net Amount</w:t>
            </w:r>
          </w:p>
        </w:tc>
      </w:tr>
      <w:tr w:rsidR="0008009C" w14:paraId="5C7C680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7F8" w14:textId="77777777" w:rsidR="0008009C" w:rsidRDefault="00936FDF">
            <w:pPr>
              <w:ind w:hanging="180"/>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tcPr>
          <w:p w14:paraId="5C7C67F9"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7F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7FB"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7F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7FD"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7F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7FF"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80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801"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80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803"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804" w14:textId="77777777" w:rsidR="0008009C" w:rsidRDefault="0008009C">
            <w:pPr>
              <w:rPr>
                <w:rFonts w:ascii="宋体"/>
              </w:rPr>
            </w:pPr>
          </w:p>
        </w:tc>
      </w:tr>
      <w:tr w:rsidR="0008009C" w14:paraId="5C7C681D" w14:textId="77777777">
        <w:tc>
          <w:tcPr>
            <w:tcW w:w="0" w:type="auto"/>
            <w:gridSpan w:val="3"/>
            <w:shd w:val="clear" w:color="auto" w:fill="auto"/>
            <w:tcMar>
              <w:top w:w="40" w:type="dxa"/>
              <w:left w:w="140" w:type="dxa"/>
              <w:bottom w:w="40" w:type="dxa"/>
              <w:right w:w="20" w:type="dxa"/>
            </w:tcMar>
            <w:vAlign w:val="bottom"/>
          </w:tcPr>
          <w:p w14:paraId="5C7C6806" w14:textId="77777777" w:rsidR="0008009C" w:rsidRDefault="00936FDF">
            <w:pPr>
              <w:textAlignment w:val="bottom"/>
            </w:pPr>
            <w:r>
              <w:rPr>
                <w:rFonts w:ascii="Arial" w:eastAsia="宋体" w:hAnsi="Arial" w:cs="Arial"/>
                <w:color w:val="262626"/>
                <w:sz w:val="18"/>
                <w:szCs w:val="18"/>
              </w:rPr>
              <w:t>Derivative assets subject to master</w:t>
            </w:r>
            <w:r>
              <w:rPr>
                <w:rFonts w:ascii="Arial" w:eastAsia="宋体" w:hAnsi="Arial" w:cs="Arial"/>
                <w:color w:val="262626"/>
                <w:sz w:val="18"/>
                <w:szCs w:val="18"/>
              </w:rPr>
              <w:br/>
              <w:t>     netting arrangements</w:t>
            </w:r>
          </w:p>
        </w:tc>
        <w:tc>
          <w:tcPr>
            <w:tcW w:w="0" w:type="auto"/>
            <w:gridSpan w:val="3"/>
            <w:shd w:val="clear" w:color="auto" w:fill="auto"/>
            <w:tcMar>
              <w:top w:w="0" w:type="dxa"/>
              <w:left w:w="20" w:type="dxa"/>
              <w:bottom w:w="0" w:type="dxa"/>
              <w:right w:w="20" w:type="dxa"/>
            </w:tcMar>
          </w:tcPr>
          <w:p w14:paraId="5C7C6807"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808"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6809" w14:textId="77777777" w:rsidR="0008009C" w:rsidRDefault="00936FDF">
            <w:pPr>
              <w:jc w:val="right"/>
              <w:textAlignment w:val="bottom"/>
            </w:pPr>
            <w:r>
              <w:rPr>
                <w:rFonts w:ascii="Arial" w:eastAsia="宋体" w:hAnsi="Arial" w:cs="Arial"/>
                <w:color w:val="0068B5"/>
                <w:sz w:val="18"/>
                <w:szCs w:val="18"/>
              </w:rPr>
              <w:t>1,455 </w:t>
            </w:r>
          </w:p>
        </w:tc>
        <w:tc>
          <w:tcPr>
            <w:tcW w:w="0" w:type="auto"/>
            <w:shd w:val="clear" w:color="auto" w:fill="auto"/>
            <w:tcMar>
              <w:top w:w="40" w:type="dxa"/>
              <w:left w:w="0" w:type="dxa"/>
              <w:bottom w:w="40" w:type="dxa"/>
              <w:right w:w="20" w:type="dxa"/>
            </w:tcMar>
            <w:vAlign w:val="bottom"/>
          </w:tcPr>
          <w:p w14:paraId="5C7C680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0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80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80D"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80E"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680F" w14:textId="77777777" w:rsidR="0008009C" w:rsidRDefault="00936FDF">
            <w:pPr>
              <w:jc w:val="right"/>
              <w:textAlignment w:val="bottom"/>
            </w:pPr>
            <w:r>
              <w:rPr>
                <w:rFonts w:ascii="Arial" w:eastAsia="宋体" w:hAnsi="Arial" w:cs="Arial"/>
                <w:color w:val="0068B5"/>
                <w:sz w:val="18"/>
                <w:szCs w:val="18"/>
              </w:rPr>
              <w:t>1,455 </w:t>
            </w:r>
          </w:p>
        </w:tc>
        <w:tc>
          <w:tcPr>
            <w:tcW w:w="0" w:type="auto"/>
            <w:shd w:val="clear" w:color="auto" w:fill="auto"/>
            <w:tcMar>
              <w:top w:w="40" w:type="dxa"/>
              <w:left w:w="0" w:type="dxa"/>
              <w:bottom w:w="40" w:type="dxa"/>
              <w:right w:w="20" w:type="dxa"/>
            </w:tcMar>
            <w:vAlign w:val="bottom"/>
          </w:tcPr>
          <w:p w14:paraId="5C7C681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11"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812"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6813" w14:textId="77777777" w:rsidR="0008009C" w:rsidRDefault="00936FDF">
            <w:pPr>
              <w:jc w:val="right"/>
              <w:textAlignment w:val="bottom"/>
            </w:pPr>
            <w:r>
              <w:rPr>
                <w:rFonts w:ascii="Arial" w:eastAsia="宋体" w:hAnsi="Arial" w:cs="Arial"/>
                <w:color w:val="0068B5"/>
                <w:sz w:val="18"/>
                <w:szCs w:val="18"/>
              </w:rPr>
              <w:t>(404)</w:t>
            </w:r>
          </w:p>
        </w:tc>
        <w:tc>
          <w:tcPr>
            <w:tcW w:w="0" w:type="auto"/>
            <w:shd w:val="clear" w:color="auto" w:fill="auto"/>
            <w:tcMar>
              <w:top w:w="40" w:type="dxa"/>
              <w:left w:w="0" w:type="dxa"/>
              <w:bottom w:w="40" w:type="dxa"/>
              <w:right w:w="20" w:type="dxa"/>
            </w:tcMar>
            <w:vAlign w:val="bottom"/>
          </w:tcPr>
          <w:p w14:paraId="5C7C681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15"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816"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6817" w14:textId="77777777" w:rsidR="0008009C" w:rsidRDefault="00936FDF">
            <w:pPr>
              <w:jc w:val="right"/>
              <w:textAlignment w:val="bottom"/>
            </w:pPr>
            <w:r>
              <w:rPr>
                <w:rFonts w:ascii="Arial" w:eastAsia="宋体" w:hAnsi="Arial" w:cs="Arial"/>
                <w:color w:val="0068B5"/>
                <w:sz w:val="18"/>
                <w:szCs w:val="18"/>
              </w:rPr>
              <w:t>(1,036)</w:t>
            </w:r>
          </w:p>
        </w:tc>
        <w:tc>
          <w:tcPr>
            <w:tcW w:w="0" w:type="auto"/>
            <w:shd w:val="clear" w:color="auto" w:fill="auto"/>
            <w:tcMar>
              <w:top w:w="40" w:type="dxa"/>
              <w:left w:w="0" w:type="dxa"/>
              <w:bottom w:w="40" w:type="dxa"/>
              <w:right w:w="20" w:type="dxa"/>
            </w:tcMar>
            <w:vAlign w:val="bottom"/>
          </w:tcPr>
          <w:p w14:paraId="5C7C681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19"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81A"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681B" w14:textId="77777777" w:rsidR="0008009C" w:rsidRDefault="00936FDF">
            <w:pPr>
              <w:jc w:val="right"/>
              <w:textAlignment w:val="bottom"/>
            </w:pPr>
            <w:r>
              <w:rPr>
                <w:rFonts w:ascii="Arial" w:eastAsia="宋体" w:hAnsi="Arial" w:cs="Arial"/>
                <w:color w:val="0068B5"/>
                <w:sz w:val="18"/>
                <w:szCs w:val="18"/>
              </w:rPr>
              <w:t>15 </w:t>
            </w:r>
          </w:p>
        </w:tc>
        <w:tc>
          <w:tcPr>
            <w:tcW w:w="0" w:type="auto"/>
            <w:shd w:val="clear" w:color="auto" w:fill="auto"/>
            <w:tcMar>
              <w:top w:w="40" w:type="dxa"/>
              <w:left w:w="0" w:type="dxa"/>
              <w:bottom w:w="40" w:type="dxa"/>
              <w:right w:w="20" w:type="dxa"/>
            </w:tcMar>
            <w:vAlign w:val="bottom"/>
          </w:tcPr>
          <w:p w14:paraId="5C7C681C" w14:textId="77777777" w:rsidR="0008009C" w:rsidRDefault="0008009C">
            <w:pPr>
              <w:jc w:val="right"/>
              <w:rPr>
                <w:rFonts w:ascii="宋体"/>
              </w:rPr>
            </w:pPr>
          </w:p>
        </w:tc>
      </w:tr>
      <w:tr w:rsidR="0008009C" w14:paraId="5C7C6831" w14:textId="77777777">
        <w:tc>
          <w:tcPr>
            <w:tcW w:w="0" w:type="auto"/>
            <w:gridSpan w:val="3"/>
            <w:shd w:val="clear" w:color="auto" w:fill="auto"/>
            <w:tcMar>
              <w:top w:w="40" w:type="dxa"/>
              <w:left w:w="20" w:type="dxa"/>
              <w:bottom w:w="40" w:type="dxa"/>
              <w:right w:w="20" w:type="dxa"/>
            </w:tcMar>
            <w:vAlign w:val="bottom"/>
          </w:tcPr>
          <w:p w14:paraId="5C7C681E" w14:textId="77777777" w:rsidR="0008009C" w:rsidRDefault="00936FDF">
            <w:pPr>
              <w:textAlignment w:val="bottom"/>
            </w:pPr>
            <w:r>
              <w:rPr>
                <w:rFonts w:ascii="Arial" w:eastAsia="宋体" w:hAnsi="Arial" w:cs="Arial"/>
                <w:color w:val="262626"/>
                <w:sz w:val="18"/>
                <w:szCs w:val="18"/>
              </w:rPr>
              <w:t xml:space="preserve">Reverse repurchase </w:t>
            </w:r>
            <w:r>
              <w:rPr>
                <w:rFonts w:ascii="Arial" w:eastAsia="宋体" w:hAnsi="Arial" w:cs="Arial"/>
                <w:color w:val="262626"/>
                <w:sz w:val="18"/>
                <w:szCs w:val="18"/>
              </w:rPr>
              <w:t>agreements</w:t>
            </w:r>
          </w:p>
        </w:tc>
        <w:tc>
          <w:tcPr>
            <w:tcW w:w="0" w:type="auto"/>
            <w:gridSpan w:val="3"/>
            <w:shd w:val="clear" w:color="auto" w:fill="auto"/>
            <w:tcMar>
              <w:top w:w="0" w:type="dxa"/>
              <w:left w:w="20" w:type="dxa"/>
              <w:bottom w:w="0" w:type="dxa"/>
              <w:right w:w="20" w:type="dxa"/>
            </w:tcMar>
          </w:tcPr>
          <w:p w14:paraId="5C7C681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820" w14:textId="77777777" w:rsidR="0008009C" w:rsidRDefault="00936FDF">
            <w:pPr>
              <w:jc w:val="right"/>
              <w:textAlignment w:val="bottom"/>
            </w:pPr>
            <w:r>
              <w:rPr>
                <w:rFonts w:ascii="Arial" w:eastAsia="宋体" w:hAnsi="Arial" w:cs="Arial"/>
                <w:color w:val="0068B5"/>
                <w:sz w:val="18"/>
                <w:szCs w:val="18"/>
              </w:rPr>
              <w:t>1,350 </w:t>
            </w:r>
          </w:p>
        </w:tc>
        <w:tc>
          <w:tcPr>
            <w:tcW w:w="0" w:type="auto"/>
            <w:shd w:val="clear" w:color="auto" w:fill="auto"/>
            <w:tcMar>
              <w:top w:w="40" w:type="dxa"/>
              <w:left w:w="0" w:type="dxa"/>
              <w:bottom w:w="40" w:type="dxa"/>
              <w:right w:w="20" w:type="dxa"/>
            </w:tcMar>
            <w:vAlign w:val="bottom"/>
          </w:tcPr>
          <w:p w14:paraId="5C7C682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2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823"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82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2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826" w14:textId="77777777" w:rsidR="0008009C" w:rsidRDefault="00936FDF">
            <w:pPr>
              <w:jc w:val="right"/>
              <w:textAlignment w:val="bottom"/>
            </w:pPr>
            <w:r>
              <w:rPr>
                <w:rFonts w:ascii="Arial" w:eastAsia="宋体" w:hAnsi="Arial" w:cs="Arial"/>
                <w:color w:val="0068B5"/>
                <w:sz w:val="18"/>
                <w:szCs w:val="18"/>
              </w:rPr>
              <w:t>1,350 </w:t>
            </w:r>
          </w:p>
        </w:tc>
        <w:tc>
          <w:tcPr>
            <w:tcW w:w="0" w:type="auto"/>
            <w:shd w:val="clear" w:color="auto" w:fill="auto"/>
            <w:tcMar>
              <w:top w:w="40" w:type="dxa"/>
              <w:left w:w="0" w:type="dxa"/>
              <w:bottom w:w="40" w:type="dxa"/>
              <w:right w:w="20" w:type="dxa"/>
            </w:tcMar>
            <w:vAlign w:val="bottom"/>
          </w:tcPr>
          <w:p w14:paraId="5C7C682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2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829"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82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2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82C" w14:textId="77777777" w:rsidR="0008009C" w:rsidRDefault="00936FDF">
            <w:pPr>
              <w:jc w:val="right"/>
              <w:textAlignment w:val="bottom"/>
            </w:pPr>
            <w:r>
              <w:rPr>
                <w:rFonts w:ascii="Arial" w:eastAsia="宋体" w:hAnsi="Arial" w:cs="Arial"/>
                <w:color w:val="0068B5"/>
                <w:sz w:val="18"/>
                <w:szCs w:val="18"/>
              </w:rPr>
              <w:t>(1,350)</w:t>
            </w:r>
          </w:p>
        </w:tc>
        <w:tc>
          <w:tcPr>
            <w:tcW w:w="0" w:type="auto"/>
            <w:shd w:val="clear" w:color="auto" w:fill="auto"/>
            <w:tcMar>
              <w:top w:w="40" w:type="dxa"/>
              <w:left w:w="0" w:type="dxa"/>
              <w:bottom w:w="40" w:type="dxa"/>
              <w:right w:w="20" w:type="dxa"/>
            </w:tcMar>
            <w:vAlign w:val="bottom"/>
          </w:tcPr>
          <w:p w14:paraId="5C7C682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2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82F"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830" w14:textId="77777777" w:rsidR="0008009C" w:rsidRDefault="0008009C">
            <w:pPr>
              <w:jc w:val="right"/>
              <w:rPr>
                <w:rFonts w:ascii="宋体"/>
              </w:rPr>
            </w:pPr>
          </w:p>
        </w:tc>
      </w:tr>
      <w:tr w:rsidR="0008009C" w14:paraId="5C7C6845" w14:textId="77777777">
        <w:tc>
          <w:tcPr>
            <w:tcW w:w="0" w:type="auto"/>
            <w:gridSpan w:val="3"/>
            <w:shd w:val="clear" w:color="auto" w:fill="auto"/>
            <w:tcMar>
              <w:top w:w="40" w:type="dxa"/>
              <w:left w:w="20" w:type="dxa"/>
              <w:bottom w:w="40" w:type="dxa"/>
              <w:right w:w="20" w:type="dxa"/>
            </w:tcMar>
            <w:vAlign w:val="bottom"/>
          </w:tcPr>
          <w:p w14:paraId="5C7C6832" w14:textId="77777777" w:rsidR="0008009C" w:rsidRDefault="00936FDF">
            <w:pPr>
              <w:textAlignment w:val="bottom"/>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tcPr>
          <w:p w14:paraId="5C7C6833"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834" w14:textId="77777777" w:rsidR="0008009C" w:rsidRDefault="00936FDF">
            <w:pPr>
              <w:jc w:val="right"/>
              <w:textAlignment w:val="bottom"/>
            </w:pPr>
            <w:r>
              <w:rPr>
                <w:rFonts w:ascii="Arial" w:eastAsia="宋体" w:hAnsi="Arial" w:cs="Arial"/>
                <w:b/>
                <w:bCs/>
                <w:color w:val="0068B5"/>
                <w:sz w:val="18"/>
                <w:szCs w:val="18"/>
              </w:rPr>
              <w:t>2,805</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83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36"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837" w14:textId="77777777" w:rsidR="0008009C" w:rsidRDefault="00936FDF">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83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39"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83A" w14:textId="77777777" w:rsidR="0008009C" w:rsidRDefault="00936FDF">
            <w:pPr>
              <w:jc w:val="right"/>
              <w:textAlignment w:val="bottom"/>
            </w:pPr>
            <w:r>
              <w:rPr>
                <w:rFonts w:ascii="Arial" w:eastAsia="宋体" w:hAnsi="Arial" w:cs="Arial"/>
                <w:b/>
                <w:bCs/>
                <w:color w:val="0068B5"/>
                <w:sz w:val="18"/>
                <w:szCs w:val="18"/>
              </w:rPr>
              <w:t>2,805</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83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3C"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83D" w14:textId="77777777" w:rsidR="0008009C" w:rsidRDefault="00936FDF">
            <w:pPr>
              <w:jc w:val="right"/>
              <w:textAlignment w:val="bottom"/>
            </w:pPr>
            <w:r>
              <w:rPr>
                <w:rFonts w:ascii="Arial" w:eastAsia="宋体" w:hAnsi="Arial" w:cs="Arial"/>
                <w:b/>
                <w:bCs/>
                <w:color w:val="0068B5"/>
                <w:sz w:val="18"/>
                <w:szCs w:val="18"/>
              </w:rPr>
              <w:t>(404)</w:t>
            </w:r>
          </w:p>
        </w:tc>
        <w:tc>
          <w:tcPr>
            <w:tcW w:w="0" w:type="auto"/>
            <w:tcBorders>
              <w:top w:val="single" w:sz="8" w:space="0" w:color="262626"/>
            </w:tcBorders>
            <w:shd w:val="clear" w:color="auto" w:fill="auto"/>
            <w:tcMar>
              <w:top w:w="40" w:type="dxa"/>
              <w:left w:w="0" w:type="dxa"/>
              <w:bottom w:w="40" w:type="dxa"/>
              <w:right w:w="20" w:type="dxa"/>
            </w:tcMar>
            <w:vAlign w:val="bottom"/>
          </w:tcPr>
          <w:p w14:paraId="5C7C683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3F"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840" w14:textId="77777777" w:rsidR="0008009C" w:rsidRDefault="00936FDF">
            <w:pPr>
              <w:jc w:val="right"/>
              <w:textAlignment w:val="bottom"/>
            </w:pPr>
            <w:r>
              <w:rPr>
                <w:rFonts w:ascii="Arial" w:eastAsia="宋体" w:hAnsi="Arial" w:cs="Arial"/>
                <w:b/>
                <w:bCs/>
                <w:color w:val="0068B5"/>
                <w:sz w:val="18"/>
                <w:szCs w:val="18"/>
              </w:rPr>
              <w:t>(2,386)</w:t>
            </w:r>
          </w:p>
        </w:tc>
        <w:tc>
          <w:tcPr>
            <w:tcW w:w="0" w:type="auto"/>
            <w:tcBorders>
              <w:top w:val="single" w:sz="8" w:space="0" w:color="262626"/>
            </w:tcBorders>
            <w:shd w:val="clear" w:color="auto" w:fill="auto"/>
            <w:tcMar>
              <w:top w:w="40" w:type="dxa"/>
              <w:left w:w="0" w:type="dxa"/>
              <w:bottom w:w="40" w:type="dxa"/>
              <w:right w:w="20" w:type="dxa"/>
            </w:tcMar>
            <w:vAlign w:val="bottom"/>
          </w:tcPr>
          <w:p w14:paraId="5C7C684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42"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843" w14:textId="77777777" w:rsidR="0008009C" w:rsidRDefault="00936FDF">
            <w:pPr>
              <w:jc w:val="right"/>
              <w:textAlignment w:val="bottom"/>
            </w:pPr>
            <w:r>
              <w:rPr>
                <w:rFonts w:ascii="Arial" w:eastAsia="宋体" w:hAnsi="Arial" w:cs="Arial"/>
                <w:b/>
                <w:bCs/>
                <w:color w:val="0068B5"/>
                <w:sz w:val="18"/>
                <w:szCs w:val="18"/>
              </w:rPr>
              <w:t>15</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844" w14:textId="77777777" w:rsidR="0008009C" w:rsidRDefault="0008009C">
            <w:pPr>
              <w:jc w:val="right"/>
              <w:rPr>
                <w:rFonts w:ascii="宋体"/>
              </w:rPr>
            </w:pPr>
          </w:p>
        </w:tc>
      </w:tr>
      <w:tr w:rsidR="0008009C" w14:paraId="5C7C6853" w14:textId="77777777">
        <w:tc>
          <w:tcPr>
            <w:tcW w:w="0" w:type="auto"/>
            <w:gridSpan w:val="3"/>
            <w:shd w:val="clear" w:color="auto" w:fill="auto"/>
            <w:tcMar>
              <w:top w:w="40" w:type="dxa"/>
              <w:left w:w="20" w:type="dxa"/>
              <w:bottom w:w="40" w:type="dxa"/>
              <w:right w:w="20" w:type="dxa"/>
            </w:tcMar>
            <w:vAlign w:val="bottom"/>
          </w:tcPr>
          <w:p w14:paraId="5C7C6846" w14:textId="77777777" w:rsidR="0008009C" w:rsidRDefault="00936FDF">
            <w:pPr>
              <w:textAlignment w:val="bottom"/>
            </w:pP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tcPr>
          <w:p w14:paraId="5C7C6847"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84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849"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84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84B"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84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84D"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84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84F"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85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851"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852" w14:textId="77777777" w:rsidR="0008009C" w:rsidRDefault="0008009C">
            <w:pPr>
              <w:rPr>
                <w:rFonts w:ascii="宋体"/>
              </w:rPr>
            </w:pPr>
          </w:p>
        </w:tc>
      </w:tr>
      <w:tr w:rsidR="0008009C" w14:paraId="5C7C6867" w14:textId="77777777">
        <w:tc>
          <w:tcPr>
            <w:tcW w:w="0" w:type="auto"/>
            <w:gridSpan w:val="3"/>
            <w:shd w:val="clear" w:color="auto" w:fill="auto"/>
            <w:tcMar>
              <w:top w:w="40" w:type="dxa"/>
              <w:left w:w="140" w:type="dxa"/>
              <w:bottom w:w="40" w:type="dxa"/>
              <w:right w:w="20" w:type="dxa"/>
            </w:tcMar>
            <w:vAlign w:val="bottom"/>
          </w:tcPr>
          <w:p w14:paraId="5C7C6854" w14:textId="77777777" w:rsidR="0008009C" w:rsidRDefault="00936FDF">
            <w:pPr>
              <w:textAlignment w:val="bottom"/>
            </w:pPr>
            <w:r>
              <w:rPr>
                <w:rFonts w:ascii="Arial" w:eastAsia="宋体" w:hAnsi="Arial" w:cs="Arial"/>
                <w:color w:val="262626"/>
                <w:sz w:val="18"/>
                <w:szCs w:val="18"/>
              </w:rPr>
              <w:t>Derivative liabilities subject to master</w:t>
            </w:r>
            <w:r>
              <w:rPr>
                <w:rFonts w:ascii="Arial" w:eastAsia="宋体" w:hAnsi="Arial" w:cs="Arial"/>
                <w:color w:val="262626"/>
                <w:sz w:val="18"/>
                <w:szCs w:val="18"/>
              </w:rPr>
              <w:br/>
              <w:t>     netting arrangements</w:t>
            </w:r>
          </w:p>
        </w:tc>
        <w:tc>
          <w:tcPr>
            <w:tcW w:w="0" w:type="auto"/>
            <w:gridSpan w:val="3"/>
            <w:shd w:val="clear" w:color="auto" w:fill="auto"/>
            <w:tcMar>
              <w:top w:w="0" w:type="dxa"/>
              <w:left w:w="20" w:type="dxa"/>
              <w:bottom w:w="0" w:type="dxa"/>
              <w:right w:w="20" w:type="dxa"/>
            </w:tcMar>
          </w:tcPr>
          <w:p w14:paraId="5C7C685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856" w14:textId="77777777" w:rsidR="0008009C" w:rsidRDefault="00936FDF">
            <w:pPr>
              <w:jc w:val="right"/>
              <w:textAlignment w:val="bottom"/>
            </w:pPr>
            <w:r>
              <w:rPr>
                <w:rFonts w:ascii="Arial" w:eastAsia="宋体" w:hAnsi="Arial" w:cs="Arial"/>
                <w:color w:val="0068B5"/>
                <w:sz w:val="18"/>
                <w:szCs w:val="18"/>
              </w:rPr>
              <w:t>516 </w:t>
            </w:r>
          </w:p>
        </w:tc>
        <w:tc>
          <w:tcPr>
            <w:tcW w:w="0" w:type="auto"/>
            <w:shd w:val="clear" w:color="auto" w:fill="auto"/>
            <w:tcMar>
              <w:top w:w="40" w:type="dxa"/>
              <w:left w:w="0" w:type="dxa"/>
              <w:bottom w:w="40" w:type="dxa"/>
              <w:right w:w="20" w:type="dxa"/>
            </w:tcMar>
            <w:vAlign w:val="bottom"/>
          </w:tcPr>
          <w:p w14:paraId="5C7C685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5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859"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85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5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85C" w14:textId="77777777" w:rsidR="0008009C" w:rsidRDefault="00936FDF">
            <w:pPr>
              <w:jc w:val="right"/>
              <w:textAlignment w:val="bottom"/>
            </w:pPr>
            <w:r>
              <w:rPr>
                <w:rFonts w:ascii="Arial" w:eastAsia="宋体" w:hAnsi="Arial" w:cs="Arial"/>
                <w:color w:val="0068B5"/>
                <w:sz w:val="18"/>
                <w:szCs w:val="18"/>
              </w:rPr>
              <w:t>516 </w:t>
            </w:r>
          </w:p>
        </w:tc>
        <w:tc>
          <w:tcPr>
            <w:tcW w:w="0" w:type="auto"/>
            <w:shd w:val="clear" w:color="auto" w:fill="auto"/>
            <w:tcMar>
              <w:top w:w="40" w:type="dxa"/>
              <w:left w:w="0" w:type="dxa"/>
              <w:bottom w:w="40" w:type="dxa"/>
              <w:right w:w="20" w:type="dxa"/>
            </w:tcMar>
            <w:vAlign w:val="bottom"/>
          </w:tcPr>
          <w:p w14:paraId="5C7C685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5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85F" w14:textId="77777777" w:rsidR="0008009C" w:rsidRDefault="00936FDF">
            <w:pPr>
              <w:jc w:val="right"/>
              <w:textAlignment w:val="bottom"/>
            </w:pPr>
            <w:r>
              <w:rPr>
                <w:rFonts w:ascii="Arial" w:eastAsia="宋体" w:hAnsi="Arial" w:cs="Arial"/>
                <w:color w:val="0068B5"/>
                <w:sz w:val="18"/>
                <w:szCs w:val="18"/>
              </w:rPr>
              <w:t>(404)</w:t>
            </w:r>
          </w:p>
        </w:tc>
        <w:tc>
          <w:tcPr>
            <w:tcW w:w="0" w:type="auto"/>
            <w:shd w:val="clear" w:color="auto" w:fill="auto"/>
            <w:tcMar>
              <w:top w:w="40" w:type="dxa"/>
              <w:left w:w="0" w:type="dxa"/>
              <w:bottom w:w="40" w:type="dxa"/>
              <w:right w:w="20" w:type="dxa"/>
            </w:tcMar>
            <w:vAlign w:val="bottom"/>
          </w:tcPr>
          <w:p w14:paraId="5C7C686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6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862" w14:textId="77777777" w:rsidR="0008009C" w:rsidRDefault="00936FDF">
            <w:pPr>
              <w:jc w:val="right"/>
              <w:textAlignment w:val="bottom"/>
            </w:pPr>
            <w:r>
              <w:rPr>
                <w:rFonts w:ascii="Arial" w:eastAsia="宋体" w:hAnsi="Arial" w:cs="Arial"/>
                <w:color w:val="0068B5"/>
                <w:sz w:val="18"/>
                <w:szCs w:val="18"/>
              </w:rPr>
              <w:t>(112)</w:t>
            </w:r>
          </w:p>
        </w:tc>
        <w:tc>
          <w:tcPr>
            <w:tcW w:w="0" w:type="auto"/>
            <w:shd w:val="clear" w:color="auto" w:fill="auto"/>
            <w:tcMar>
              <w:top w:w="40" w:type="dxa"/>
              <w:left w:w="0" w:type="dxa"/>
              <w:bottom w:w="40" w:type="dxa"/>
              <w:right w:w="20" w:type="dxa"/>
            </w:tcMar>
            <w:vAlign w:val="bottom"/>
          </w:tcPr>
          <w:p w14:paraId="5C7C686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6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865" w14:textId="77777777" w:rsidR="0008009C" w:rsidRDefault="00936FDF">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6866" w14:textId="77777777" w:rsidR="0008009C" w:rsidRDefault="0008009C">
            <w:pPr>
              <w:jc w:val="right"/>
              <w:rPr>
                <w:rFonts w:ascii="宋体"/>
              </w:rPr>
            </w:pPr>
          </w:p>
        </w:tc>
      </w:tr>
      <w:tr w:rsidR="0008009C" w14:paraId="5C7C6881" w14:textId="77777777">
        <w:tc>
          <w:tcPr>
            <w:tcW w:w="0" w:type="auto"/>
            <w:gridSpan w:val="3"/>
            <w:shd w:val="clear" w:color="auto" w:fill="auto"/>
            <w:tcMar>
              <w:top w:w="40" w:type="dxa"/>
              <w:left w:w="20" w:type="dxa"/>
              <w:bottom w:w="40" w:type="dxa"/>
              <w:right w:w="20" w:type="dxa"/>
            </w:tcMar>
            <w:vAlign w:val="bottom"/>
          </w:tcPr>
          <w:p w14:paraId="5C7C6868" w14:textId="77777777" w:rsidR="0008009C" w:rsidRDefault="00936FDF">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tcPr>
          <w:p w14:paraId="5C7C6869"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86A"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86B" w14:textId="77777777" w:rsidR="0008009C" w:rsidRDefault="00936FDF">
            <w:pPr>
              <w:jc w:val="right"/>
              <w:textAlignment w:val="bottom"/>
            </w:pPr>
            <w:r>
              <w:rPr>
                <w:rFonts w:ascii="Arial" w:eastAsia="宋体" w:hAnsi="Arial" w:cs="Arial"/>
                <w:b/>
                <w:bCs/>
                <w:color w:val="0068B5"/>
                <w:sz w:val="18"/>
                <w:szCs w:val="18"/>
              </w:rPr>
              <w:t>516</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86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6D"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86E"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86F" w14:textId="77777777" w:rsidR="0008009C" w:rsidRDefault="00936FDF">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87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71"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872"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873" w14:textId="77777777" w:rsidR="0008009C" w:rsidRDefault="00936FDF">
            <w:pPr>
              <w:jc w:val="right"/>
              <w:textAlignment w:val="bottom"/>
            </w:pPr>
            <w:r>
              <w:rPr>
                <w:rFonts w:ascii="Arial" w:eastAsia="宋体" w:hAnsi="Arial" w:cs="Arial"/>
                <w:b/>
                <w:bCs/>
                <w:color w:val="0068B5"/>
                <w:sz w:val="18"/>
                <w:szCs w:val="18"/>
              </w:rPr>
              <w:t>516</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87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75"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876"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877" w14:textId="77777777" w:rsidR="0008009C" w:rsidRDefault="00936FDF">
            <w:pPr>
              <w:jc w:val="right"/>
              <w:textAlignment w:val="bottom"/>
            </w:pPr>
            <w:r>
              <w:rPr>
                <w:rFonts w:ascii="Arial" w:eastAsia="宋体" w:hAnsi="Arial" w:cs="Arial"/>
                <w:b/>
                <w:bCs/>
                <w:color w:val="0068B5"/>
                <w:sz w:val="18"/>
                <w:szCs w:val="18"/>
              </w:rPr>
              <w:t>(404)</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87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79"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87A"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87B" w14:textId="77777777" w:rsidR="0008009C" w:rsidRDefault="00936FDF">
            <w:pPr>
              <w:jc w:val="right"/>
              <w:textAlignment w:val="bottom"/>
            </w:pPr>
            <w:r>
              <w:rPr>
                <w:rFonts w:ascii="Arial" w:eastAsia="宋体" w:hAnsi="Arial" w:cs="Arial"/>
                <w:b/>
                <w:bCs/>
                <w:color w:val="0068B5"/>
                <w:sz w:val="18"/>
                <w:szCs w:val="18"/>
              </w:rPr>
              <w:t>(112)</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87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7D"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87E"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87F" w14:textId="77777777" w:rsidR="0008009C" w:rsidRDefault="00936FDF">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880" w14:textId="77777777" w:rsidR="0008009C" w:rsidRDefault="0008009C">
            <w:pPr>
              <w:jc w:val="right"/>
              <w:rPr>
                <w:rFonts w:ascii="宋体"/>
              </w:rPr>
            </w:pPr>
          </w:p>
        </w:tc>
      </w:tr>
    </w:tbl>
    <w:p w14:paraId="5C7C6882" w14:textId="77777777" w:rsidR="0008009C" w:rsidRDefault="0008009C">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43"/>
        <w:gridCol w:w="1721"/>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tblGrid>
      <w:tr w:rsidR="0008009C" w14:paraId="5C7C68AA" w14:textId="77777777">
        <w:tc>
          <w:tcPr>
            <w:tcW w:w="50" w:type="pct"/>
            <w:shd w:val="clear" w:color="auto" w:fill="auto"/>
          </w:tcPr>
          <w:p w14:paraId="5C7C6883" w14:textId="77777777" w:rsidR="0008009C" w:rsidRDefault="0008009C">
            <w:pPr>
              <w:rPr>
                <w:rFonts w:ascii="宋体"/>
              </w:rPr>
            </w:pPr>
          </w:p>
        </w:tc>
        <w:tc>
          <w:tcPr>
            <w:tcW w:w="1451" w:type="pct"/>
            <w:shd w:val="clear" w:color="auto" w:fill="auto"/>
          </w:tcPr>
          <w:p w14:paraId="5C7C6884" w14:textId="77777777" w:rsidR="0008009C" w:rsidRDefault="0008009C">
            <w:pPr>
              <w:rPr>
                <w:rFonts w:ascii="宋体"/>
              </w:rPr>
            </w:pPr>
          </w:p>
        </w:tc>
        <w:tc>
          <w:tcPr>
            <w:tcW w:w="5" w:type="pct"/>
            <w:shd w:val="clear" w:color="auto" w:fill="auto"/>
          </w:tcPr>
          <w:p w14:paraId="5C7C6885" w14:textId="77777777" w:rsidR="0008009C" w:rsidRDefault="0008009C">
            <w:pPr>
              <w:rPr>
                <w:rFonts w:ascii="宋体"/>
              </w:rPr>
            </w:pPr>
          </w:p>
        </w:tc>
        <w:tc>
          <w:tcPr>
            <w:tcW w:w="5" w:type="pct"/>
            <w:shd w:val="clear" w:color="auto" w:fill="auto"/>
          </w:tcPr>
          <w:p w14:paraId="5C7C6886" w14:textId="77777777" w:rsidR="0008009C" w:rsidRDefault="0008009C">
            <w:pPr>
              <w:rPr>
                <w:rFonts w:ascii="宋体"/>
              </w:rPr>
            </w:pPr>
          </w:p>
        </w:tc>
        <w:tc>
          <w:tcPr>
            <w:tcW w:w="24" w:type="pct"/>
            <w:shd w:val="clear" w:color="auto" w:fill="auto"/>
          </w:tcPr>
          <w:p w14:paraId="5C7C6887" w14:textId="77777777" w:rsidR="0008009C" w:rsidRDefault="0008009C">
            <w:pPr>
              <w:rPr>
                <w:rFonts w:ascii="宋体"/>
              </w:rPr>
            </w:pPr>
          </w:p>
        </w:tc>
        <w:tc>
          <w:tcPr>
            <w:tcW w:w="5" w:type="pct"/>
            <w:shd w:val="clear" w:color="auto" w:fill="auto"/>
          </w:tcPr>
          <w:p w14:paraId="5C7C6888" w14:textId="77777777" w:rsidR="0008009C" w:rsidRDefault="0008009C">
            <w:pPr>
              <w:rPr>
                <w:rFonts w:ascii="宋体"/>
              </w:rPr>
            </w:pPr>
          </w:p>
        </w:tc>
        <w:tc>
          <w:tcPr>
            <w:tcW w:w="50" w:type="pct"/>
            <w:shd w:val="clear" w:color="auto" w:fill="auto"/>
          </w:tcPr>
          <w:p w14:paraId="5C7C6889" w14:textId="77777777" w:rsidR="0008009C" w:rsidRDefault="0008009C">
            <w:pPr>
              <w:rPr>
                <w:rFonts w:ascii="宋体"/>
              </w:rPr>
            </w:pPr>
          </w:p>
        </w:tc>
        <w:tc>
          <w:tcPr>
            <w:tcW w:w="492" w:type="pct"/>
            <w:shd w:val="clear" w:color="auto" w:fill="auto"/>
          </w:tcPr>
          <w:p w14:paraId="5C7C688A" w14:textId="77777777" w:rsidR="0008009C" w:rsidRDefault="0008009C">
            <w:pPr>
              <w:rPr>
                <w:rFonts w:ascii="宋体"/>
              </w:rPr>
            </w:pPr>
          </w:p>
        </w:tc>
        <w:tc>
          <w:tcPr>
            <w:tcW w:w="5" w:type="pct"/>
            <w:shd w:val="clear" w:color="auto" w:fill="auto"/>
          </w:tcPr>
          <w:p w14:paraId="5C7C688B" w14:textId="77777777" w:rsidR="0008009C" w:rsidRDefault="0008009C">
            <w:pPr>
              <w:rPr>
                <w:rFonts w:ascii="宋体"/>
              </w:rPr>
            </w:pPr>
          </w:p>
        </w:tc>
        <w:tc>
          <w:tcPr>
            <w:tcW w:w="5" w:type="pct"/>
            <w:shd w:val="clear" w:color="auto" w:fill="auto"/>
          </w:tcPr>
          <w:p w14:paraId="5C7C688C" w14:textId="77777777" w:rsidR="0008009C" w:rsidRDefault="0008009C">
            <w:pPr>
              <w:rPr>
                <w:rFonts w:ascii="宋体"/>
              </w:rPr>
            </w:pPr>
          </w:p>
        </w:tc>
        <w:tc>
          <w:tcPr>
            <w:tcW w:w="24" w:type="pct"/>
            <w:shd w:val="clear" w:color="auto" w:fill="auto"/>
          </w:tcPr>
          <w:p w14:paraId="5C7C688D" w14:textId="77777777" w:rsidR="0008009C" w:rsidRDefault="0008009C">
            <w:pPr>
              <w:rPr>
                <w:rFonts w:ascii="宋体"/>
              </w:rPr>
            </w:pPr>
          </w:p>
        </w:tc>
        <w:tc>
          <w:tcPr>
            <w:tcW w:w="5" w:type="pct"/>
            <w:shd w:val="clear" w:color="auto" w:fill="auto"/>
          </w:tcPr>
          <w:p w14:paraId="5C7C688E" w14:textId="77777777" w:rsidR="0008009C" w:rsidRDefault="0008009C">
            <w:pPr>
              <w:rPr>
                <w:rFonts w:ascii="宋体"/>
              </w:rPr>
            </w:pPr>
          </w:p>
        </w:tc>
        <w:tc>
          <w:tcPr>
            <w:tcW w:w="50" w:type="pct"/>
            <w:shd w:val="clear" w:color="auto" w:fill="auto"/>
          </w:tcPr>
          <w:p w14:paraId="5C7C688F" w14:textId="77777777" w:rsidR="0008009C" w:rsidRDefault="0008009C">
            <w:pPr>
              <w:rPr>
                <w:rFonts w:ascii="宋体"/>
              </w:rPr>
            </w:pPr>
          </w:p>
        </w:tc>
        <w:tc>
          <w:tcPr>
            <w:tcW w:w="492" w:type="pct"/>
            <w:shd w:val="clear" w:color="auto" w:fill="auto"/>
          </w:tcPr>
          <w:p w14:paraId="5C7C6890" w14:textId="77777777" w:rsidR="0008009C" w:rsidRDefault="0008009C">
            <w:pPr>
              <w:rPr>
                <w:rFonts w:ascii="宋体"/>
              </w:rPr>
            </w:pPr>
          </w:p>
        </w:tc>
        <w:tc>
          <w:tcPr>
            <w:tcW w:w="5" w:type="pct"/>
            <w:shd w:val="clear" w:color="auto" w:fill="auto"/>
          </w:tcPr>
          <w:p w14:paraId="5C7C6891" w14:textId="77777777" w:rsidR="0008009C" w:rsidRDefault="0008009C">
            <w:pPr>
              <w:rPr>
                <w:rFonts w:ascii="宋体"/>
              </w:rPr>
            </w:pPr>
          </w:p>
        </w:tc>
        <w:tc>
          <w:tcPr>
            <w:tcW w:w="5" w:type="pct"/>
            <w:shd w:val="clear" w:color="auto" w:fill="auto"/>
          </w:tcPr>
          <w:p w14:paraId="5C7C6892" w14:textId="77777777" w:rsidR="0008009C" w:rsidRDefault="0008009C">
            <w:pPr>
              <w:rPr>
                <w:rFonts w:ascii="宋体"/>
              </w:rPr>
            </w:pPr>
          </w:p>
        </w:tc>
        <w:tc>
          <w:tcPr>
            <w:tcW w:w="24" w:type="pct"/>
            <w:shd w:val="clear" w:color="auto" w:fill="auto"/>
          </w:tcPr>
          <w:p w14:paraId="5C7C6893" w14:textId="77777777" w:rsidR="0008009C" w:rsidRDefault="0008009C">
            <w:pPr>
              <w:rPr>
                <w:rFonts w:ascii="宋体"/>
              </w:rPr>
            </w:pPr>
          </w:p>
        </w:tc>
        <w:tc>
          <w:tcPr>
            <w:tcW w:w="5" w:type="pct"/>
            <w:shd w:val="clear" w:color="auto" w:fill="auto"/>
          </w:tcPr>
          <w:p w14:paraId="5C7C6894" w14:textId="77777777" w:rsidR="0008009C" w:rsidRDefault="0008009C">
            <w:pPr>
              <w:rPr>
                <w:rFonts w:ascii="宋体"/>
              </w:rPr>
            </w:pPr>
          </w:p>
        </w:tc>
        <w:tc>
          <w:tcPr>
            <w:tcW w:w="50" w:type="pct"/>
            <w:shd w:val="clear" w:color="auto" w:fill="auto"/>
          </w:tcPr>
          <w:p w14:paraId="5C7C6895" w14:textId="77777777" w:rsidR="0008009C" w:rsidRDefault="0008009C">
            <w:pPr>
              <w:rPr>
                <w:rFonts w:ascii="宋体"/>
              </w:rPr>
            </w:pPr>
          </w:p>
        </w:tc>
        <w:tc>
          <w:tcPr>
            <w:tcW w:w="492" w:type="pct"/>
            <w:shd w:val="clear" w:color="auto" w:fill="auto"/>
          </w:tcPr>
          <w:p w14:paraId="5C7C6896" w14:textId="77777777" w:rsidR="0008009C" w:rsidRDefault="0008009C">
            <w:pPr>
              <w:rPr>
                <w:rFonts w:ascii="宋体"/>
              </w:rPr>
            </w:pPr>
          </w:p>
        </w:tc>
        <w:tc>
          <w:tcPr>
            <w:tcW w:w="5" w:type="pct"/>
            <w:shd w:val="clear" w:color="auto" w:fill="auto"/>
          </w:tcPr>
          <w:p w14:paraId="5C7C6897" w14:textId="77777777" w:rsidR="0008009C" w:rsidRDefault="0008009C">
            <w:pPr>
              <w:rPr>
                <w:rFonts w:ascii="宋体"/>
              </w:rPr>
            </w:pPr>
          </w:p>
        </w:tc>
        <w:tc>
          <w:tcPr>
            <w:tcW w:w="5" w:type="pct"/>
            <w:shd w:val="clear" w:color="auto" w:fill="auto"/>
          </w:tcPr>
          <w:p w14:paraId="5C7C6898" w14:textId="77777777" w:rsidR="0008009C" w:rsidRDefault="0008009C">
            <w:pPr>
              <w:rPr>
                <w:rFonts w:ascii="宋体"/>
              </w:rPr>
            </w:pPr>
          </w:p>
        </w:tc>
        <w:tc>
          <w:tcPr>
            <w:tcW w:w="24" w:type="pct"/>
            <w:shd w:val="clear" w:color="auto" w:fill="auto"/>
          </w:tcPr>
          <w:p w14:paraId="5C7C6899" w14:textId="77777777" w:rsidR="0008009C" w:rsidRDefault="0008009C">
            <w:pPr>
              <w:rPr>
                <w:rFonts w:ascii="宋体"/>
              </w:rPr>
            </w:pPr>
          </w:p>
        </w:tc>
        <w:tc>
          <w:tcPr>
            <w:tcW w:w="5" w:type="pct"/>
            <w:shd w:val="clear" w:color="auto" w:fill="auto"/>
          </w:tcPr>
          <w:p w14:paraId="5C7C689A" w14:textId="77777777" w:rsidR="0008009C" w:rsidRDefault="0008009C">
            <w:pPr>
              <w:rPr>
                <w:rFonts w:ascii="宋体"/>
              </w:rPr>
            </w:pPr>
          </w:p>
        </w:tc>
        <w:tc>
          <w:tcPr>
            <w:tcW w:w="50" w:type="pct"/>
            <w:shd w:val="clear" w:color="auto" w:fill="auto"/>
          </w:tcPr>
          <w:p w14:paraId="5C7C689B" w14:textId="77777777" w:rsidR="0008009C" w:rsidRDefault="0008009C">
            <w:pPr>
              <w:rPr>
                <w:rFonts w:ascii="宋体"/>
              </w:rPr>
            </w:pPr>
          </w:p>
        </w:tc>
        <w:tc>
          <w:tcPr>
            <w:tcW w:w="492" w:type="pct"/>
            <w:shd w:val="clear" w:color="auto" w:fill="auto"/>
          </w:tcPr>
          <w:p w14:paraId="5C7C689C" w14:textId="77777777" w:rsidR="0008009C" w:rsidRDefault="0008009C">
            <w:pPr>
              <w:rPr>
                <w:rFonts w:ascii="宋体"/>
              </w:rPr>
            </w:pPr>
          </w:p>
        </w:tc>
        <w:tc>
          <w:tcPr>
            <w:tcW w:w="5" w:type="pct"/>
            <w:shd w:val="clear" w:color="auto" w:fill="auto"/>
          </w:tcPr>
          <w:p w14:paraId="5C7C689D" w14:textId="77777777" w:rsidR="0008009C" w:rsidRDefault="0008009C">
            <w:pPr>
              <w:rPr>
                <w:rFonts w:ascii="宋体"/>
              </w:rPr>
            </w:pPr>
          </w:p>
        </w:tc>
        <w:tc>
          <w:tcPr>
            <w:tcW w:w="5" w:type="pct"/>
            <w:shd w:val="clear" w:color="auto" w:fill="auto"/>
          </w:tcPr>
          <w:p w14:paraId="5C7C689E" w14:textId="77777777" w:rsidR="0008009C" w:rsidRDefault="0008009C">
            <w:pPr>
              <w:rPr>
                <w:rFonts w:ascii="宋体"/>
              </w:rPr>
            </w:pPr>
          </w:p>
        </w:tc>
        <w:tc>
          <w:tcPr>
            <w:tcW w:w="24" w:type="pct"/>
            <w:shd w:val="clear" w:color="auto" w:fill="auto"/>
          </w:tcPr>
          <w:p w14:paraId="5C7C689F" w14:textId="77777777" w:rsidR="0008009C" w:rsidRDefault="0008009C">
            <w:pPr>
              <w:rPr>
                <w:rFonts w:ascii="宋体"/>
              </w:rPr>
            </w:pPr>
          </w:p>
        </w:tc>
        <w:tc>
          <w:tcPr>
            <w:tcW w:w="5" w:type="pct"/>
            <w:shd w:val="clear" w:color="auto" w:fill="auto"/>
          </w:tcPr>
          <w:p w14:paraId="5C7C68A0" w14:textId="77777777" w:rsidR="0008009C" w:rsidRDefault="0008009C">
            <w:pPr>
              <w:rPr>
                <w:rFonts w:ascii="宋体"/>
              </w:rPr>
            </w:pPr>
          </w:p>
        </w:tc>
        <w:tc>
          <w:tcPr>
            <w:tcW w:w="50" w:type="pct"/>
            <w:shd w:val="clear" w:color="auto" w:fill="auto"/>
          </w:tcPr>
          <w:p w14:paraId="5C7C68A1" w14:textId="77777777" w:rsidR="0008009C" w:rsidRDefault="0008009C">
            <w:pPr>
              <w:rPr>
                <w:rFonts w:ascii="宋体"/>
              </w:rPr>
            </w:pPr>
          </w:p>
        </w:tc>
        <w:tc>
          <w:tcPr>
            <w:tcW w:w="492" w:type="pct"/>
            <w:shd w:val="clear" w:color="auto" w:fill="auto"/>
          </w:tcPr>
          <w:p w14:paraId="5C7C68A2" w14:textId="77777777" w:rsidR="0008009C" w:rsidRDefault="0008009C">
            <w:pPr>
              <w:rPr>
                <w:rFonts w:ascii="宋体"/>
              </w:rPr>
            </w:pPr>
          </w:p>
        </w:tc>
        <w:tc>
          <w:tcPr>
            <w:tcW w:w="5" w:type="pct"/>
            <w:shd w:val="clear" w:color="auto" w:fill="auto"/>
          </w:tcPr>
          <w:p w14:paraId="5C7C68A3" w14:textId="77777777" w:rsidR="0008009C" w:rsidRDefault="0008009C">
            <w:pPr>
              <w:rPr>
                <w:rFonts w:ascii="宋体"/>
              </w:rPr>
            </w:pPr>
          </w:p>
        </w:tc>
        <w:tc>
          <w:tcPr>
            <w:tcW w:w="5" w:type="pct"/>
            <w:shd w:val="clear" w:color="auto" w:fill="auto"/>
          </w:tcPr>
          <w:p w14:paraId="5C7C68A4" w14:textId="77777777" w:rsidR="0008009C" w:rsidRDefault="0008009C">
            <w:pPr>
              <w:rPr>
                <w:rFonts w:ascii="宋体"/>
              </w:rPr>
            </w:pPr>
          </w:p>
        </w:tc>
        <w:tc>
          <w:tcPr>
            <w:tcW w:w="24" w:type="pct"/>
            <w:shd w:val="clear" w:color="auto" w:fill="auto"/>
          </w:tcPr>
          <w:p w14:paraId="5C7C68A5" w14:textId="77777777" w:rsidR="0008009C" w:rsidRDefault="0008009C">
            <w:pPr>
              <w:rPr>
                <w:rFonts w:ascii="宋体"/>
              </w:rPr>
            </w:pPr>
          </w:p>
        </w:tc>
        <w:tc>
          <w:tcPr>
            <w:tcW w:w="5" w:type="pct"/>
            <w:shd w:val="clear" w:color="auto" w:fill="auto"/>
          </w:tcPr>
          <w:p w14:paraId="5C7C68A6" w14:textId="77777777" w:rsidR="0008009C" w:rsidRDefault="0008009C">
            <w:pPr>
              <w:rPr>
                <w:rFonts w:ascii="宋体"/>
              </w:rPr>
            </w:pPr>
          </w:p>
        </w:tc>
        <w:tc>
          <w:tcPr>
            <w:tcW w:w="50" w:type="pct"/>
            <w:shd w:val="clear" w:color="auto" w:fill="auto"/>
          </w:tcPr>
          <w:p w14:paraId="5C7C68A7" w14:textId="77777777" w:rsidR="0008009C" w:rsidRDefault="0008009C">
            <w:pPr>
              <w:rPr>
                <w:rFonts w:ascii="宋体"/>
              </w:rPr>
            </w:pPr>
          </w:p>
        </w:tc>
        <w:tc>
          <w:tcPr>
            <w:tcW w:w="493" w:type="pct"/>
            <w:shd w:val="clear" w:color="auto" w:fill="auto"/>
          </w:tcPr>
          <w:p w14:paraId="5C7C68A8" w14:textId="77777777" w:rsidR="0008009C" w:rsidRDefault="0008009C">
            <w:pPr>
              <w:rPr>
                <w:rFonts w:ascii="宋体"/>
              </w:rPr>
            </w:pPr>
          </w:p>
        </w:tc>
        <w:tc>
          <w:tcPr>
            <w:tcW w:w="5" w:type="pct"/>
            <w:shd w:val="clear" w:color="auto" w:fill="auto"/>
          </w:tcPr>
          <w:p w14:paraId="5C7C68A9" w14:textId="77777777" w:rsidR="0008009C" w:rsidRDefault="0008009C">
            <w:pPr>
              <w:rPr>
                <w:rFonts w:ascii="宋体"/>
              </w:rPr>
            </w:pPr>
          </w:p>
        </w:tc>
      </w:tr>
      <w:tr w:rsidR="0008009C" w14:paraId="5C7C68AE" w14:textId="77777777">
        <w:tc>
          <w:tcPr>
            <w:tcW w:w="0" w:type="auto"/>
            <w:gridSpan w:val="3"/>
            <w:shd w:val="clear" w:color="auto" w:fill="auto"/>
            <w:tcMar>
              <w:top w:w="0" w:type="dxa"/>
              <w:left w:w="20" w:type="dxa"/>
              <w:bottom w:w="0" w:type="dxa"/>
              <w:right w:w="20" w:type="dxa"/>
            </w:tcMar>
          </w:tcPr>
          <w:p w14:paraId="5C7C68A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8AC" w14:textId="77777777" w:rsidR="0008009C" w:rsidRDefault="0008009C">
            <w:pPr>
              <w:rPr>
                <w:rFonts w:ascii="宋体"/>
              </w:rPr>
            </w:pPr>
          </w:p>
        </w:tc>
        <w:tc>
          <w:tcPr>
            <w:tcW w:w="0" w:type="auto"/>
            <w:gridSpan w:val="33"/>
            <w:shd w:val="clear" w:color="auto" w:fill="auto"/>
            <w:tcMar>
              <w:top w:w="40" w:type="dxa"/>
              <w:left w:w="20" w:type="dxa"/>
              <w:bottom w:w="40" w:type="dxa"/>
              <w:right w:w="20" w:type="dxa"/>
            </w:tcMar>
            <w:vAlign w:val="bottom"/>
          </w:tcPr>
          <w:p w14:paraId="5C7C68AD" w14:textId="77777777" w:rsidR="0008009C" w:rsidRDefault="00936FDF">
            <w:pPr>
              <w:jc w:val="center"/>
              <w:textAlignment w:val="bottom"/>
            </w:pPr>
            <w:r>
              <w:rPr>
                <w:rFonts w:ascii="Arial" w:eastAsia="宋体" w:hAnsi="Arial" w:cs="Arial"/>
                <w:b/>
                <w:bCs/>
                <w:color w:val="262626"/>
                <w:sz w:val="18"/>
                <w:szCs w:val="18"/>
              </w:rPr>
              <w:t>Dec 26, 2020</w:t>
            </w:r>
          </w:p>
        </w:tc>
      </w:tr>
      <w:tr w:rsidR="0008009C" w14:paraId="5C7C68BA" w14:textId="77777777">
        <w:tc>
          <w:tcPr>
            <w:tcW w:w="0" w:type="auto"/>
            <w:gridSpan w:val="3"/>
            <w:shd w:val="clear" w:color="auto" w:fill="auto"/>
            <w:tcMar>
              <w:top w:w="0" w:type="dxa"/>
              <w:left w:w="20" w:type="dxa"/>
              <w:bottom w:w="0" w:type="dxa"/>
              <w:right w:w="20" w:type="dxa"/>
            </w:tcMar>
          </w:tcPr>
          <w:p w14:paraId="5C7C68A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8B0"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8B1"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8B2"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8B3"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8B4"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8B5"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8B6" w14:textId="77777777" w:rsidR="0008009C" w:rsidRDefault="0008009C">
            <w:pPr>
              <w:rPr>
                <w:rFonts w:ascii="宋体"/>
              </w:rPr>
            </w:pPr>
          </w:p>
        </w:tc>
        <w:tc>
          <w:tcPr>
            <w:tcW w:w="0" w:type="auto"/>
            <w:gridSpan w:val="9"/>
            <w:tcBorders>
              <w:top w:val="single" w:sz="8" w:space="0" w:color="0068B5"/>
            </w:tcBorders>
            <w:shd w:val="clear" w:color="auto" w:fill="auto"/>
            <w:tcMar>
              <w:top w:w="40" w:type="dxa"/>
              <w:left w:w="20" w:type="dxa"/>
              <w:bottom w:w="40" w:type="dxa"/>
              <w:right w:w="20" w:type="dxa"/>
            </w:tcMar>
            <w:vAlign w:val="bottom"/>
          </w:tcPr>
          <w:p w14:paraId="5C7C68B7" w14:textId="77777777" w:rsidR="0008009C" w:rsidRDefault="00936FDF">
            <w:pPr>
              <w:jc w:val="center"/>
              <w:textAlignment w:val="bottom"/>
            </w:pPr>
            <w:r>
              <w:rPr>
                <w:rFonts w:ascii="Arial" w:eastAsia="宋体" w:hAnsi="Arial" w:cs="Arial"/>
                <w:b/>
                <w:bCs/>
                <w:color w:val="333333"/>
                <w:sz w:val="18"/>
                <w:szCs w:val="18"/>
              </w:rPr>
              <w:t>Gross Amounts Not Offset in the Balance Sheet</w:t>
            </w:r>
          </w:p>
        </w:tc>
        <w:tc>
          <w:tcPr>
            <w:tcW w:w="0" w:type="auto"/>
            <w:gridSpan w:val="3"/>
            <w:tcBorders>
              <w:top w:val="single" w:sz="8" w:space="0" w:color="0068B5"/>
            </w:tcBorders>
            <w:shd w:val="clear" w:color="auto" w:fill="auto"/>
            <w:tcMar>
              <w:top w:w="0" w:type="dxa"/>
              <w:left w:w="20" w:type="dxa"/>
              <w:bottom w:w="0" w:type="dxa"/>
              <w:right w:w="20" w:type="dxa"/>
            </w:tcMar>
          </w:tcPr>
          <w:p w14:paraId="5C7C68B8"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8B9" w14:textId="77777777" w:rsidR="0008009C" w:rsidRDefault="0008009C">
            <w:pPr>
              <w:rPr>
                <w:rFonts w:ascii="宋体"/>
              </w:rPr>
            </w:pPr>
          </w:p>
        </w:tc>
      </w:tr>
      <w:tr w:rsidR="0008009C" w14:paraId="5C7C68C8" w14:textId="77777777">
        <w:tc>
          <w:tcPr>
            <w:tcW w:w="0" w:type="auto"/>
            <w:gridSpan w:val="3"/>
            <w:shd w:val="clear" w:color="auto" w:fill="auto"/>
            <w:tcMar>
              <w:top w:w="40" w:type="dxa"/>
              <w:left w:w="200" w:type="dxa"/>
              <w:bottom w:w="40" w:type="dxa"/>
              <w:right w:w="20" w:type="dxa"/>
            </w:tcMar>
            <w:vAlign w:val="bottom"/>
          </w:tcPr>
          <w:p w14:paraId="5C7C68BB" w14:textId="77777777" w:rsidR="0008009C" w:rsidRDefault="00936FDF">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tcPr>
          <w:p w14:paraId="5C7C68BC"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8BD" w14:textId="77777777" w:rsidR="0008009C" w:rsidRDefault="00936FDF">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tcPr>
          <w:p w14:paraId="5C7C68BE"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8BF" w14:textId="77777777" w:rsidR="0008009C" w:rsidRDefault="00936FDF">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tcPr>
          <w:p w14:paraId="5C7C68C0"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8C1" w14:textId="77777777" w:rsidR="0008009C" w:rsidRDefault="00936FDF">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tcPr>
          <w:p w14:paraId="5C7C68C2"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8C3" w14:textId="77777777" w:rsidR="0008009C" w:rsidRDefault="00936FDF">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8" w:space="0" w:color="0068B5"/>
            </w:tcBorders>
            <w:shd w:val="clear" w:color="auto" w:fill="auto"/>
            <w:tcMar>
              <w:top w:w="0" w:type="dxa"/>
              <w:left w:w="20" w:type="dxa"/>
              <w:bottom w:w="0" w:type="dxa"/>
              <w:right w:w="20" w:type="dxa"/>
            </w:tcMar>
          </w:tcPr>
          <w:p w14:paraId="5C7C68C4"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8C5" w14:textId="77777777" w:rsidR="0008009C" w:rsidRDefault="00936FDF">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tcPr>
          <w:p w14:paraId="5C7C68C6"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8C7" w14:textId="77777777" w:rsidR="0008009C" w:rsidRDefault="00936FDF">
            <w:pPr>
              <w:jc w:val="center"/>
              <w:textAlignment w:val="bottom"/>
            </w:pPr>
            <w:r>
              <w:rPr>
                <w:rFonts w:ascii="Arial" w:eastAsia="宋体" w:hAnsi="Arial" w:cs="Arial"/>
                <w:b/>
                <w:bCs/>
                <w:color w:val="262626"/>
                <w:sz w:val="18"/>
                <w:szCs w:val="18"/>
              </w:rPr>
              <w:t>Net Amount</w:t>
            </w:r>
          </w:p>
        </w:tc>
      </w:tr>
      <w:tr w:rsidR="0008009C" w14:paraId="5C7C68D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8C9" w14:textId="77777777" w:rsidR="0008009C" w:rsidRDefault="00936FDF">
            <w:pPr>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tcPr>
          <w:p w14:paraId="5C7C68CA"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8C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8CC"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8C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8CE"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8C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8D0"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8D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8D2"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8D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8D4"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68D5" w14:textId="77777777" w:rsidR="0008009C" w:rsidRDefault="0008009C">
            <w:pPr>
              <w:rPr>
                <w:rFonts w:ascii="宋体"/>
              </w:rPr>
            </w:pPr>
          </w:p>
        </w:tc>
      </w:tr>
      <w:tr w:rsidR="0008009C" w14:paraId="5C7C68F0" w14:textId="77777777">
        <w:tc>
          <w:tcPr>
            <w:tcW w:w="0" w:type="auto"/>
            <w:gridSpan w:val="3"/>
            <w:shd w:val="clear" w:color="auto" w:fill="auto"/>
            <w:tcMar>
              <w:top w:w="40" w:type="dxa"/>
              <w:left w:w="140" w:type="dxa"/>
              <w:bottom w:w="40" w:type="dxa"/>
              <w:right w:w="20" w:type="dxa"/>
            </w:tcMar>
            <w:vAlign w:val="bottom"/>
          </w:tcPr>
          <w:p w14:paraId="5C7C68D7" w14:textId="77777777" w:rsidR="0008009C" w:rsidRDefault="00936FDF">
            <w:pPr>
              <w:textAlignment w:val="bottom"/>
            </w:pPr>
            <w:r>
              <w:rPr>
                <w:rFonts w:ascii="Arial" w:eastAsia="宋体" w:hAnsi="Arial" w:cs="Arial"/>
                <w:color w:val="262626"/>
                <w:sz w:val="18"/>
                <w:szCs w:val="18"/>
              </w:rPr>
              <w:t>Derivative assets subject to master</w:t>
            </w:r>
            <w:r>
              <w:rPr>
                <w:rFonts w:ascii="Arial" w:eastAsia="宋体" w:hAnsi="Arial" w:cs="Arial"/>
                <w:color w:val="262626"/>
                <w:sz w:val="18"/>
                <w:szCs w:val="18"/>
              </w:rPr>
              <w:br/>
              <w:t>     netting arrangements</w:t>
            </w:r>
          </w:p>
        </w:tc>
        <w:tc>
          <w:tcPr>
            <w:tcW w:w="0" w:type="auto"/>
            <w:gridSpan w:val="3"/>
            <w:shd w:val="clear" w:color="auto" w:fill="auto"/>
            <w:tcMar>
              <w:top w:w="0" w:type="dxa"/>
              <w:left w:w="20" w:type="dxa"/>
              <w:bottom w:w="0" w:type="dxa"/>
              <w:right w:w="20" w:type="dxa"/>
            </w:tcMar>
          </w:tcPr>
          <w:p w14:paraId="5C7C68D8"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8D9"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68DA" w14:textId="77777777" w:rsidR="0008009C" w:rsidRDefault="00936FDF">
            <w:pPr>
              <w:jc w:val="right"/>
              <w:textAlignment w:val="bottom"/>
            </w:pPr>
            <w:r>
              <w:rPr>
                <w:rFonts w:ascii="Arial" w:eastAsia="宋体" w:hAnsi="Arial" w:cs="Arial"/>
                <w:color w:val="262626"/>
                <w:sz w:val="18"/>
                <w:szCs w:val="18"/>
              </w:rPr>
              <w:t>2,235 </w:t>
            </w:r>
          </w:p>
        </w:tc>
        <w:tc>
          <w:tcPr>
            <w:tcW w:w="0" w:type="auto"/>
            <w:shd w:val="clear" w:color="auto" w:fill="auto"/>
            <w:tcMar>
              <w:top w:w="40" w:type="dxa"/>
              <w:left w:w="0" w:type="dxa"/>
              <w:bottom w:w="40" w:type="dxa"/>
              <w:right w:w="20" w:type="dxa"/>
            </w:tcMar>
            <w:vAlign w:val="bottom"/>
          </w:tcPr>
          <w:p w14:paraId="5C7C68D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DC"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8DD"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68DE"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8D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E0"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8E1"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68E2" w14:textId="77777777" w:rsidR="0008009C" w:rsidRDefault="00936FDF">
            <w:pPr>
              <w:jc w:val="right"/>
              <w:textAlignment w:val="bottom"/>
            </w:pPr>
            <w:r>
              <w:rPr>
                <w:rFonts w:ascii="Arial" w:eastAsia="宋体" w:hAnsi="Arial" w:cs="Arial"/>
                <w:color w:val="262626"/>
                <w:sz w:val="18"/>
                <w:szCs w:val="18"/>
              </w:rPr>
              <w:t>2,235 </w:t>
            </w:r>
          </w:p>
        </w:tc>
        <w:tc>
          <w:tcPr>
            <w:tcW w:w="0" w:type="auto"/>
            <w:shd w:val="clear" w:color="auto" w:fill="auto"/>
            <w:tcMar>
              <w:top w:w="40" w:type="dxa"/>
              <w:left w:w="0" w:type="dxa"/>
              <w:bottom w:w="40" w:type="dxa"/>
              <w:right w:w="20" w:type="dxa"/>
            </w:tcMar>
            <w:vAlign w:val="bottom"/>
          </w:tcPr>
          <w:p w14:paraId="5C7C68E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E4"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8E5"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68E6" w14:textId="77777777" w:rsidR="0008009C" w:rsidRDefault="00936FDF">
            <w:pPr>
              <w:jc w:val="right"/>
              <w:textAlignment w:val="bottom"/>
            </w:pPr>
            <w:r>
              <w:rPr>
                <w:rFonts w:ascii="Arial" w:eastAsia="宋体" w:hAnsi="Arial" w:cs="Arial"/>
                <w:color w:val="262626"/>
                <w:sz w:val="18"/>
                <w:szCs w:val="18"/>
              </w:rPr>
              <w:t>(264)</w:t>
            </w:r>
          </w:p>
        </w:tc>
        <w:tc>
          <w:tcPr>
            <w:tcW w:w="0" w:type="auto"/>
            <w:shd w:val="clear" w:color="auto" w:fill="auto"/>
            <w:tcMar>
              <w:top w:w="40" w:type="dxa"/>
              <w:left w:w="0" w:type="dxa"/>
              <w:bottom w:w="40" w:type="dxa"/>
              <w:right w:w="20" w:type="dxa"/>
            </w:tcMar>
            <w:vAlign w:val="bottom"/>
          </w:tcPr>
          <w:p w14:paraId="5C7C68E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E8"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8E9"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68EA" w14:textId="77777777" w:rsidR="0008009C" w:rsidRDefault="00936FDF">
            <w:pPr>
              <w:jc w:val="right"/>
              <w:textAlignment w:val="bottom"/>
            </w:pPr>
            <w:r>
              <w:rPr>
                <w:rFonts w:ascii="Arial" w:eastAsia="宋体" w:hAnsi="Arial" w:cs="Arial"/>
                <w:color w:val="262626"/>
                <w:sz w:val="18"/>
                <w:szCs w:val="18"/>
              </w:rPr>
              <w:t>(1,904)</w:t>
            </w:r>
          </w:p>
        </w:tc>
        <w:tc>
          <w:tcPr>
            <w:tcW w:w="0" w:type="auto"/>
            <w:shd w:val="clear" w:color="auto" w:fill="auto"/>
            <w:tcMar>
              <w:top w:w="40" w:type="dxa"/>
              <w:left w:w="0" w:type="dxa"/>
              <w:bottom w:w="40" w:type="dxa"/>
              <w:right w:w="20" w:type="dxa"/>
            </w:tcMar>
            <w:vAlign w:val="bottom"/>
          </w:tcPr>
          <w:p w14:paraId="5C7C68E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EC"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68ED"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68EE" w14:textId="77777777" w:rsidR="0008009C" w:rsidRDefault="00936FDF">
            <w:pPr>
              <w:jc w:val="right"/>
              <w:textAlignment w:val="bottom"/>
            </w:pPr>
            <w:r>
              <w:rPr>
                <w:rFonts w:ascii="Arial" w:eastAsia="宋体" w:hAnsi="Arial" w:cs="Arial"/>
                <w:color w:val="262626"/>
                <w:sz w:val="18"/>
                <w:szCs w:val="18"/>
              </w:rPr>
              <w:t>67 </w:t>
            </w:r>
          </w:p>
        </w:tc>
        <w:tc>
          <w:tcPr>
            <w:tcW w:w="0" w:type="auto"/>
            <w:shd w:val="clear" w:color="auto" w:fill="auto"/>
            <w:tcMar>
              <w:top w:w="40" w:type="dxa"/>
              <w:left w:w="0" w:type="dxa"/>
              <w:bottom w:w="40" w:type="dxa"/>
              <w:right w:w="20" w:type="dxa"/>
            </w:tcMar>
            <w:vAlign w:val="bottom"/>
          </w:tcPr>
          <w:p w14:paraId="5C7C68EF" w14:textId="77777777" w:rsidR="0008009C" w:rsidRDefault="0008009C">
            <w:pPr>
              <w:jc w:val="right"/>
              <w:rPr>
                <w:rFonts w:ascii="宋体"/>
              </w:rPr>
            </w:pPr>
          </w:p>
        </w:tc>
      </w:tr>
      <w:tr w:rsidR="0008009C" w14:paraId="5C7C6904" w14:textId="77777777">
        <w:tc>
          <w:tcPr>
            <w:tcW w:w="0" w:type="auto"/>
            <w:gridSpan w:val="3"/>
            <w:shd w:val="clear" w:color="auto" w:fill="auto"/>
            <w:tcMar>
              <w:top w:w="40" w:type="dxa"/>
              <w:left w:w="140" w:type="dxa"/>
              <w:bottom w:w="40" w:type="dxa"/>
              <w:right w:w="20" w:type="dxa"/>
            </w:tcMar>
            <w:vAlign w:val="bottom"/>
          </w:tcPr>
          <w:p w14:paraId="5C7C68F1" w14:textId="77777777" w:rsidR="0008009C" w:rsidRDefault="00936FDF">
            <w:pPr>
              <w:textAlignment w:val="bottom"/>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tcPr>
          <w:p w14:paraId="5C7C68F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8F3" w14:textId="77777777" w:rsidR="0008009C" w:rsidRDefault="00936FDF">
            <w:pPr>
              <w:jc w:val="right"/>
              <w:textAlignment w:val="bottom"/>
            </w:pPr>
            <w:r>
              <w:rPr>
                <w:rFonts w:ascii="Arial" w:eastAsia="宋体" w:hAnsi="Arial" w:cs="Arial"/>
                <w:color w:val="262626"/>
                <w:sz w:val="18"/>
                <w:szCs w:val="18"/>
              </w:rPr>
              <w:t>1,900 </w:t>
            </w:r>
          </w:p>
        </w:tc>
        <w:tc>
          <w:tcPr>
            <w:tcW w:w="0" w:type="auto"/>
            <w:shd w:val="clear" w:color="auto" w:fill="auto"/>
            <w:tcMar>
              <w:top w:w="40" w:type="dxa"/>
              <w:left w:w="0" w:type="dxa"/>
              <w:bottom w:w="40" w:type="dxa"/>
              <w:right w:w="20" w:type="dxa"/>
            </w:tcMar>
            <w:vAlign w:val="bottom"/>
          </w:tcPr>
          <w:p w14:paraId="5C7C68F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F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8F6"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8F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F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8F9" w14:textId="77777777" w:rsidR="0008009C" w:rsidRDefault="00936FDF">
            <w:pPr>
              <w:jc w:val="right"/>
              <w:textAlignment w:val="bottom"/>
            </w:pPr>
            <w:r>
              <w:rPr>
                <w:rFonts w:ascii="Arial" w:eastAsia="宋体" w:hAnsi="Arial" w:cs="Arial"/>
                <w:color w:val="262626"/>
                <w:sz w:val="18"/>
                <w:szCs w:val="18"/>
              </w:rPr>
              <w:t>1,900 </w:t>
            </w:r>
          </w:p>
        </w:tc>
        <w:tc>
          <w:tcPr>
            <w:tcW w:w="0" w:type="auto"/>
            <w:shd w:val="clear" w:color="auto" w:fill="auto"/>
            <w:tcMar>
              <w:top w:w="40" w:type="dxa"/>
              <w:left w:w="0" w:type="dxa"/>
              <w:bottom w:w="40" w:type="dxa"/>
              <w:right w:w="20" w:type="dxa"/>
            </w:tcMar>
            <w:vAlign w:val="bottom"/>
          </w:tcPr>
          <w:p w14:paraId="5C7C68F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F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8FC"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8F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8F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8FF" w14:textId="77777777" w:rsidR="0008009C" w:rsidRDefault="00936FDF">
            <w:pPr>
              <w:jc w:val="right"/>
              <w:textAlignment w:val="bottom"/>
            </w:pPr>
            <w:r>
              <w:rPr>
                <w:rFonts w:ascii="Arial" w:eastAsia="宋体" w:hAnsi="Arial" w:cs="Arial"/>
                <w:color w:val="262626"/>
                <w:sz w:val="18"/>
                <w:szCs w:val="18"/>
              </w:rPr>
              <w:t>(1,900)</w:t>
            </w:r>
          </w:p>
        </w:tc>
        <w:tc>
          <w:tcPr>
            <w:tcW w:w="0" w:type="auto"/>
            <w:shd w:val="clear" w:color="auto" w:fill="auto"/>
            <w:tcMar>
              <w:top w:w="40" w:type="dxa"/>
              <w:left w:w="0" w:type="dxa"/>
              <w:bottom w:w="40" w:type="dxa"/>
              <w:right w:w="20" w:type="dxa"/>
            </w:tcMar>
            <w:vAlign w:val="bottom"/>
          </w:tcPr>
          <w:p w14:paraId="5C7C690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0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902"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903" w14:textId="77777777" w:rsidR="0008009C" w:rsidRDefault="0008009C">
            <w:pPr>
              <w:jc w:val="right"/>
              <w:rPr>
                <w:rFonts w:ascii="宋体"/>
              </w:rPr>
            </w:pPr>
          </w:p>
        </w:tc>
      </w:tr>
      <w:tr w:rsidR="0008009C" w14:paraId="5C7C6918" w14:textId="77777777">
        <w:tc>
          <w:tcPr>
            <w:tcW w:w="0" w:type="auto"/>
            <w:gridSpan w:val="3"/>
            <w:shd w:val="clear" w:color="auto" w:fill="auto"/>
            <w:tcMar>
              <w:top w:w="40" w:type="dxa"/>
              <w:left w:w="20" w:type="dxa"/>
              <w:bottom w:w="40" w:type="dxa"/>
              <w:right w:w="20" w:type="dxa"/>
            </w:tcMar>
            <w:vAlign w:val="bottom"/>
          </w:tcPr>
          <w:p w14:paraId="5C7C6905" w14:textId="77777777" w:rsidR="0008009C" w:rsidRDefault="00936FDF">
            <w:pPr>
              <w:textAlignment w:val="bottom"/>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tcPr>
          <w:p w14:paraId="5C7C6906"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907" w14:textId="77777777" w:rsidR="0008009C" w:rsidRDefault="00936FDF">
            <w:pPr>
              <w:jc w:val="right"/>
              <w:textAlignment w:val="bottom"/>
            </w:pPr>
            <w:r>
              <w:rPr>
                <w:rFonts w:ascii="Arial" w:eastAsia="宋体" w:hAnsi="Arial" w:cs="Arial"/>
                <w:b/>
                <w:bCs/>
                <w:color w:val="262626"/>
                <w:sz w:val="18"/>
                <w:szCs w:val="18"/>
              </w:rPr>
              <w:t>4,135</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90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09"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90A" w14:textId="77777777" w:rsidR="0008009C" w:rsidRDefault="00936FDF">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90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0C"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90D" w14:textId="77777777" w:rsidR="0008009C" w:rsidRDefault="00936FDF">
            <w:pPr>
              <w:jc w:val="right"/>
              <w:textAlignment w:val="bottom"/>
            </w:pPr>
            <w:r>
              <w:rPr>
                <w:rFonts w:ascii="Arial" w:eastAsia="宋体" w:hAnsi="Arial" w:cs="Arial"/>
                <w:b/>
                <w:bCs/>
                <w:color w:val="262626"/>
                <w:sz w:val="18"/>
                <w:szCs w:val="18"/>
              </w:rPr>
              <w:t>4,135</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90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0F"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910" w14:textId="77777777" w:rsidR="0008009C" w:rsidRDefault="00936FDF">
            <w:pPr>
              <w:jc w:val="right"/>
              <w:textAlignment w:val="bottom"/>
            </w:pPr>
            <w:r>
              <w:rPr>
                <w:rFonts w:ascii="Arial" w:eastAsia="宋体" w:hAnsi="Arial" w:cs="Arial"/>
                <w:b/>
                <w:bCs/>
                <w:color w:val="262626"/>
                <w:sz w:val="18"/>
                <w:szCs w:val="18"/>
              </w:rPr>
              <w:t>(264)</w:t>
            </w:r>
          </w:p>
        </w:tc>
        <w:tc>
          <w:tcPr>
            <w:tcW w:w="0" w:type="auto"/>
            <w:tcBorders>
              <w:top w:val="single" w:sz="8" w:space="0" w:color="262626"/>
            </w:tcBorders>
            <w:shd w:val="clear" w:color="auto" w:fill="auto"/>
            <w:tcMar>
              <w:top w:w="40" w:type="dxa"/>
              <w:left w:w="0" w:type="dxa"/>
              <w:bottom w:w="40" w:type="dxa"/>
              <w:right w:w="20" w:type="dxa"/>
            </w:tcMar>
            <w:vAlign w:val="bottom"/>
          </w:tcPr>
          <w:p w14:paraId="5C7C691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12"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913" w14:textId="77777777" w:rsidR="0008009C" w:rsidRDefault="00936FDF">
            <w:pPr>
              <w:jc w:val="right"/>
              <w:textAlignment w:val="bottom"/>
            </w:pPr>
            <w:r>
              <w:rPr>
                <w:rFonts w:ascii="Arial" w:eastAsia="宋体" w:hAnsi="Arial" w:cs="Arial"/>
                <w:b/>
                <w:bCs/>
                <w:color w:val="262626"/>
                <w:sz w:val="18"/>
                <w:szCs w:val="18"/>
              </w:rPr>
              <w:t>(3,804)</w:t>
            </w:r>
          </w:p>
        </w:tc>
        <w:tc>
          <w:tcPr>
            <w:tcW w:w="0" w:type="auto"/>
            <w:tcBorders>
              <w:top w:val="single" w:sz="8" w:space="0" w:color="262626"/>
            </w:tcBorders>
            <w:shd w:val="clear" w:color="auto" w:fill="auto"/>
            <w:tcMar>
              <w:top w:w="40" w:type="dxa"/>
              <w:left w:w="0" w:type="dxa"/>
              <w:bottom w:w="40" w:type="dxa"/>
              <w:right w:w="20" w:type="dxa"/>
            </w:tcMar>
            <w:vAlign w:val="bottom"/>
          </w:tcPr>
          <w:p w14:paraId="5C7C691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15"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6916" w14:textId="77777777" w:rsidR="0008009C" w:rsidRDefault="00936FDF">
            <w:pPr>
              <w:jc w:val="right"/>
              <w:textAlignment w:val="bottom"/>
            </w:pPr>
            <w:r>
              <w:rPr>
                <w:rFonts w:ascii="Arial" w:eastAsia="宋体" w:hAnsi="Arial" w:cs="Arial"/>
                <w:b/>
                <w:bCs/>
                <w:color w:val="262626"/>
                <w:sz w:val="18"/>
                <w:szCs w:val="18"/>
              </w:rPr>
              <w:t>67</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6917" w14:textId="77777777" w:rsidR="0008009C" w:rsidRDefault="0008009C">
            <w:pPr>
              <w:jc w:val="right"/>
              <w:rPr>
                <w:rFonts w:ascii="宋体"/>
              </w:rPr>
            </w:pPr>
          </w:p>
        </w:tc>
      </w:tr>
      <w:tr w:rsidR="0008009C" w14:paraId="5C7C6926" w14:textId="77777777">
        <w:tc>
          <w:tcPr>
            <w:tcW w:w="0" w:type="auto"/>
            <w:gridSpan w:val="3"/>
            <w:shd w:val="clear" w:color="auto" w:fill="auto"/>
            <w:tcMar>
              <w:top w:w="40" w:type="dxa"/>
              <w:left w:w="20" w:type="dxa"/>
              <w:bottom w:w="40" w:type="dxa"/>
              <w:right w:w="20" w:type="dxa"/>
            </w:tcMar>
            <w:vAlign w:val="bottom"/>
          </w:tcPr>
          <w:p w14:paraId="5C7C6919" w14:textId="77777777" w:rsidR="0008009C" w:rsidRDefault="00936FDF">
            <w:pPr>
              <w:textAlignment w:val="bottom"/>
            </w:pP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tcPr>
          <w:p w14:paraId="5C7C691A"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91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91C"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91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91E"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91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920"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92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922"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92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924"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6925" w14:textId="77777777" w:rsidR="0008009C" w:rsidRDefault="0008009C">
            <w:pPr>
              <w:rPr>
                <w:rFonts w:ascii="宋体"/>
              </w:rPr>
            </w:pPr>
          </w:p>
        </w:tc>
      </w:tr>
      <w:tr w:rsidR="0008009C" w14:paraId="5C7C693A" w14:textId="77777777">
        <w:tc>
          <w:tcPr>
            <w:tcW w:w="0" w:type="auto"/>
            <w:gridSpan w:val="3"/>
            <w:shd w:val="clear" w:color="auto" w:fill="auto"/>
            <w:tcMar>
              <w:top w:w="40" w:type="dxa"/>
              <w:left w:w="140" w:type="dxa"/>
              <w:bottom w:w="40" w:type="dxa"/>
              <w:right w:w="20" w:type="dxa"/>
            </w:tcMar>
            <w:vAlign w:val="bottom"/>
          </w:tcPr>
          <w:p w14:paraId="5C7C6927" w14:textId="77777777" w:rsidR="0008009C" w:rsidRDefault="00936FDF">
            <w:pPr>
              <w:textAlignment w:val="bottom"/>
            </w:pPr>
            <w:r>
              <w:rPr>
                <w:rFonts w:ascii="Arial" w:eastAsia="宋体" w:hAnsi="Arial" w:cs="Arial"/>
                <w:color w:val="262626"/>
                <w:sz w:val="18"/>
                <w:szCs w:val="18"/>
              </w:rPr>
              <w:t>Derivative liabilities subject to master</w:t>
            </w:r>
            <w:r>
              <w:rPr>
                <w:rFonts w:ascii="Arial" w:eastAsia="宋体" w:hAnsi="Arial" w:cs="Arial"/>
                <w:color w:val="262626"/>
                <w:sz w:val="18"/>
                <w:szCs w:val="18"/>
              </w:rPr>
              <w:br/>
              <w:t>     netting arrangements</w:t>
            </w:r>
          </w:p>
        </w:tc>
        <w:tc>
          <w:tcPr>
            <w:tcW w:w="0" w:type="auto"/>
            <w:gridSpan w:val="3"/>
            <w:shd w:val="clear" w:color="auto" w:fill="auto"/>
            <w:tcMar>
              <w:top w:w="0" w:type="dxa"/>
              <w:left w:w="20" w:type="dxa"/>
              <w:bottom w:w="0" w:type="dxa"/>
              <w:right w:w="20" w:type="dxa"/>
            </w:tcMar>
          </w:tcPr>
          <w:p w14:paraId="5C7C692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929" w14:textId="77777777" w:rsidR="0008009C" w:rsidRDefault="00936FDF">
            <w:pPr>
              <w:jc w:val="right"/>
              <w:textAlignment w:val="bottom"/>
            </w:pPr>
            <w:r>
              <w:rPr>
                <w:rFonts w:ascii="Arial" w:eastAsia="宋体" w:hAnsi="Arial" w:cs="Arial"/>
                <w:color w:val="262626"/>
                <w:sz w:val="18"/>
                <w:szCs w:val="18"/>
              </w:rPr>
              <w:t>711 </w:t>
            </w:r>
          </w:p>
        </w:tc>
        <w:tc>
          <w:tcPr>
            <w:tcW w:w="0" w:type="auto"/>
            <w:shd w:val="clear" w:color="auto" w:fill="auto"/>
            <w:tcMar>
              <w:top w:w="40" w:type="dxa"/>
              <w:left w:w="0" w:type="dxa"/>
              <w:bottom w:w="40" w:type="dxa"/>
              <w:right w:w="20" w:type="dxa"/>
            </w:tcMar>
            <w:vAlign w:val="bottom"/>
          </w:tcPr>
          <w:p w14:paraId="5C7C692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2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92C"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92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2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92F" w14:textId="77777777" w:rsidR="0008009C" w:rsidRDefault="00936FDF">
            <w:pPr>
              <w:jc w:val="right"/>
              <w:textAlignment w:val="bottom"/>
            </w:pPr>
            <w:r>
              <w:rPr>
                <w:rFonts w:ascii="Arial" w:eastAsia="宋体" w:hAnsi="Arial" w:cs="Arial"/>
                <w:color w:val="262626"/>
                <w:sz w:val="18"/>
                <w:szCs w:val="18"/>
              </w:rPr>
              <w:t>711 </w:t>
            </w:r>
          </w:p>
        </w:tc>
        <w:tc>
          <w:tcPr>
            <w:tcW w:w="0" w:type="auto"/>
            <w:shd w:val="clear" w:color="auto" w:fill="auto"/>
            <w:tcMar>
              <w:top w:w="40" w:type="dxa"/>
              <w:left w:w="0" w:type="dxa"/>
              <w:bottom w:w="40" w:type="dxa"/>
              <w:right w:w="20" w:type="dxa"/>
            </w:tcMar>
            <w:vAlign w:val="bottom"/>
          </w:tcPr>
          <w:p w14:paraId="5C7C693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3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932" w14:textId="77777777" w:rsidR="0008009C" w:rsidRDefault="00936FDF">
            <w:pPr>
              <w:jc w:val="right"/>
              <w:textAlignment w:val="bottom"/>
            </w:pPr>
            <w:r>
              <w:rPr>
                <w:rFonts w:ascii="Arial" w:eastAsia="宋体" w:hAnsi="Arial" w:cs="Arial"/>
                <w:color w:val="262626"/>
                <w:sz w:val="18"/>
                <w:szCs w:val="18"/>
              </w:rPr>
              <w:t>(264)</w:t>
            </w:r>
          </w:p>
        </w:tc>
        <w:tc>
          <w:tcPr>
            <w:tcW w:w="0" w:type="auto"/>
            <w:shd w:val="clear" w:color="auto" w:fill="auto"/>
            <w:tcMar>
              <w:top w:w="40" w:type="dxa"/>
              <w:left w:w="0" w:type="dxa"/>
              <w:bottom w:w="40" w:type="dxa"/>
              <w:right w:w="20" w:type="dxa"/>
            </w:tcMar>
            <w:vAlign w:val="bottom"/>
          </w:tcPr>
          <w:p w14:paraId="5C7C693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3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935" w14:textId="77777777" w:rsidR="0008009C" w:rsidRDefault="00936FDF">
            <w:pPr>
              <w:jc w:val="right"/>
              <w:textAlignment w:val="bottom"/>
            </w:pPr>
            <w:r>
              <w:rPr>
                <w:rFonts w:ascii="Arial" w:eastAsia="宋体" w:hAnsi="Arial" w:cs="Arial"/>
                <w:color w:val="262626"/>
                <w:sz w:val="18"/>
                <w:szCs w:val="18"/>
              </w:rPr>
              <w:t>(447)</w:t>
            </w:r>
          </w:p>
        </w:tc>
        <w:tc>
          <w:tcPr>
            <w:tcW w:w="0" w:type="auto"/>
            <w:shd w:val="clear" w:color="auto" w:fill="auto"/>
            <w:tcMar>
              <w:top w:w="40" w:type="dxa"/>
              <w:left w:w="0" w:type="dxa"/>
              <w:bottom w:w="40" w:type="dxa"/>
              <w:right w:w="20" w:type="dxa"/>
            </w:tcMar>
            <w:vAlign w:val="bottom"/>
          </w:tcPr>
          <w:p w14:paraId="5C7C693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3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938"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6939" w14:textId="77777777" w:rsidR="0008009C" w:rsidRDefault="0008009C">
            <w:pPr>
              <w:jc w:val="right"/>
              <w:rPr>
                <w:rFonts w:ascii="宋体"/>
              </w:rPr>
            </w:pPr>
          </w:p>
        </w:tc>
      </w:tr>
      <w:tr w:rsidR="0008009C" w14:paraId="5C7C6954" w14:textId="77777777">
        <w:tc>
          <w:tcPr>
            <w:tcW w:w="0" w:type="auto"/>
            <w:gridSpan w:val="3"/>
            <w:shd w:val="clear" w:color="auto" w:fill="auto"/>
            <w:tcMar>
              <w:top w:w="40" w:type="dxa"/>
              <w:left w:w="20" w:type="dxa"/>
              <w:bottom w:w="40" w:type="dxa"/>
              <w:right w:w="20" w:type="dxa"/>
            </w:tcMar>
            <w:vAlign w:val="bottom"/>
          </w:tcPr>
          <w:p w14:paraId="5C7C693B" w14:textId="77777777" w:rsidR="0008009C" w:rsidRDefault="00936FDF">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tcPr>
          <w:p w14:paraId="5C7C693C"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93D"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93E" w14:textId="77777777" w:rsidR="0008009C" w:rsidRDefault="00936FDF">
            <w:pPr>
              <w:jc w:val="right"/>
              <w:textAlignment w:val="bottom"/>
            </w:pPr>
            <w:r>
              <w:rPr>
                <w:rFonts w:ascii="Arial" w:eastAsia="宋体" w:hAnsi="Arial" w:cs="Arial"/>
                <w:b/>
                <w:bCs/>
                <w:color w:val="262626"/>
                <w:sz w:val="18"/>
                <w:szCs w:val="18"/>
              </w:rPr>
              <w:t>711</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93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40"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941"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942" w14:textId="77777777" w:rsidR="0008009C" w:rsidRDefault="00936FDF">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94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44"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945"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946" w14:textId="77777777" w:rsidR="0008009C" w:rsidRDefault="00936FDF">
            <w:pPr>
              <w:jc w:val="right"/>
              <w:textAlignment w:val="bottom"/>
            </w:pPr>
            <w:r>
              <w:rPr>
                <w:rFonts w:ascii="Arial" w:eastAsia="宋体" w:hAnsi="Arial" w:cs="Arial"/>
                <w:b/>
                <w:bCs/>
                <w:color w:val="262626"/>
                <w:sz w:val="18"/>
                <w:szCs w:val="18"/>
              </w:rPr>
              <w:t>711</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94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48"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949"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94A" w14:textId="77777777" w:rsidR="0008009C" w:rsidRDefault="00936FDF">
            <w:pPr>
              <w:jc w:val="right"/>
              <w:textAlignment w:val="bottom"/>
            </w:pPr>
            <w:r>
              <w:rPr>
                <w:rFonts w:ascii="Arial" w:eastAsia="宋体" w:hAnsi="Arial" w:cs="Arial"/>
                <w:b/>
                <w:bCs/>
                <w:color w:val="262626"/>
                <w:sz w:val="18"/>
                <w:szCs w:val="18"/>
              </w:rPr>
              <w:t>(264)</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94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4C"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94D"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94E" w14:textId="77777777" w:rsidR="0008009C" w:rsidRDefault="00936FDF">
            <w:pPr>
              <w:jc w:val="right"/>
              <w:textAlignment w:val="bottom"/>
            </w:pPr>
            <w:r>
              <w:rPr>
                <w:rFonts w:ascii="Arial" w:eastAsia="宋体" w:hAnsi="Arial" w:cs="Arial"/>
                <w:b/>
                <w:bCs/>
                <w:color w:val="262626"/>
                <w:sz w:val="18"/>
                <w:szCs w:val="18"/>
              </w:rPr>
              <w:t>(447)</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94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50"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951"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952" w14:textId="77777777" w:rsidR="0008009C" w:rsidRDefault="00936FDF">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953" w14:textId="77777777" w:rsidR="0008009C" w:rsidRDefault="0008009C">
            <w:pPr>
              <w:jc w:val="right"/>
              <w:rPr>
                <w:rFonts w:ascii="宋体"/>
              </w:rPr>
            </w:pPr>
          </w:p>
        </w:tc>
      </w:tr>
    </w:tbl>
    <w:p w14:paraId="5C7C6955" w14:textId="77777777" w:rsidR="0008009C" w:rsidRDefault="0008009C">
      <w:pPr>
        <w:spacing w:after="180"/>
      </w:pPr>
    </w:p>
    <w:p w14:paraId="5C7C6956" w14:textId="77777777" w:rsidR="0008009C" w:rsidRDefault="0008009C">
      <w:pPr>
        <w:spacing w:after="180"/>
      </w:pPr>
    </w:p>
    <w:p w14:paraId="5C7C6957" w14:textId="77777777" w:rsidR="0008009C" w:rsidRDefault="0008009C">
      <w:pPr>
        <w:spacing w:after="180"/>
      </w:pPr>
    </w:p>
    <w:p w14:paraId="5C7C6958" w14:textId="77777777" w:rsidR="0008009C" w:rsidRDefault="0008009C">
      <w:pPr>
        <w:spacing w:after="180"/>
      </w:pPr>
    </w:p>
    <w:p w14:paraId="5C7C6959" w14:textId="77777777" w:rsidR="0008009C" w:rsidRDefault="0008009C">
      <w:pPr>
        <w:spacing w:after="180"/>
      </w:pPr>
    </w:p>
    <w:p w14:paraId="5C7C695A" w14:textId="77777777" w:rsidR="0008009C" w:rsidRDefault="0008009C">
      <w:pPr>
        <w:spacing w:after="180"/>
      </w:pPr>
    </w:p>
    <w:p w14:paraId="5C7C695B" w14:textId="77777777" w:rsidR="0008009C" w:rsidRDefault="0008009C">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8009C" w14:paraId="5C7C6968" w14:textId="77777777">
        <w:tc>
          <w:tcPr>
            <w:tcW w:w="50" w:type="pct"/>
            <w:shd w:val="clear" w:color="auto" w:fill="auto"/>
            <w:vAlign w:val="bottom"/>
          </w:tcPr>
          <w:p w14:paraId="5C7C695C" w14:textId="77777777" w:rsidR="0008009C" w:rsidRDefault="0008009C">
            <w:pPr>
              <w:rPr>
                <w:rFonts w:ascii="宋体"/>
              </w:rPr>
            </w:pPr>
          </w:p>
        </w:tc>
        <w:tc>
          <w:tcPr>
            <w:tcW w:w="238" w:type="pct"/>
            <w:shd w:val="clear" w:color="auto" w:fill="auto"/>
            <w:vAlign w:val="bottom"/>
          </w:tcPr>
          <w:p w14:paraId="5C7C695D" w14:textId="77777777" w:rsidR="0008009C" w:rsidRDefault="0008009C">
            <w:pPr>
              <w:rPr>
                <w:rFonts w:ascii="宋体"/>
              </w:rPr>
            </w:pPr>
          </w:p>
        </w:tc>
        <w:tc>
          <w:tcPr>
            <w:tcW w:w="5" w:type="pct"/>
            <w:shd w:val="clear" w:color="auto" w:fill="auto"/>
            <w:vAlign w:val="bottom"/>
          </w:tcPr>
          <w:p w14:paraId="5C7C695E" w14:textId="77777777" w:rsidR="0008009C" w:rsidRDefault="0008009C">
            <w:pPr>
              <w:rPr>
                <w:rFonts w:ascii="宋体"/>
              </w:rPr>
            </w:pPr>
          </w:p>
        </w:tc>
        <w:tc>
          <w:tcPr>
            <w:tcW w:w="50" w:type="pct"/>
            <w:shd w:val="clear" w:color="auto" w:fill="auto"/>
            <w:vAlign w:val="bottom"/>
          </w:tcPr>
          <w:p w14:paraId="5C7C695F" w14:textId="77777777" w:rsidR="0008009C" w:rsidRDefault="0008009C">
            <w:pPr>
              <w:rPr>
                <w:rFonts w:ascii="宋体"/>
              </w:rPr>
            </w:pPr>
          </w:p>
        </w:tc>
        <w:tc>
          <w:tcPr>
            <w:tcW w:w="983" w:type="pct"/>
            <w:shd w:val="clear" w:color="auto" w:fill="auto"/>
            <w:vAlign w:val="bottom"/>
          </w:tcPr>
          <w:p w14:paraId="5C7C6960" w14:textId="77777777" w:rsidR="0008009C" w:rsidRDefault="0008009C">
            <w:pPr>
              <w:rPr>
                <w:rFonts w:ascii="宋体"/>
              </w:rPr>
            </w:pPr>
          </w:p>
        </w:tc>
        <w:tc>
          <w:tcPr>
            <w:tcW w:w="5" w:type="pct"/>
            <w:shd w:val="clear" w:color="auto" w:fill="auto"/>
            <w:vAlign w:val="bottom"/>
          </w:tcPr>
          <w:p w14:paraId="5C7C6961" w14:textId="77777777" w:rsidR="0008009C" w:rsidRDefault="0008009C">
            <w:pPr>
              <w:rPr>
                <w:rFonts w:ascii="宋体"/>
              </w:rPr>
            </w:pPr>
          </w:p>
        </w:tc>
        <w:tc>
          <w:tcPr>
            <w:tcW w:w="50" w:type="pct"/>
            <w:shd w:val="clear" w:color="auto" w:fill="auto"/>
            <w:vAlign w:val="bottom"/>
          </w:tcPr>
          <w:p w14:paraId="5C7C6962" w14:textId="77777777" w:rsidR="0008009C" w:rsidRDefault="0008009C">
            <w:pPr>
              <w:rPr>
                <w:rFonts w:ascii="宋体"/>
              </w:rPr>
            </w:pPr>
          </w:p>
        </w:tc>
        <w:tc>
          <w:tcPr>
            <w:tcW w:w="2035" w:type="pct"/>
            <w:shd w:val="clear" w:color="auto" w:fill="auto"/>
            <w:vAlign w:val="bottom"/>
          </w:tcPr>
          <w:p w14:paraId="5C7C6963" w14:textId="77777777" w:rsidR="0008009C" w:rsidRDefault="0008009C">
            <w:pPr>
              <w:rPr>
                <w:rFonts w:ascii="宋体"/>
              </w:rPr>
            </w:pPr>
          </w:p>
        </w:tc>
        <w:tc>
          <w:tcPr>
            <w:tcW w:w="5" w:type="pct"/>
            <w:shd w:val="clear" w:color="auto" w:fill="auto"/>
            <w:vAlign w:val="bottom"/>
          </w:tcPr>
          <w:p w14:paraId="5C7C6964" w14:textId="77777777" w:rsidR="0008009C" w:rsidRDefault="0008009C">
            <w:pPr>
              <w:rPr>
                <w:rFonts w:ascii="宋体"/>
              </w:rPr>
            </w:pPr>
          </w:p>
        </w:tc>
        <w:tc>
          <w:tcPr>
            <w:tcW w:w="50" w:type="pct"/>
            <w:shd w:val="clear" w:color="auto" w:fill="auto"/>
            <w:vAlign w:val="bottom"/>
          </w:tcPr>
          <w:p w14:paraId="5C7C6965" w14:textId="77777777" w:rsidR="0008009C" w:rsidRDefault="0008009C">
            <w:pPr>
              <w:rPr>
                <w:rFonts w:ascii="宋体"/>
              </w:rPr>
            </w:pPr>
          </w:p>
        </w:tc>
        <w:tc>
          <w:tcPr>
            <w:tcW w:w="1522" w:type="pct"/>
            <w:shd w:val="clear" w:color="auto" w:fill="auto"/>
            <w:vAlign w:val="bottom"/>
          </w:tcPr>
          <w:p w14:paraId="5C7C6966" w14:textId="77777777" w:rsidR="0008009C" w:rsidRDefault="0008009C">
            <w:pPr>
              <w:rPr>
                <w:rFonts w:ascii="宋体"/>
              </w:rPr>
            </w:pPr>
          </w:p>
        </w:tc>
        <w:tc>
          <w:tcPr>
            <w:tcW w:w="5" w:type="pct"/>
            <w:shd w:val="clear" w:color="auto" w:fill="auto"/>
            <w:vAlign w:val="bottom"/>
          </w:tcPr>
          <w:p w14:paraId="5C7C6967" w14:textId="77777777" w:rsidR="0008009C" w:rsidRDefault="0008009C">
            <w:pPr>
              <w:rPr>
                <w:rFonts w:ascii="宋体"/>
              </w:rPr>
            </w:pPr>
          </w:p>
        </w:tc>
      </w:tr>
      <w:tr w:rsidR="0008009C" w14:paraId="5C7C696D"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6969"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1A" wp14:editId="5C7C7D1B">
                  <wp:extent cx="304800" cy="304800"/>
                  <wp:effectExtent l="0" t="0" r="0" b="0"/>
                  <wp:docPr id="90" name="图片 71"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1"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96A"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696B" w14:textId="77777777" w:rsidR="0008009C" w:rsidRDefault="00936FDF">
            <w:pPr>
              <w:textAlignment w:val="center"/>
            </w:pPr>
            <w:r>
              <w:rPr>
                <w:rFonts w:ascii="Arial" w:eastAsia="宋体" w:hAnsi="Arial" w:cs="Arial"/>
                <w:color w:val="262626"/>
                <w:sz w:val="16"/>
                <w:szCs w:val="16"/>
              </w:rPr>
              <w:t> Notes to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96C" w14:textId="77777777" w:rsidR="0008009C" w:rsidRDefault="00936FDF">
            <w:pPr>
              <w:jc w:val="right"/>
              <w:textAlignment w:val="center"/>
            </w:pPr>
            <w:r>
              <w:rPr>
                <w:rFonts w:ascii="Arial" w:eastAsia="宋体" w:hAnsi="Arial" w:cs="Arial"/>
                <w:color w:val="262626"/>
                <w:sz w:val="16"/>
                <w:szCs w:val="16"/>
              </w:rPr>
              <w:t>16</w:t>
            </w:r>
          </w:p>
        </w:tc>
      </w:tr>
    </w:tbl>
    <w:p w14:paraId="5C7C696E" w14:textId="77777777" w:rsidR="0008009C" w:rsidRDefault="00936FDF">
      <w:r>
        <w:pict w14:anchorId="5C7C7D1C">
          <v:rect id="_x0000_i1042" style="width:415.3pt;height:1.5pt" o:hralign="center" o:hrstd="t" o:hr="t" fillcolor="#a0a0a0" stroked="f"/>
        </w:pict>
      </w:r>
    </w:p>
    <w:p w14:paraId="5C7C696F" w14:textId="77777777" w:rsidR="0008009C" w:rsidRDefault="00936FDF">
      <w:pPr>
        <w:spacing w:after="180"/>
        <w:jc w:val="right"/>
      </w:pPr>
      <w:hyperlink r:id="rId41" w:anchor="i3a00378f6cc84b1c9cfc83239548ad53_7" w:history="1">
        <w:r>
          <w:rPr>
            <w:rStyle w:val="a5"/>
            <w:rFonts w:ascii="Arial" w:eastAsia="宋体" w:hAnsi="Arial" w:cs="Arial"/>
            <w:b/>
            <w:bCs/>
            <w:sz w:val="16"/>
            <w:szCs w:val="16"/>
          </w:rPr>
          <w:t>Table of Contents</w:t>
        </w:r>
      </w:hyperlink>
    </w:p>
    <w:p w14:paraId="5C7C6970" w14:textId="77777777" w:rsidR="0008009C" w:rsidRDefault="0008009C">
      <w:pPr>
        <w:spacing w:after="180"/>
        <w:jc w:val="right"/>
      </w:pPr>
    </w:p>
    <w:p w14:paraId="5C7C6971" w14:textId="77777777" w:rsidR="0008009C" w:rsidRDefault="00936FDF">
      <w:pPr>
        <w:spacing w:before="300" w:after="180"/>
      </w:pPr>
      <w:r>
        <w:rPr>
          <w:rFonts w:ascii="Arial" w:eastAsia="宋体" w:hAnsi="Arial" w:cs="Arial"/>
          <w:color w:val="262626"/>
          <w:sz w:val="18"/>
          <w:szCs w:val="18"/>
        </w:rPr>
        <w:t>We obtain and secure available collateral from counterparties against obligations, i</w:t>
      </w:r>
      <w:r>
        <w:rPr>
          <w:rFonts w:ascii="Arial" w:eastAsia="宋体" w:hAnsi="Arial" w:cs="Arial"/>
          <w:color w:val="262626"/>
          <w:sz w:val="18"/>
          <w:szCs w:val="18"/>
        </w:rPr>
        <w:t>ncluding securities lending transactions and reverse repurchase agreements, when we deem it appropriate.</w:t>
      </w:r>
    </w:p>
    <w:p w14:paraId="5C7C6972" w14:textId="77777777" w:rsidR="0008009C" w:rsidRDefault="00936FDF">
      <w:pPr>
        <w:spacing w:after="180"/>
      </w:pPr>
      <w:r>
        <w:rPr>
          <w:rFonts w:ascii="Arial" w:eastAsia="宋体" w:hAnsi="Arial" w:cs="Arial"/>
          <w:color w:val="0068B5"/>
        </w:rPr>
        <w:t>Derivatives in Cash Flow Hedging Relationships</w:t>
      </w:r>
    </w:p>
    <w:p w14:paraId="5C7C6973" w14:textId="77777777" w:rsidR="0008009C" w:rsidRDefault="00936FDF">
      <w:pPr>
        <w:spacing w:after="180"/>
      </w:pPr>
      <w:r>
        <w:rPr>
          <w:rFonts w:ascii="Arial" w:eastAsia="宋体" w:hAnsi="Arial" w:cs="Arial"/>
          <w:color w:val="262626"/>
          <w:sz w:val="18"/>
          <w:szCs w:val="18"/>
        </w:rPr>
        <w:t>The before-tax net gains or losses attributed to cash flow hedges, recognized in other comprehensive inc</w:t>
      </w:r>
      <w:r>
        <w:rPr>
          <w:rFonts w:ascii="Arial" w:eastAsia="宋体" w:hAnsi="Arial" w:cs="Arial"/>
          <w:color w:val="262626"/>
          <w:sz w:val="18"/>
          <w:szCs w:val="18"/>
        </w:rPr>
        <w:t>ome (loss), were $334 million net losses in the first three months of 2021 ($373 million net losses in the first three months of 2020). Substantially all of our cash flow hedges were foreign currency contracts for all periods presented.</w:t>
      </w:r>
    </w:p>
    <w:p w14:paraId="5C7C6974" w14:textId="77777777" w:rsidR="0008009C" w:rsidRDefault="00936FDF">
      <w:pPr>
        <w:spacing w:after="180"/>
      </w:pPr>
      <w:r>
        <w:rPr>
          <w:rFonts w:ascii="Arial" w:eastAsia="宋体" w:hAnsi="Arial" w:cs="Arial"/>
          <w:color w:val="262626"/>
          <w:sz w:val="18"/>
          <w:szCs w:val="18"/>
        </w:rPr>
        <w:t>During the first th</w:t>
      </w:r>
      <w:r>
        <w:rPr>
          <w:rFonts w:ascii="Arial" w:eastAsia="宋体" w:hAnsi="Arial" w:cs="Arial"/>
          <w:color w:val="262626"/>
          <w:sz w:val="18"/>
          <w:szCs w:val="18"/>
        </w:rPr>
        <w:t xml:space="preserve">ree months of 2021 and 2020, the amounts excluded from effectiveness testing were insignificant. </w:t>
      </w:r>
    </w:p>
    <w:p w14:paraId="5C7C6975" w14:textId="77777777" w:rsidR="0008009C" w:rsidRDefault="00936FDF">
      <w:pPr>
        <w:spacing w:after="180"/>
      </w:pPr>
      <w:r>
        <w:rPr>
          <w:rFonts w:ascii="Arial" w:eastAsia="宋体" w:hAnsi="Arial" w:cs="Arial"/>
          <w:color w:val="0068B5"/>
        </w:rPr>
        <w:t>Derivatives in Fair Value Hedging Relationships</w:t>
      </w:r>
    </w:p>
    <w:p w14:paraId="5C7C6976" w14:textId="77777777" w:rsidR="0008009C" w:rsidRDefault="00936FDF">
      <w:pPr>
        <w:spacing w:after="120"/>
      </w:pPr>
      <w:r>
        <w:rPr>
          <w:rFonts w:ascii="Arial" w:eastAsia="宋体" w:hAnsi="Arial" w:cs="Arial"/>
          <w:color w:val="262626"/>
          <w:sz w:val="18"/>
          <w:szCs w:val="18"/>
        </w:rPr>
        <w:t>The effects of derivative instruments designated as fair value hedges, recognized in interest and other, net f</w:t>
      </w:r>
      <w:r>
        <w:rPr>
          <w:rFonts w:ascii="Arial" w:eastAsia="宋体" w:hAnsi="Arial" w:cs="Arial"/>
          <w:color w:val="262626"/>
          <w:sz w:val="18"/>
          <w:szCs w:val="18"/>
        </w:rPr>
        <w:t>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766"/>
        <w:gridCol w:w="37"/>
        <w:gridCol w:w="36"/>
        <w:gridCol w:w="36"/>
        <w:gridCol w:w="36"/>
        <w:gridCol w:w="121"/>
        <w:gridCol w:w="738"/>
        <w:gridCol w:w="36"/>
        <w:gridCol w:w="36"/>
        <w:gridCol w:w="36"/>
        <w:gridCol w:w="36"/>
        <w:gridCol w:w="121"/>
        <w:gridCol w:w="795"/>
        <w:gridCol w:w="36"/>
        <w:gridCol w:w="36"/>
        <w:gridCol w:w="36"/>
        <w:gridCol w:w="36"/>
        <w:gridCol w:w="36"/>
        <w:gridCol w:w="36"/>
        <w:gridCol w:w="36"/>
        <w:gridCol w:w="36"/>
        <w:gridCol w:w="36"/>
        <w:gridCol w:w="36"/>
        <w:gridCol w:w="36"/>
        <w:gridCol w:w="36"/>
        <w:gridCol w:w="36"/>
      </w:tblGrid>
      <w:tr w:rsidR="0008009C" w14:paraId="5C7C698A" w14:textId="77777777">
        <w:tc>
          <w:tcPr>
            <w:tcW w:w="50" w:type="pct"/>
            <w:shd w:val="clear" w:color="auto" w:fill="auto"/>
          </w:tcPr>
          <w:p w14:paraId="5C7C6977" w14:textId="77777777" w:rsidR="0008009C" w:rsidRDefault="0008009C">
            <w:pPr>
              <w:rPr>
                <w:rFonts w:ascii="宋体"/>
              </w:rPr>
            </w:pPr>
          </w:p>
        </w:tc>
        <w:tc>
          <w:tcPr>
            <w:tcW w:w="3695" w:type="pct"/>
            <w:shd w:val="clear" w:color="auto" w:fill="auto"/>
          </w:tcPr>
          <w:p w14:paraId="5C7C6978" w14:textId="77777777" w:rsidR="0008009C" w:rsidRDefault="0008009C">
            <w:pPr>
              <w:rPr>
                <w:rFonts w:ascii="宋体"/>
              </w:rPr>
            </w:pPr>
          </w:p>
        </w:tc>
        <w:tc>
          <w:tcPr>
            <w:tcW w:w="5" w:type="pct"/>
            <w:shd w:val="clear" w:color="auto" w:fill="auto"/>
          </w:tcPr>
          <w:p w14:paraId="5C7C6979" w14:textId="77777777" w:rsidR="0008009C" w:rsidRDefault="0008009C">
            <w:pPr>
              <w:rPr>
                <w:rFonts w:ascii="宋体"/>
              </w:rPr>
            </w:pPr>
          </w:p>
        </w:tc>
        <w:tc>
          <w:tcPr>
            <w:tcW w:w="5" w:type="pct"/>
            <w:shd w:val="clear" w:color="auto" w:fill="auto"/>
          </w:tcPr>
          <w:p w14:paraId="5C7C697A" w14:textId="77777777" w:rsidR="0008009C" w:rsidRDefault="0008009C">
            <w:pPr>
              <w:rPr>
                <w:rFonts w:ascii="宋体"/>
              </w:rPr>
            </w:pPr>
          </w:p>
        </w:tc>
        <w:tc>
          <w:tcPr>
            <w:tcW w:w="24" w:type="pct"/>
            <w:shd w:val="clear" w:color="auto" w:fill="auto"/>
          </w:tcPr>
          <w:p w14:paraId="5C7C697B" w14:textId="77777777" w:rsidR="0008009C" w:rsidRDefault="0008009C">
            <w:pPr>
              <w:rPr>
                <w:rFonts w:ascii="宋体"/>
              </w:rPr>
            </w:pPr>
          </w:p>
        </w:tc>
        <w:tc>
          <w:tcPr>
            <w:tcW w:w="5" w:type="pct"/>
            <w:shd w:val="clear" w:color="auto" w:fill="auto"/>
          </w:tcPr>
          <w:p w14:paraId="5C7C697C" w14:textId="77777777" w:rsidR="0008009C" w:rsidRDefault="0008009C">
            <w:pPr>
              <w:rPr>
                <w:rFonts w:ascii="宋体"/>
              </w:rPr>
            </w:pPr>
          </w:p>
        </w:tc>
        <w:tc>
          <w:tcPr>
            <w:tcW w:w="50" w:type="pct"/>
            <w:shd w:val="clear" w:color="auto" w:fill="auto"/>
          </w:tcPr>
          <w:p w14:paraId="5C7C697D" w14:textId="77777777" w:rsidR="0008009C" w:rsidRDefault="0008009C">
            <w:pPr>
              <w:rPr>
                <w:rFonts w:ascii="宋体"/>
              </w:rPr>
            </w:pPr>
          </w:p>
        </w:tc>
        <w:tc>
          <w:tcPr>
            <w:tcW w:w="539" w:type="pct"/>
            <w:shd w:val="clear" w:color="auto" w:fill="auto"/>
          </w:tcPr>
          <w:p w14:paraId="5C7C697E" w14:textId="77777777" w:rsidR="0008009C" w:rsidRDefault="0008009C">
            <w:pPr>
              <w:rPr>
                <w:rFonts w:ascii="宋体"/>
              </w:rPr>
            </w:pPr>
          </w:p>
        </w:tc>
        <w:tc>
          <w:tcPr>
            <w:tcW w:w="5" w:type="pct"/>
            <w:shd w:val="clear" w:color="auto" w:fill="auto"/>
          </w:tcPr>
          <w:p w14:paraId="5C7C697F" w14:textId="77777777" w:rsidR="0008009C" w:rsidRDefault="0008009C">
            <w:pPr>
              <w:rPr>
                <w:rFonts w:ascii="宋体"/>
              </w:rPr>
            </w:pPr>
          </w:p>
        </w:tc>
        <w:tc>
          <w:tcPr>
            <w:tcW w:w="5" w:type="pct"/>
            <w:shd w:val="clear" w:color="auto" w:fill="auto"/>
          </w:tcPr>
          <w:p w14:paraId="5C7C6980" w14:textId="77777777" w:rsidR="0008009C" w:rsidRDefault="0008009C">
            <w:pPr>
              <w:rPr>
                <w:rFonts w:ascii="宋体"/>
              </w:rPr>
            </w:pPr>
          </w:p>
        </w:tc>
        <w:tc>
          <w:tcPr>
            <w:tcW w:w="17" w:type="pct"/>
            <w:shd w:val="clear" w:color="auto" w:fill="auto"/>
          </w:tcPr>
          <w:p w14:paraId="5C7C6981" w14:textId="77777777" w:rsidR="0008009C" w:rsidRDefault="0008009C">
            <w:pPr>
              <w:rPr>
                <w:rFonts w:ascii="宋体"/>
              </w:rPr>
            </w:pPr>
          </w:p>
        </w:tc>
        <w:tc>
          <w:tcPr>
            <w:tcW w:w="5" w:type="pct"/>
            <w:shd w:val="clear" w:color="auto" w:fill="auto"/>
          </w:tcPr>
          <w:p w14:paraId="5C7C6982" w14:textId="77777777" w:rsidR="0008009C" w:rsidRDefault="0008009C">
            <w:pPr>
              <w:rPr>
                <w:rFonts w:ascii="宋体"/>
              </w:rPr>
            </w:pPr>
          </w:p>
        </w:tc>
        <w:tc>
          <w:tcPr>
            <w:tcW w:w="50" w:type="pct"/>
            <w:shd w:val="clear" w:color="auto" w:fill="auto"/>
          </w:tcPr>
          <w:p w14:paraId="5C7C6983" w14:textId="77777777" w:rsidR="0008009C" w:rsidRDefault="0008009C">
            <w:pPr>
              <w:rPr>
                <w:rFonts w:ascii="宋体"/>
              </w:rPr>
            </w:pPr>
          </w:p>
        </w:tc>
        <w:tc>
          <w:tcPr>
            <w:tcW w:w="539" w:type="pct"/>
            <w:shd w:val="clear" w:color="auto" w:fill="auto"/>
          </w:tcPr>
          <w:p w14:paraId="5C7C6984" w14:textId="77777777" w:rsidR="0008009C" w:rsidRDefault="0008009C">
            <w:pPr>
              <w:rPr>
                <w:rFonts w:ascii="宋体"/>
              </w:rPr>
            </w:pPr>
          </w:p>
        </w:tc>
        <w:tc>
          <w:tcPr>
            <w:tcW w:w="5" w:type="pct"/>
            <w:shd w:val="clear" w:color="auto" w:fill="auto"/>
          </w:tcPr>
          <w:p w14:paraId="5C7C6985" w14:textId="77777777" w:rsidR="0008009C" w:rsidRDefault="0008009C">
            <w:pPr>
              <w:rPr>
                <w:rFonts w:ascii="宋体"/>
              </w:rPr>
            </w:pPr>
          </w:p>
        </w:tc>
        <w:tc>
          <w:tcPr>
            <w:tcW w:w="0" w:type="auto"/>
            <w:gridSpan w:val="3"/>
            <w:shd w:val="clear" w:color="auto" w:fill="auto"/>
          </w:tcPr>
          <w:p w14:paraId="5C7C6986" w14:textId="77777777" w:rsidR="0008009C" w:rsidRDefault="0008009C">
            <w:pPr>
              <w:rPr>
                <w:rFonts w:ascii="宋体"/>
                <w:vanish/>
              </w:rPr>
            </w:pPr>
          </w:p>
        </w:tc>
        <w:tc>
          <w:tcPr>
            <w:tcW w:w="0" w:type="auto"/>
            <w:gridSpan w:val="3"/>
            <w:shd w:val="clear" w:color="auto" w:fill="auto"/>
          </w:tcPr>
          <w:p w14:paraId="5C7C6987" w14:textId="77777777" w:rsidR="0008009C" w:rsidRDefault="0008009C">
            <w:pPr>
              <w:rPr>
                <w:rFonts w:ascii="宋体"/>
                <w:vanish/>
              </w:rPr>
            </w:pPr>
          </w:p>
        </w:tc>
        <w:tc>
          <w:tcPr>
            <w:tcW w:w="0" w:type="auto"/>
            <w:gridSpan w:val="3"/>
            <w:shd w:val="clear" w:color="auto" w:fill="auto"/>
          </w:tcPr>
          <w:p w14:paraId="5C7C6988" w14:textId="77777777" w:rsidR="0008009C" w:rsidRDefault="0008009C">
            <w:pPr>
              <w:rPr>
                <w:rFonts w:ascii="宋体"/>
                <w:vanish/>
              </w:rPr>
            </w:pPr>
          </w:p>
        </w:tc>
        <w:tc>
          <w:tcPr>
            <w:tcW w:w="0" w:type="auto"/>
            <w:gridSpan w:val="3"/>
            <w:shd w:val="clear" w:color="auto" w:fill="auto"/>
          </w:tcPr>
          <w:p w14:paraId="5C7C6989" w14:textId="77777777" w:rsidR="0008009C" w:rsidRDefault="0008009C">
            <w:pPr>
              <w:rPr>
                <w:rFonts w:ascii="宋体"/>
                <w:vanish/>
              </w:rPr>
            </w:pPr>
          </w:p>
        </w:tc>
      </w:tr>
      <w:tr w:rsidR="0008009C" w14:paraId="5C7C699A" w14:textId="77777777">
        <w:tc>
          <w:tcPr>
            <w:tcW w:w="0" w:type="auto"/>
            <w:gridSpan w:val="3"/>
            <w:shd w:val="clear" w:color="auto" w:fill="auto"/>
            <w:tcMar>
              <w:top w:w="0" w:type="dxa"/>
              <w:left w:w="20" w:type="dxa"/>
              <w:bottom w:w="0" w:type="dxa"/>
              <w:right w:w="20" w:type="dxa"/>
            </w:tcMar>
          </w:tcPr>
          <w:p w14:paraId="5C7C698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98C" w14:textId="77777777" w:rsidR="0008009C" w:rsidRDefault="0008009C">
            <w:pPr>
              <w:rPr>
                <w:rFonts w:ascii="宋体"/>
              </w:rPr>
            </w:pPr>
          </w:p>
        </w:tc>
        <w:tc>
          <w:tcPr>
            <w:tcW w:w="0" w:type="auto"/>
            <w:gridSpan w:val="9"/>
            <w:shd w:val="clear" w:color="auto" w:fill="FFFFFF"/>
            <w:tcMar>
              <w:top w:w="40" w:type="dxa"/>
              <w:left w:w="20" w:type="dxa"/>
              <w:bottom w:w="40" w:type="dxa"/>
              <w:right w:w="20" w:type="dxa"/>
            </w:tcMar>
            <w:vAlign w:val="bottom"/>
          </w:tcPr>
          <w:p w14:paraId="5C7C698D" w14:textId="77777777" w:rsidR="0008009C" w:rsidRDefault="00936FDF">
            <w:pPr>
              <w:jc w:val="center"/>
              <w:textAlignment w:val="bottom"/>
            </w:pPr>
            <w:r>
              <w:rPr>
                <w:rFonts w:ascii="Arial" w:eastAsia="宋体" w:hAnsi="Arial" w:cs="Arial"/>
                <w:b/>
                <w:bCs/>
                <w:color w:val="262626"/>
                <w:sz w:val="18"/>
                <w:szCs w:val="18"/>
              </w:rPr>
              <w:t xml:space="preserve">Gains (Losses) Recognized in Consolidated Condensed Statements of Income on Derivatives </w:t>
            </w:r>
          </w:p>
        </w:tc>
        <w:tc>
          <w:tcPr>
            <w:tcW w:w="0" w:type="auto"/>
            <w:shd w:val="clear" w:color="auto" w:fill="auto"/>
          </w:tcPr>
          <w:p w14:paraId="5C7C698E" w14:textId="77777777" w:rsidR="0008009C" w:rsidRDefault="0008009C">
            <w:pPr>
              <w:rPr>
                <w:rFonts w:ascii="宋体"/>
              </w:rPr>
            </w:pPr>
          </w:p>
        </w:tc>
        <w:tc>
          <w:tcPr>
            <w:tcW w:w="0" w:type="auto"/>
            <w:shd w:val="clear" w:color="auto" w:fill="auto"/>
          </w:tcPr>
          <w:p w14:paraId="5C7C698F" w14:textId="77777777" w:rsidR="0008009C" w:rsidRDefault="0008009C">
            <w:pPr>
              <w:rPr>
                <w:rFonts w:ascii="宋体"/>
              </w:rPr>
            </w:pPr>
          </w:p>
        </w:tc>
        <w:tc>
          <w:tcPr>
            <w:tcW w:w="0" w:type="auto"/>
            <w:shd w:val="clear" w:color="auto" w:fill="auto"/>
          </w:tcPr>
          <w:p w14:paraId="5C7C6990" w14:textId="77777777" w:rsidR="0008009C" w:rsidRDefault="0008009C">
            <w:pPr>
              <w:rPr>
                <w:rFonts w:ascii="宋体"/>
              </w:rPr>
            </w:pPr>
          </w:p>
        </w:tc>
        <w:tc>
          <w:tcPr>
            <w:tcW w:w="0" w:type="auto"/>
            <w:shd w:val="clear" w:color="auto" w:fill="auto"/>
          </w:tcPr>
          <w:p w14:paraId="5C7C6991" w14:textId="77777777" w:rsidR="0008009C" w:rsidRDefault="0008009C">
            <w:pPr>
              <w:rPr>
                <w:rFonts w:ascii="宋体"/>
              </w:rPr>
            </w:pPr>
          </w:p>
        </w:tc>
        <w:tc>
          <w:tcPr>
            <w:tcW w:w="0" w:type="auto"/>
            <w:shd w:val="clear" w:color="auto" w:fill="auto"/>
          </w:tcPr>
          <w:p w14:paraId="5C7C6992" w14:textId="77777777" w:rsidR="0008009C" w:rsidRDefault="0008009C">
            <w:pPr>
              <w:rPr>
                <w:rFonts w:ascii="宋体"/>
              </w:rPr>
            </w:pPr>
          </w:p>
        </w:tc>
        <w:tc>
          <w:tcPr>
            <w:tcW w:w="0" w:type="auto"/>
            <w:shd w:val="clear" w:color="auto" w:fill="auto"/>
          </w:tcPr>
          <w:p w14:paraId="5C7C6993" w14:textId="77777777" w:rsidR="0008009C" w:rsidRDefault="0008009C">
            <w:pPr>
              <w:rPr>
                <w:rFonts w:ascii="宋体"/>
              </w:rPr>
            </w:pPr>
          </w:p>
        </w:tc>
        <w:tc>
          <w:tcPr>
            <w:tcW w:w="0" w:type="auto"/>
            <w:shd w:val="clear" w:color="auto" w:fill="auto"/>
          </w:tcPr>
          <w:p w14:paraId="5C7C6994" w14:textId="77777777" w:rsidR="0008009C" w:rsidRDefault="0008009C">
            <w:pPr>
              <w:rPr>
                <w:rFonts w:ascii="宋体"/>
              </w:rPr>
            </w:pPr>
          </w:p>
        </w:tc>
        <w:tc>
          <w:tcPr>
            <w:tcW w:w="0" w:type="auto"/>
            <w:shd w:val="clear" w:color="auto" w:fill="auto"/>
          </w:tcPr>
          <w:p w14:paraId="5C7C6995" w14:textId="77777777" w:rsidR="0008009C" w:rsidRDefault="0008009C">
            <w:pPr>
              <w:rPr>
                <w:rFonts w:ascii="宋体"/>
              </w:rPr>
            </w:pPr>
          </w:p>
        </w:tc>
        <w:tc>
          <w:tcPr>
            <w:tcW w:w="0" w:type="auto"/>
            <w:shd w:val="clear" w:color="auto" w:fill="auto"/>
          </w:tcPr>
          <w:p w14:paraId="5C7C6996" w14:textId="77777777" w:rsidR="0008009C" w:rsidRDefault="0008009C">
            <w:pPr>
              <w:rPr>
                <w:rFonts w:ascii="宋体"/>
              </w:rPr>
            </w:pPr>
          </w:p>
        </w:tc>
        <w:tc>
          <w:tcPr>
            <w:tcW w:w="0" w:type="auto"/>
            <w:shd w:val="clear" w:color="auto" w:fill="auto"/>
          </w:tcPr>
          <w:p w14:paraId="5C7C6997" w14:textId="77777777" w:rsidR="0008009C" w:rsidRDefault="0008009C">
            <w:pPr>
              <w:rPr>
                <w:rFonts w:ascii="宋体"/>
              </w:rPr>
            </w:pPr>
          </w:p>
        </w:tc>
        <w:tc>
          <w:tcPr>
            <w:tcW w:w="0" w:type="auto"/>
            <w:shd w:val="clear" w:color="auto" w:fill="auto"/>
          </w:tcPr>
          <w:p w14:paraId="5C7C6998" w14:textId="77777777" w:rsidR="0008009C" w:rsidRDefault="0008009C">
            <w:pPr>
              <w:rPr>
                <w:rFonts w:ascii="宋体"/>
              </w:rPr>
            </w:pPr>
          </w:p>
        </w:tc>
        <w:tc>
          <w:tcPr>
            <w:tcW w:w="0" w:type="auto"/>
            <w:shd w:val="clear" w:color="auto" w:fill="auto"/>
          </w:tcPr>
          <w:p w14:paraId="5C7C6999" w14:textId="77777777" w:rsidR="0008009C" w:rsidRDefault="0008009C">
            <w:pPr>
              <w:rPr>
                <w:rFonts w:ascii="宋体"/>
              </w:rPr>
            </w:pPr>
          </w:p>
        </w:tc>
      </w:tr>
      <w:tr w:rsidR="0008009C" w14:paraId="5C7C69AC" w14:textId="77777777">
        <w:trPr>
          <w:hidden/>
        </w:trPr>
        <w:tc>
          <w:tcPr>
            <w:tcW w:w="0" w:type="auto"/>
            <w:gridSpan w:val="3"/>
            <w:shd w:val="clear" w:color="auto" w:fill="auto"/>
          </w:tcPr>
          <w:p w14:paraId="5C7C699B" w14:textId="77777777" w:rsidR="0008009C" w:rsidRDefault="0008009C">
            <w:pPr>
              <w:rPr>
                <w:rFonts w:ascii="宋体"/>
                <w:vanish/>
              </w:rPr>
            </w:pPr>
          </w:p>
        </w:tc>
        <w:tc>
          <w:tcPr>
            <w:tcW w:w="0" w:type="auto"/>
            <w:gridSpan w:val="3"/>
            <w:shd w:val="clear" w:color="auto" w:fill="auto"/>
          </w:tcPr>
          <w:p w14:paraId="5C7C699C" w14:textId="77777777" w:rsidR="0008009C" w:rsidRDefault="0008009C">
            <w:pPr>
              <w:rPr>
                <w:rFonts w:ascii="宋体"/>
                <w:vanish/>
              </w:rPr>
            </w:pPr>
          </w:p>
        </w:tc>
        <w:tc>
          <w:tcPr>
            <w:tcW w:w="0" w:type="auto"/>
            <w:gridSpan w:val="3"/>
            <w:shd w:val="clear" w:color="auto" w:fill="auto"/>
          </w:tcPr>
          <w:p w14:paraId="5C7C699D" w14:textId="77777777" w:rsidR="0008009C" w:rsidRDefault="0008009C">
            <w:pPr>
              <w:rPr>
                <w:rFonts w:ascii="宋体"/>
                <w:vanish/>
              </w:rPr>
            </w:pPr>
          </w:p>
        </w:tc>
        <w:tc>
          <w:tcPr>
            <w:tcW w:w="0" w:type="auto"/>
            <w:gridSpan w:val="3"/>
            <w:shd w:val="clear" w:color="auto" w:fill="auto"/>
          </w:tcPr>
          <w:p w14:paraId="5C7C699E" w14:textId="77777777" w:rsidR="0008009C" w:rsidRDefault="0008009C">
            <w:pPr>
              <w:rPr>
                <w:rFonts w:ascii="宋体"/>
                <w:vanish/>
              </w:rPr>
            </w:pPr>
          </w:p>
        </w:tc>
        <w:tc>
          <w:tcPr>
            <w:tcW w:w="0" w:type="auto"/>
            <w:gridSpan w:val="3"/>
            <w:shd w:val="clear" w:color="auto" w:fill="auto"/>
          </w:tcPr>
          <w:p w14:paraId="5C7C699F" w14:textId="77777777" w:rsidR="0008009C" w:rsidRDefault="0008009C">
            <w:pPr>
              <w:rPr>
                <w:rFonts w:ascii="宋体"/>
                <w:vanish/>
              </w:rPr>
            </w:pPr>
          </w:p>
        </w:tc>
        <w:tc>
          <w:tcPr>
            <w:tcW w:w="0" w:type="auto"/>
            <w:shd w:val="clear" w:color="auto" w:fill="auto"/>
          </w:tcPr>
          <w:p w14:paraId="5C7C69A0" w14:textId="77777777" w:rsidR="0008009C" w:rsidRDefault="0008009C">
            <w:pPr>
              <w:rPr>
                <w:rFonts w:ascii="宋体"/>
              </w:rPr>
            </w:pPr>
          </w:p>
        </w:tc>
        <w:tc>
          <w:tcPr>
            <w:tcW w:w="0" w:type="auto"/>
            <w:shd w:val="clear" w:color="auto" w:fill="auto"/>
          </w:tcPr>
          <w:p w14:paraId="5C7C69A1" w14:textId="77777777" w:rsidR="0008009C" w:rsidRDefault="0008009C">
            <w:pPr>
              <w:rPr>
                <w:rFonts w:ascii="宋体"/>
              </w:rPr>
            </w:pPr>
          </w:p>
        </w:tc>
        <w:tc>
          <w:tcPr>
            <w:tcW w:w="0" w:type="auto"/>
            <w:shd w:val="clear" w:color="auto" w:fill="auto"/>
          </w:tcPr>
          <w:p w14:paraId="5C7C69A2" w14:textId="77777777" w:rsidR="0008009C" w:rsidRDefault="0008009C">
            <w:pPr>
              <w:rPr>
                <w:rFonts w:ascii="宋体"/>
              </w:rPr>
            </w:pPr>
          </w:p>
        </w:tc>
        <w:tc>
          <w:tcPr>
            <w:tcW w:w="0" w:type="auto"/>
            <w:shd w:val="clear" w:color="auto" w:fill="auto"/>
          </w:tcPr>
          <w:p w14:paraId="5C7C69A3" w14:textId="77777777" w:rsidR="0008009C" w:rsidRDefault="0008009C">
            <w:pPr>
              <w:rPr>
                <w:rFonts w:ascii="宋体"/>
              </w:rPr>
            </w:pPr>
          </w:p>
        </w:tc>
        <w:tc>
          <w:tcPr>
            <w:tcW w:w="0" w:type="auto"/>
            <w:shd w:val="clear" w:color="auto" w:fill="auto"/>
          </w:tcPr>
          <w:p w14:paraId="5C7C69A4" w14:textId="77777777" w:rsidR="0008009C" w:rsidRDefault="0008009C">
            <w:pPr>
              <w:rPr>
                <w:rFonts w:ascii="宋体"/>
              </w:rPr>
            </w:pPr>
          </w:p>
        </w:tc>
        <w:tc>
          <w:tcPr>
            <w:tcW w:w="0" w:type="auto"/>
            <w:shd w:val="clear" w:color="auto" w:fill="auto"/>
          </w:tcPr>
          <w:p w14:paraId="5C7C69A5" w14:textId="77777777" w:rsidR="0008009C" w:rsidRDefault="0008009C">
            <w:pPr>
              <w:rPr>
                <w:rFonts w:ascii="宋体"/>
              </w:rPr>
            </w:pPr>
          </w:p>
        </w:tc>
        <w:tc>
          <w:tcPr>
            <w:tcW w:w="0" w:type="auto"/>
            <w:shd w:val="clear" w:color="auto" w:fill="auto"/>
          </w:tcPr>
          <w:p w14:paraId="5C7C69A6" w14:textId="77777777" w:rsidR="0008009C" w:rsidRDefault="0008009C">
            <w:pPr>
              <w:rPr>
                <w:rFonts w:ascii="宋体"/>
              </w:rPr>
            </w:pPr>
          </w:p>
        </w:tc>
        <w:tc>
          <w:tcPr>
            <w:tcW w:w="0" w:type="auto"/>
            <w:shd w:val="clear" w:color="auto" w:fill="auto"/>
          </w:tcPr>
          <w:p w14:paraId="5C7C69A7" w14:textId="77777777" w:rsidR="0008009C" w:rsidRDefault="0008009C">
            <w:pPr>
              <w:rPr>
                <w:rFonts w:ascii="宋体"/>
              </w:rPr>
            </w:pPr>
          </w:p>
        </w:tc>
        <w:tc>
          <w:tcPr>
            <w:tcW w:w="0" w:type="auto"/>
            <w:shd w:val="clear" w:color="auto" w:fill="auto"/>
          </w:tcPr>
          <w:p w14:paraId="5C7C69A8" w14:textId="77777777" w:rsidR="0008009C" w:rsidRDefault="0008009C">
            <w:pPr>
              <w:rPr>
                <w:rFonts w:ascii="宋体"/>
              </w:rPr>
            </w:pPr>
          </w:p>
        </w:tc>
        <w:tc>
          <w:tcPr>
            <w:tcW w:w="0" w:type="auto"/>
            <w:shd w:val="clear" w:color="auto" w:fill="auto"/>
          </w:tcPr>
          <w:p w14:paraId="5C7C69A9" w14:textId="77777777" w:rsidR="0008009C" w:rsidRDefault="0008009C">
            <w:pPr>
              <w:rPr>
                <w:rFonts w:ascii="宋体"/>
              </w:rPr>
            </w:pPr>
          </w:p>
        </w:tc>
        <w:tc>
          <w:tcPr>
            <w:tcW w:w="0" w:type="auto"/>
            <w:shd w:val="clear" w:color="auto" w:fill="auto"/>
          </w:tcPr>
          <w:p w14:paraId="5C7C69AA" w14:textId="77777777" w:rsidR="0008009C" w:rsidRDefault="0008009C">
            <w:pPr>
              <w:rPr>
                <w:rFonts w:ascii="宋体"/>
              </w:rPr>
            </w:pPr>
          </w:p>
        </w:tc>
        <w:tc>
          <w:tcPr>
            <w:tcW w:w="0" w:type="auto"/>
            <w:shd w:val="clear" w:color="auto" w:fill="auto"/>
          </w:tcPr>
          <w:p w14:paraId="5C7C69AB" w14:textId="77777777" w:rsidR="0008009C" w:rsidRDefault="0008009C">
            <w:pPr>
              <w:rPr>
                <w:rFonts w:ascii="宋体"/>
              </w:rPr>
            </w:pPr>
          </w:p>
        </w:tc>
      </w:tr>
      <w:tr w:rsidR="0008009C" w14:paraId="5C7C69B6" w14:textId="77777777">
        <w:tc>
          <w:tcPr>
            <w:tcW w:w="0" w:type="auto"/>
            <w:gridSpan w:val="3"/>
            <w:shd w:val="clear" w:color="auto" w:fill="auto"/>
            <w:tcMar>
              <w:top w:w="40" w:type="dxa"/>
              <w:left w:w="20" w:type="dxa"/>
              <w:bottom w:w="40" w:type="dxa"/>
              <w:right w:w="20" w:type="dxa"/>
            </w:tcMar>
            <w:vAlign w:val="bottom"/>
          </w:tcPr>
          <w:p w14:paraId="5C7C69AD" w14:textId="77777777" w:rsidR="0008009C" w:rsidRDefault="00936FDF">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69AE"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9AF"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tcBorders>
              <w:top w:val="single" w:sz="8" w:space="0" w:color="0068B5"/>
            </w:tcBorders>
            <w:shd w:val="clear" w:color="auto" w:fill="auto"/>
            <w:tcMar>
              <w:top w:w="0" w:type="dxa"/>
              <w:left w:w="20" w:type="dxa"/>
              <w:bottom w:w="0" w:type="dxa"/>
              <w:right w:w="20" w:type="dxa"/>
            </w:tcMar>
          </w:tcPr>
          <w:p w14:paraId="5C7C69B0"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9B1" w14:textId="77777777" w:rsidR="0008009C" w:rsidRDefault="00936FDF">
            <w:pPr>
              <w:jc w:val="center"/>
              <w:textAlignment w:val="bottom"/>
            </w:pPr>
            <w:r>
              <w:rPr>
                <w:rFonts w:ascii="Arial" w:eastAsia="宋体" w:hAnsi="Arial" w:cs="Arial"/>
                <w:b/>
                <w:bCs/>
                <w:color w:val="262626"/>
                <w:sz w:val="18"/>
                <w:szCs w:val="18"/>
              </w:rPr>
              <w:t>Mar 28, 2020</w:t>
            </w:r>
          </w:p>
        </w:tc>
        <w:tc>
          <w:tcPr>
            <w:tcW w:w="0" w:type="auto"/>
            <w:gridSpan w:val="3"/>
            <w:shd w:val="clear" w:color="auto" w:fill="auto"/>
          </w:tcPr>
          <w:p w14:paraId="5C7C69B2" w14:textId="77777777" w:rsidR="0008009C" w:rsidRDefault="0008009C">
            <w:pPr>
              <w:rPr>
                <w:rFonts w:ascii="宋体"/>
                <w:vanish/>
              </w:rPr>
            </w:pPr>
          </w:p>
        </w:tc>
        <w:tc>
          <w:tcPr>
            <w:tcW w:w="0" w:type="auto"/>
            <w:gridSpan w:val="3"/>
            <w:shd w:val="clear" w:color="auto" w:fill="auto"/>
          </w:tcPr>
          <w:p w14:paraId="5C7C69B3" w14:textId="77777777" w:rsidR="0008009C" w:rsidRDefault="0008009C">
            <w:pPr>
              <w:rPr>
                <w:rFonts w:ascii="宋体"/>
                <w:vanish/>
              </w:rPr>
            </w:pPr>
          </w:p>
        </w:tc>
        <w:tc>
          <w:tcPr>
            <w:tcW w:w="0" w:type="auto"/>
            <w:gridSpan w:val="3"/>
            <w:shd w:val="clear" w:color="auto" w:fill="auto"/>
          </w:tcPr>
          <w:p w14:paraId="5C7C69B4" w14:textId="77777777" w:rsidR="0008009C" w:rsidRDefault="0008009C">
            <w:pPr>
              <w:rPr>
                <w:rFonts w:ascii="宋体"/>
                <w:vanish/>
              </w:rPr>
            </w:pPr>
          </w:p>
        </w:tc>
        <w:tc>
          <w:tcPr>
            <w:tcW w:w="0" w:type="auto"/>
            <w:gridSpan w:val="3"/>
            <w:shd w:val="clear" w:color="auto" w:fill="auto"/>
          </w:tcPr>
          <w:p w14:paraId="5C7C69B5" w14:textId="77777777" w:rsidR="0008009C" w:rsidRDefault="0008009C">
            <w:pPr>
              <w:rPr>
                <w:rFonts w:ascii="宋体"/>
                <w:vanish/>
              </w:rPr>
            </w:pPr>
          </w:p>
        </w:tc>
      </w:tr>
      <w:tr w:rsidR="0008009C" w14:paraId="5C7C69C4"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69B7" w14:textId="77777777" w:rsidR="0008009C" w:rsidRDefault="00936FDF">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tcPr>
          <w:p w14:paraId="5C7C69B8"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9B9"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9BA" w14:textId="77777777" w:rsidR="0008009C" w:rsidRDefault="00936FDF">
            <w:pPr>
              <w:jc w:val="right"/>
              <w:textAlignment w:val="bottom"/>
            </w:pPr>
            <w:r>
              <w:rPr>
                <w:rFonts w:ascii="Arial" w:eastAsia="宋体" w:hAnsi="Arial" w:cs="Arial"/>
                <w:color w:val="0068B5"/>
                <w:sz w:val="18"/>
                <w:szCs w:val="18"/>
              </w:rPr>
              <w:t>(512)</w:t>
            </w:r>
          </w:p>
        </w:tc>
        <w:tc>
          <w:tcPr>
            <w:tcW w:w="0" w:type="auto"/>
            <w:tcBorders>
              <w:top w:val="single" w:sz="8" w:space="0" w:color="0068B5"/>
            </w:tcBorders>
            <w:shd w:val="clear" w:color="auto" w:fill="auto"/>
            <w:tcMar>
              <w:top w:w="40" w:type="dxa"/>
              <w:left w:w="0" w:type="dxa"/>
              <w:bottom w:w="40" w:type="dxa"/>
              <w:right w:w="20" w:type="dxa"/>
            </w:tcMar>
            <w:vAlign w:val="bottom"/>
          </w:tcPr>
          <w:p w14:paraId="5C7C69B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BC"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9BD" w14:textId="77777777" w:rsidR="0008009C" w:rsidRDefault="00936FDF">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9BE" w14:textId="77777777" w:rsidR="0008009C" w:rsidRDefault="00936FDF">
            <w:pPr>
              <w:jc w:val="right"/>
              <w:textAlignment w:val="bottom"/>
            </w:pPr>
            <w:r>
              <w:rPr>
                <w:rFonts w:ascii="Arial" w:eastAsia="宋体" w:hAnsi="Arial" w:cs="Arial"/>
                <w:color w:val="262626"/>
                <w:sz w:val="18"/>
                <w:szCs w:val="18"/>
              </w:rPr>
              <w:t>954 </w:t>
            </w:r>
          </w:p>
        </w:tc>
        <w:tc>
          <w:tcPr>
            <w:tcW w:w="0" w:type="auto"/>
            <w:tcBorders>
              <w:top w:val="single" w:sz="8" w:space="0" w:color="0068B5"/>
            </w:tcBorders>
            <w:shd w:val="clear" w:color="auto" w:fill="auto"/>
            <w:tcMar>
              <w:top w:w="40" w:type="dxa"/>
              <w:left w:w="0" w:type="dxa"/>
              <w:bottom w:w="40" w:type="dxa"/>
              <w:right w:w="20" w:type="dxa"/>
            </w:tcMar>
            <w:vAlign w:val="bottom"/>
          </w:tcPr>
          <w:p w14:paraId="5C7C69BF" w14:textId="77777777" w:rsidR="0008009C" w:rsidRDefault="0008009C">
            <w:pPr>
              <w:jc w:val="right"/>
              <w:rPr>
                <w:rFonts w:ascii="宋体"/>
              </w:rPr>
            </w:pPr>
          </w:p>
        </w:tc>
        <w:tc>
          <w:tcPr>
            <w:tcW w:w="0" w:type="auto"/>
            <w:gridSpan w:val="3"/>
            <w:shd w:val="clear" w:color="auto" w:fill="auto"/>
          </w:tcPr>
          <w:p w14:paraId="5C7C69C0" w14:textId="77777777" w:rsidR="0008009C" w:rsidRDefault="0008009C">
            <w:pPr>
              <w:rPr>
                <w:rFonts w:ascii="宋体"/>
                <w:vanish/>
              </w:rPr>
            </w:pPr>
          </w:p>
        </w:tc>
        <w:tc>
          <w:tcPr>
            <w:tcW w:w="0" w:type="auto"/>
            <w:gridSpan w:val="3"/>
            <w:shd w:val="clear" w:color="auto" w:fill="auto"/>
          </w:tcPr>
          <w:p w14:paraId="5C7C69C1" w14:textId="77777777" w:rsidR="0008009C" w:rsidRDefault="0008009C">
            <w:pPr>
              <w:rPr>
                <w:rFonts w:ascii="宋体"/>
                <w:vanish/>
              </w:rPr>
            </w:pPr>
          </w:p>
        </w:tc>
        <w:tc>
          <w:tcPr>
            <w:tcW w:w="0" w:type="auto"/>
            <w:gridSpan w:val="3"/>
            <w:shd w:val="clear" w:color="auto" w:fill="auto"/>
          </w:tcPr>
          <w:p w14:paraId="5C7C69C2" w14:textId="77777777" w:rsidR="0008009C" w:rsidRDefault="0008009C">
            <w:pPr>
              <w:rPr>
                <w:rFonts w:ascii="宋体"/>
                <w:vanish/>
              </w:rPr>
            </w:pPr>
          </w:p>
        </w:tc>
        <w:tc>
          <w:tcPr>
            <w:tcW w:w="0" w:type="auto"/>
            <w:gridSpan w:val="3"/>
            <w:shd w:val="clear" w:color="auto" w:fill="auto"/>
          </w:tcPr>
          <w:p w14:paraId="5C7C69C3" w14:textId="77777777" w:rsidR="0008009C" w:rsidRDefault="0008009C">
            <w:pPr>
              <w:rPr>
                <w:rFonts w:ascii="宋体"/>
                <w:vanish/>
              </w:rPr>
            </w:pPr>
          </w:p>
        </w:tc>
      </w:tr>
      <w:tr w:rsidR="0008009C" w14:paraId="5C7C69D0" w14:textId="77777777">
        <w:tc>
          <w:tcPr>
            <w:tcW w:w="0" w:type="auto"/>
            <w:gridSpan w:val="3"/>
            <w:shd w:val="clear" w:color="auto" w:fill="auto"/>
            <w:tcMar>
              <w:top w:w="40" w:type="dxa"/>
              <w:left w:w="20" w:type="dxa"/>
              <w:bottom w:w="40" w:type="dxa"/>
              <w:right w:w="20" w:type="dxa"/>
            </w:tcMar>
            <w:vAlign w:val="bottom"/>
          </w:tcPr>
          <w:p w14:paraId="5C7C69C5" w14:textId="77777777" w:rsidR="0008009C" w:rsidRDefault="00936FDF">
            <w:pPr>
              <w:textAlignment w:val="bottom"/>
            </w:pPr>
            <w:r>
              <w:rPr>
                <w:rFonts w:ascii="Arial" w:eastAsia="宋体" w:hAnsi="Arial" w:cs="Arial"/>
                <w:color w:val="262626"/>
                <w:sz w:val="18"/>
                <w:szCs w:val="18"/>
              </w:rPr>
              <w:t>Hedged items</w:t>
            </w:r>
          </w:p>
        </w:tc>
        <w:tc>
          <w:tcPr>
            <w:tcW w:w="0" w:type="auto"/>
            <w:gridSpan w:val="3"/>
            <w:shd w:val="clear" w:color="auto" w:fill="auto"/>
            <w:tcMar>
              <w:top w:w="0" w:type="dxa"/>
              <w:left w:w="20" w:type="dxa"/>
              <w:bottom w:w="0" w:type="dxa"/>
              <w:right w:w="20" w:type="dxa"/>
            </w:tcMar>
          </w:tcPr>
          <w:p w14:paraId="5C7C69C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9C7" w14:textId="77777777" w:rsidR="0008009C" w:rsidRDefault="00936FDF">
            <w:pPr>
              <w:jc w:val="right"/>
              <w:textAlignment w:val="bottom"/>
            </w:pPr>
            <w:r>
              <w:rPr>
                <w:rFonts w:ascii="Arial" w:eastAsia="宋体" w:hAnsi="Arial" w:cs="Arial"/>
                <w:color w:val="0068B5"/>
                <w:sz w:val="18"/>
                <w:szCs w:val="18"/>
              </w:rPr>
              <w:t>512 </w:t>
            </w:r>
          </w:p>
        </w:tc>
        <w:tc>
          <w:tcPr>
            <w:tcW w:w="0" w:type="auto"/>
            <w:shd w:val="clear" w:color="auto" w:fill="auto"/>
            <w:tcMar>
              <w:top w:w="40" w:type="dxa"/>
              <w:left w:w="0" w:type="dxa"/>
              <w:bottom w:w="40" w:type="dxa"/>
              <w:right w:w="20" w:type="dxa"/>
            </w:tcMar>
            <w:vAlign w:val="bottom"/>
          </w:tcPr>
          <w:p w14:paraId="5C7C69C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C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9CA" w14:textId="77777777" w:rsidR="0008009C" w:rsidRDefault="00936FDF">
            <w:pPr>
              <w:jc w:val="right"/>
              <w:textAlignment w:val="bottom"/>
            </w:pPr>
            <w:r>
              <w:rPr>
                <w:rFonts w:ascii="Arial" w:eastAsia="宋体" w:hAnsi="Arial" w:cs="Arial"/>
                <w:color w:val="262626"/>
                <w:sz w:val="18"/>
                <w:szCs w:val="18"/>
              </w:rPr>
              <w:t>(954)</w:t>
            </w:r>
          </w:p>
        </w:tc>
        <w:tc>
          <w:tcPr>
            <w:tcW w:w="0" w:type="auto"/>
            <w:shd w:val="clear" w:color="auto" w:fill="auto"/>
            <w:tcMar>
              <w:top w:w="40" w:type="dxa"/>
              <w:left w:w="0" w:type="dxa"/>
              <w:bottom w:w="40" w:type="dxa"/>
              <w:right w:w="20" w:type="dxa"/>
            </w:tcMar>
            <w:vAlign w:val="bottom"/>
          </w:tcPr>
          <w:p w14:paraId="5C7C69CB" w14:textId="77777777" w:rsidR="0008009C" w:rsidRDefault="0008009C">
            <w:pPr>
              <w:jc w:val="right"/>
              <w:rPr>
                <w:rFonts w:ascii="宋体"/>
              </w:rPr>
            </w:pPr>
          </w:p>
        </w:tc>
        <w:tc>
          <w:tcPr>
            <w:tcW w:w="0" w:type="auto"/>
            <w:gridSpan w:val="3"/>
            <w:shd w:val="clear" w:color="auto" w:fill="auto"/>
          </w:tcPr>
          <w:p w14:paraId="5C7C69CC" w14:textId="77777777" w:rsidR="0008009C" w:rsidRDefault="0008009C">
            <w:pPr>
              <w:rPr>
                <w:rFonts w:ascii="宋体"/>
                <w:vanish/>
              </w:rPr>
            </w:pPr>
          </w:p>
        </w:tc>
        <w:tc>
          <w:tcPr>
            <w:tcW w:w="0" w:type="auto"/>
            <w:gridSpan w:val="3"/>
            <w:shd w:val="clear" w:color="auto" w:fill="auto"/>
          </w:tcPr>
          <w:p w14:paraId="5C7C69CD" w14:textId="77777777" w:rsidR="0008009C" w:rsidRDefault="0008009C">
            <w:pPr>
              <w:rPr>
                <w:rFonts w:ascii="宋体"/>
                <w:vanish/>
              </w:rPr>
            </w:pPr>
          </w:p>
        </w:tc>
        <w:tc>
          <w:tcPr>
            <w:tcW w:w="0" w:type="auto"/>
            <w:gridSpan w:val="3"/>
            <w:shd w:val="clear" w:color="auto" w:fill="auto"/>
          </w:tcPr>
          <w:p w14:paraId="5C7C69CE" w14:textId="77777777" w:rsidR="0008009C" w:rsidRDefault="0008009C">
            <w:pPr>
              <w:rPr>
                <w:rFonts w:ascii="宋体"/>
                <w:vanish/>
              </w:rPr>
            </w:pPr>
          </w:p>
        </w:tc>
        <w:tc>
          <w:tcPr>
            <w:tcW w:w="0" w:type="auto"/>
            <w:gridSpan w:val="3"/>
            <w:shd w:val="clear" w:color="auto" w:fill="auto"/>
          </w:tcPr>
          <w:p w14:paraId="5C7C69CF" w14:textId="77777777" w:rsidR="0008009C" w:rsidRDefault="0008009C">
            <w:pPr>
              <w:rPr>
                <w:rFonts w:ascii="宋体"/>
                <w:vanish/>
              </w:rPr>
            </w:pPr>
          </w:p>
        </w:tc>
      </w:tr>
      <w:tr w:rsidR="0008009C" w14:paraId="5C7C69DE" w14:textId="77777777">
        <w:tc>
          <w:tcPr>
            <w:tcW w:w="0" w:type="auto"/>
            <w:gridSpan w:val="3"/>
            <w:shd w:val="clear" w:color="auto" w:fill="auto"/>
            <w:tcMar>
              <w:top w:w="40" w:type="dxa"/>
              <w:left w:w="20" w:type="dxa"/>
              <w:bottom w:w="40" w:type="dxa"/>
              <w:right w:w="20" w:type="dxa"/>
            </w:tcMar>
          </w:tcPr>
          <w:p w14:paraId="5C7C69D1" w14:textId="77777777" w:rsidR="0008009C" w:rsidRDefault="00936FDF">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tcPr>
          <w:p w14:paraId="5C7C69D2"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9D3"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9D4" w14:textId="77777777" w:rsidR="0008009C" w:rsidRDefault="00936FDF">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9D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9D6"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9D7"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9D8" w14:textId="77777777" w:rsidR="0008009C" w:rsidRDefault="00936FDF">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9D9" w14:textId="77777777" w:rsidR="0008009C" w:rsidRDefault="0008009C">
            <w:pPr>
              <w:jc w:val="right"/>
              <w:rPr>
                <w:rFonts w:ascii="宋体"/>
              </w:rPr>
            </w:pPr>
          </w:p>
        </w:tc>
        <w:tc>
          <w:tcPr>
            <w:tcW w:w="0" w:type="auto"/>
            <w:gridSpan w:val="3"/>
            <w:shd w:val="clear" w:color="auto" w:fill="auto"/>
          </w:tcPr>
          <w:p w14:paraId="5C7C69DA" w14:textId="77777777" w:rsidR="0008009C" w:rsidRDefault="0008009C">
            <w:pPr>
              <w:rPr>
                <w:rFonts w:ascii="宋体"/>
                <w:vanish/>
              </w:rPr>
            </w:pPr>
          </w:p>
        </w:tc>
        <w:tc>
          <w:tcPr>
            <w:tcW w:w="0" w:type="auto"/>
            <w:gridSpan w:val="3"/>
            <w:shd w:val="clear" w:color="auto" w:fill="auto"/>
          </w:tcPr>
          <w:p w14:paraId="5C7C69DB" w14:textId="77777777" w:rsidR="0008009C" w:rsidRDefault="0008009C">
            <w:pPr>
              <w:rPr>
                <w:rFonts w:ascii="宋体"/>
                <w:vanish/>
              </w:rPr>
            </w:pPr>
          </w:p>
        </w:tc>
        <w:tc>
          <w:tcPr>
            <w:tcW w:w="0" w:type="auto"/>
            <w:gridSpan w:val="3"/>
            <w:shd w:val="clear" w:color="auto" w:fill="auto"/>
          </w:tcPr>
          <w:p w14:paraId="5C7C69DC" w14:textId="77777777" w:rsidR="0008009C" w:rsidRDefault="0008009C">
            <w:pPr>
              <w:rPr>
                <w:rFonts w:ascii="宋体"/>
                <w:vanish/>
              </w:rPr>
            </w:pPr>
          </w:p>
        </w:tc>
        <w:tc>
          <w:tcPr>
            <w:tcW w:w="0" w:type="auto"/>
            <w:gridSpan w:val="3"/>
            <w:shd w:val="clear" w:color="auto" w:fill="auto"/>
          </w:tcPr>
          <w:p w14:paraId="5C7C69DD" w14:textId="77777777" w:rsidR="0008009C" w:rsidRDefault="0008009C">
            <w:pPr>
              <w:rPr>
                <w:rFonts w:ascii="宋体"/>
                <w:vanish/>
              </w:rPr>
            </w:pPr>
          </w:p>
        </w:tc>
      </w:tr>
    </w:tbl>
    <w:p w14:paraId="5C7C69DF" w14:textId="77777777" w:rsidR="0008009C" w:rsidRDefault="00936FDF">
      <w:pPr>
        <w:spacing w:before="300" w:after="120"/>
      </w:pPr>
      <w:r>
        <w:rPr>
          <w:rFonts w:ascii="Arial" w:eastAsia="宋体" w:hAnsi="Arial" w:cs="Arial"/>
          <w:color w:val="262626"/>
          <w:sz w:val="18"/>
          <w:szCs w:val="18"/>
        </w:rPr>
        <w:t>The amounts recorded on the Consolidated Condensed Balance Sheets related to cumulative basis adjustments for fair value hedges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978"/>
        <w:gridCol w:w="36"/>
        <w:gridCol w:w="36"/>
        <w:gridCol w:w="36"/>
        <w:gridCol w:w="36"/>
        <w:gridCol w:w="121"/>
        <w:gridCol w:w="795"/>
        <w:gridCol w:w="36"/>
        <w:gridCol w:w="36"/>
        <w:gridCol w:w="36"/>
        <w:gridCol w:w="36"/>
        <w:gridCol w:w="121"/>
        <w:gridCol w:w="797"/>
        <w:gridCol w:w="36"/>
        <w:gridCol w:w="36"/>
        <w:gridCol w:w="36"/>
        <w:gridCol w:w="36"/>
        <w:gridCol w:w="122"/>
        <w:gridCol w:w="797"/>
        <w:gridCol w:w="37"/>
        <w:gridCol w:w="37"/>
        <w:gridCol w:w="37"/>
        <w:gridCol w:w="36"/>
        <w:gridCol w:w="121"/>
        <w:gridCol w:w="796"/>
        <w:gridCol w:w="36"/>
        <w:gridCol w:w="36"/>
      </w:tblGrid>
      <w:tr w:rsidR="0008009C" w14:paraId="5C7C69FC" w14:textId="77777777">
        <w:tc>
          <w:tcPr>
            <w:tcW w:w="50" w:type="pct"/>
            <w:shd w:val="clear" w:color="auto" w:fill="auto"/>
          </w:tcPr>
          <w:p w14:paraId="5C7C69E0" w14:textId="77777777" w:rsidR="0008009C" w:rsidRDefault="0008009C">
            <w:pPr>
              <w:rPr>
                <w:rFonts w:ascii="宋体"/>
              </w:rPr>
            </w:pPr>
          </w:p>
        </w:tc>
        <w:tc>
          <w:tcPr>
            <w:tcW w:w="2431" w:type="pct"/>
            <w:shd w:val="clear" w:color="auto" w:fill="auto"/>
          </w:tcPr>
          <w:p w14:paraId="5C7C69E1" w14:textId="77777777" w:rsidR="0008009C" w:rsidRDefault="0008009C">
            <w:pPr>
              <w:rPr>
                <w:rFonts w:ascii="宋体"/>
              </w:rPr>
            </w:pPr>
          </w:p>
        </w:tc>
        <w:tc>
          <w:tcPr>
            <w:tcW w:w="5" w:type="pct"/>
            <w:shd w:val="clear" w:color="auto" w:fill="auto"/>
          </w:tcPr>
          <w:p w14:paraId="5C7C69E2" w14:textId="77777777" w:rsidR="0008009C" w:rsidRDefault="0008009C">
            <w:pPr>
              <w:rPr>
                <w:rFonts w:ascii="宋体"/>
              </w:rPr>
            </w:pPr>
          </w:p>
        </w:tc>
        <w:tc>
          <w:tcPr>
            <w:tcW w:w="5" w:type="pct"/>
            <w:shd w:val="clear" w:color="auto" w:fill="auto"/>
          </w:tcPr>
          <w:p w14:paraId="5C7C69E3" w14:textId="77777777" w:rsidR="0008009C" w:rsidRDefault="0008009C">
            <w:pPr>
              <w:rPr>
                <w:rFonts w:ascii="宋体"/>
              </w:rPr>
            </w:pPr>
          </w:p>
        </w:tc>
        <w:tc>
          <w:tcPr>
            <w:tcW w:w="24" w:type="pct"/>
            <w:shd w:val="clear" w:color="auto" w:fill="auto"/>
          </w:tcPr>
          <w:p w14:paraId="5C7C69E4" w14:textId="77777777" w:rsidR="0008009C" w:rsidRDefault="0008009C">
            <w:pPr>
              <w:rPr>
                <w:rFonts w:ascii="宋体"/>
              </w:rPr>
            </w:pPr>
          </w:p>
        </w:tc>
        <w:tc>
          <w:tcPr>
            <w:tcW w:w="5" w:type="pct"/>
            <w:shd w:val="clear" w:color="auto" w:fill="auto"/>
          </w:tcPr>
          <w:p w14:paraId="5C7C69E5" w14:textId="77777777" w:rsidR="0008009C" w:rsidRDefault="0008009C">
            <w:pPr>
              <w:rPr>
                <w:rFonts w:ascii="宋体"/>
              </w:rPr>
            </w:pPr>
          </w:p>
        </w:tc>
        <w:tc>
          <w:tcPr>
            <w:tcW w:w="50" w:type="pct"/>
            <w:shd w:val="clear" w:color="auto" w:fill="auto"/>
          </w:tcPr>
          <w:p w14:paraId="5C7C69E6" w14:textId="77777777" w:rsidR="0008009C" w:rsidRDefault="0008009C">
            <w:pPr>
              <w:rPr>
                <w:rFonts w:ascii="宋体"/>
              </w:rPr>
            </w:pPr>
          </w:p>
        </w:tc>
        <w:tc>
          <w:tcPr>
            <w:tcW w:w="539" w:type="pct"/>
            <w:shd w:val="clear" w:color="auto" w:fill="auto"/>
          </w:tcPr>
          <w:p w14:paraId="5C7C69E7" w14:textId="77777777" w:rsidR="0008009C" w:rsidRDefault="0008009C">
            <w:pPr>
              <w:rPr>
                <w:rFonts w:ascii="宋体"/>
              </w:rPr>
            </w:pPr>
          </w:p>
        </w:tc>
        <w:tc>
          <w:tcPr>
            <w:tcW w:w="5" w:type="pct"/>
            <w:shd w:val="clear" w:color="auto" w:fill="auto"/>
          </w:tcPr>
          <w:p w14:paraId="5C7C69E8" w14:textId="77777777" w:rsidR="0008009C" w:rsidRDefault="0008009C">
            <w:pPr>
              <w:rPr>
                <w:rFonts w:ascii="宋体"/>
              </w:rPr>
            </w:pPr>
          </w:p>
        </w:tc>
        <w:tc>
          <w:tcPr>
            <w:tcW w:w="5" w:type="pct"/>
            <w:shd w:val="clear" w:color="auto" w:fill="auto"/>
          </w:tcPr>
          <w:p w14:paraId="5C7C69E9" w14:textId="77777777" w:rsidR="0008009C" w:rsidRDefault="0008009C">
            <w:pPr>
              <w:rPr>
                <w:rFonts w:ascii="宋体"/>
              </w:rPr>
            </w:pPr>
          </w:p>
        </w:tc>
        <w:tc>
          <w:tcPr>
            <w:tcW w:w="24" w:type="pct"/>
            <w:shd w:val="clear" w:color="auto" w:fill="auto"/>
          </w:tcPr>
          <w:p w14:paraId="5C7C69EA" w14:textId="77777777" w:rsidR="0008009C" w:rsidRDefault="0008009C">
            <w:pPr>
              <w:rPr>
                <w:rFonts w:ascii="宋体"/>
              </w:rPr>
            </w:pPr>
          </w:p>
        </w:tc>
        <w:tc>
          <w:tcPr>
            <w:tcW w:w="5" w:type="pct"/>
            <w:shd w:val="clear" w:color="auto" w:fill="auto"/>
          </w:tcPr>
          <w:p w14:paraId="5C7C69EB" w14:textId="77777777" w:rsidR="0008009C" w:rsidRDefault="0008009C">
            <w:pPr>
              <w:rPr>
                <w:rFonts w:ascii="宋体"/>
              </w:rPr>
            </w:pPr>
          </w:p>
        </w:tc>
        <w:tc>
          <w:tcPr>
            <w:tcW w:w="50" w:type="pct"/>
            <w:shd w:val="clear" w:color="auto" w:fill="auto"/>
          </w:tcPr>
          <w:p w14:paraId="5C7C69EC" w14:textId="77777777" w:rsidR="0008009C" w:rsidRDefault="0008009C">
            <w:pPr>
              <w:rPr>
                <w:rFonts w:ascii="宋体"/>
              </w:rPr>
            </w:pPr>
          </w:p>
        </w:tc>
        <w:tc>
          <w:tcPr>
            <w:tcW w:w="539" w:type="pct"/>
            <w:shd w:val="clear" w:color="auto" w:fill="auto"/>
          </w:tcPr>
          <w:p w14:paraId="5C7C69ED" w14:textId="77777777" w:rsidR="0008009C" w:rsidRDefault="0008009C">
            <w:pPr>
              <w:rPr>
                <w:rFonts w:ascii="宋体"/>
              </w:rPr>
            </w:pPr>
          </w:p>
        </w:tc>
        <w:tc>
          <w:tcPr>
            <w:tcW w:w="5" w:type="pct"/>
            <w:shd w:val="clear" w:color="auto" w:fill="auto"/>
          </w:tcPr>
          <w:p w14:paraId="5C7C69EE" w14:textId="77777777" w:rsidR="0008009C" w:rsidRDefault="0008009C">
            <w:pPr>
              <w:rPr>
                <w:rFonts w:ascii="宋体"/>
              </w:rPr>
            </w:pPr>
          </w:p>
        </w:tc>
        <w:tc>
          <w:tcPr>
            <w:tcW w:w="5" w:type="pct"/>
            <w:shd w:val="clear" w:color="auto" w:fill="auto"/>
          </w:tcPr>
          <w:p w14:paraId="5C7C69EF" w14:textId="77777777" w:rsidR="0008009C" w:rsidRDefault="0008009C">
            <w:pPr>
              <w:rPr>
                <w:rFonts w:ascii="宋体"/>
              </w:rPr>
            </w:pPr>
          </w:p>
        </w:tc>
        <w:tc>
          <w:tcPr>
            <w:tcW w:w="24" w:type="pct"/>
            <w:shd w:val="clear" w:color="auto" w:fill="auto"/>
          </w:tcPr>
          <w:p w14:paraId="5C7C69F0" w14:textId="77777777" w:rsidR="0008009C" w:rsidRDefault="0008009C">
            <w:pPr>
              <w:rPr>
                <w:rFonts w:ascii="宋体"/>
              </w:rPr>
            </w:pPr>
          </w:p>
        </w:tc>
        <w:tc>
          <w:tcPr>
            <w:tcW w:w="5" w:type="pct"/>
            <w:shd w:val="clear" w:color="auto" w:fill="auto"/>
          </w:tcPr>
          <w:p w14:paraId="5C7C69F1" w14:textId="77777777" w:rsidR="0008009C" w:rsidRDefault="0008009C">
            <w:pPr>
              <w:rPr>
                <w:rFonts w:ascii="宋体"/>
              </w:rPr>
            </w:pPr>
          </w:p>
        </w:tc>
        <w:tc>
          <w:tcPr>
            <w:tcW w:w="50" w:type="pct"/>
            <w:shd w:val="clear" w:color="auto" w:fill="auto"/>
          </w:tcPr>
          <w:p w14:paraId="5C7C69F2" w14:textId="77777777" w:rsidR="0008009C" w:rsidRDefault="0008009C">
            <w:pPr>
              <w:rPr>
                <w:rFonts w:ascii="宋体"/>
              </w:rPr>
            </w:pPr>
          </w:p>
        </w:tc>
        <w:tc>
          <w:tcPr>
            <w:tcW w:w="539" w:type="pct"/>
            <w:shd w:val="clear" w:color="auto" w:fill="auto"/>
          </w:tcPr>
          <w:p w14:paraId="5C7C69F3" w14:textId="77777777" w:rsidR="0008009C" w:rsidRDefault="0008009C">
            <w:pPr>
              <w:rPr>
                <w:rFonts w:ascii="宋体"/>
              </w:rPr>
            </w:pPr>
          </w:p>
        </w:tc>
        <w:tc>
          <w:tcPr>
            <w:tcW w:w="5" w:type="pct"/>
            <w:shd w:val="clear" w:color="auto" w:fill="auto"/>
          </w:tcPr>
          <w:p w14:paraId="5C7C69F4" w14:textId="77777777" w:rsidR="0008009C" w:rsidRDefault="0008009C">
            <w:pPr>
              <w:rPr>
                <w:rFonts w:ascii="宋体"/>
              </w:rPr>
            </w:pPr>
          </w:p>
        </w:tc>
        <w:tc>
          <w:tcPr>
            <w:tcW w:w="5" w:type="pct"/>
            <w:shd w:val="clear" w:color="auto" w:fill="auto"/>
          </w:tcPr>
          <w:p w14:paraId="5C7C69F5" w14:textId="77777777" w:rsidR="0008009C" w:rsidRDefault="0008009C">
            <w:pPr>
              <w:rPr>
                <w:rFonts w:ascii="宋体"/>
              </w:rPr>
            </w:pPr>
          </w:p>
        </w:tc>
        <w:tc>
          <w:tcPr>
            <w:tcW w:w="24" w:type="pct"/>
            <w:shd w:val="clear" w:color="auto" w:fill="auto"/>
          </w:tcPr>
          <w:p w14:paraId="5C7C69F6" w14:textId="77777777" w:rsidR="0008009C" w:rsidRDefault="0008009C">
            <w:pPr>
              <w:rPr>
                <w:rFonts w:ascii="宋体"/>
              </w:rPr>
            </w:pPr>
          </w:p>
        </w:tc>
        <w:tc>
          <w:tcPr>
            <w:tcW w:w="5" w:type="pct"/>
            <w:shd w:val="clear" w:color="auto" w:fill="auto"/>
          </w:tcPr>
          <w:p w14:paraId="5C7C69F7" w14:textId="77777777" w:rsidR="0008009C" w:rsidRDefault="0008009C">
            <w:pPr>
              <w:rPr>
                <w:rFonts w:ascii="宋体"/>
              </w:rPr>
            </w:pPr>
          </w:p>
        </w:tc>
        <w:tc>
          <w:tcPr>
            <w:tcW w:w="50" w:type="pct"/>
            <w:shd w:val="clear" w:color="auto" w:fill="auto"/>
          </w:tcPr>
          <w:p w14:paraId="5C7C69F8" w14:textId="77777777" w:rsidR="0008009C" w:rsidRDefault="0008009C">
            <w:pPr>
              <w:rPr>
                <w:rFonts w:ascii="宋体"/>
              </w:rPr>
            </w:pPr>
          </w:p>
        </w:tc>
        <w:tc>
          <w:tcPr>
            <w:tcW w:w="539" w:type="pct"/>
            <w:shd w:val="clear" w:color="auto" w:fill="auto"/>
          </w:tcPr>
          <w:p w14:paraId="5C7C69F9" w14:textId="77777777" w:rsidR="0008009C" w:rsidRDefault="0008009C">
            <w:pPr>
              <w:rPr>
                <w:rFonts w:ascii="宋体"/>
              </w:rPr>
            </w:pPr>
          </w:p>
        </w:tc>
        <w:tc>
          <w:tcPr>
            <w:tcW w:w="5" w:type="pct"/>
            <w:shd w:val="clear" w:color="auto" w:fill="auto"/>
          </w:tcPr>
          <w:p w14:paraId="5C7C69FA" w14:textId="77777777" w:rsidR="0008009C" w:rsidRDefault="0008009C">
            <w:pPr>
              <w:rPr>
                <w:rFonts w:ascii="宋体"/>
              </w:rPr>
            </w:pPr>
          </w:p>
        </w:tc>
        <w:tc>
          <w:tcPr>
            <w:tcW w:w="0" w:type="auto"/>
            <w:shd w:val="clear" w:color="auto" w:fill="auto"/>
          </w:tcPr>
          <w:p w14:paraId="5C7C69FB" w14:textId="77777777" w:rsidR="0008009C" w:rsidRDefault="0008009C">
            <w:pPr>
              <w:rPr>
                <w:rFonts w:ascii="宋体"/>
                <w:vanish/>
              </w:rPr>
            </w:pPr>
          </w:p>
        </w:tc>
      </w:tr>
      <w:tr w:rsidR="0008009C" w14:paraId="5C7C6A03" w14:textId="77777777">
        <w:tc>
          <w:tcPr>
            <w:tcW w:w="0" w:type="auto"/>
            <w:gridSpan w:val="3"/>
            <w:shd w:val="clear" w:color="auto" w:fill="auto"/>
            <w:tcMar>
              <w:top w:w="40" w:type="dxa"/>
              <w:left w:w="20" w:type="dxa"/>
              <w:bottom w:w="40" w:type="dxa"/>
              <w:right w:w="20" w:type="dxa"/>
            </w:tcMar>
            <w:vAlign w:val="bottom"/>
          </w:tcPr>
          <w:p w14:paraId="5C7C69FD" w14:textId="77777777" w:rsidR="0008009C" w:rsidRDefault="00936FDF">
            <w:pPr>
              <w:textAlignment w:val="bottom"/>
            </w:pPr>
            <w:r>
              <w:rPr>
                <w:rFonts w:ascii="Arial" w:eastAsia="宋体" w:hAnsi="Arial" w:cs="Arial"/>
                <w:b/>
                <w:bCs/>
                <w:color w:val="262626"/>
                <w:sz w:val="18"/>
                <w:szCs w:val="18"/>
              </w:rPr>
              <w:t>Line Item in the Consolidated Condensed Balance Sheet in Which the Hedged Item is Included</w:t>
            </w:r>
          </w:p>
        </w:tc>
        <w:tc>
          <w:tcPr>
            <w:tcW w:w="0" w:type="auto"/>
            <w:gridSpan w:val="3"/>
            <w:shd w:val="clear" w:color="auto" w:fill="auto"/>
            <w:tcMar>
              <w:top w:w="0" w:type="dxa"/>
              <w:left w:w="20" w:type="dxa"/>
              <w:bottom w:w="0" w:type="dxa"/>
              <w:right w:w="20" w:type="dxa"/>
            </w:tcMar>
          </w:tcPr>
          <w:p w14:paraId="5C7C69FE"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bottom"/>
          </w:tcPr>
          <w:p w14:paraId="5C7C69FF" w14:textId="77777777" w:rsidR="0008009C" w:rsidRDefault="00936FDF">
            <w:pPr>
              <w:jc w:val="center"/>
              <w:textAlignment w:val="bottom"/>
            </w:pPr>
            <w:r>
              <w:rPr>
                <w:rFonts w:ascii="Arial" w:eastAsia="宋体" w:hAnsi="Arial" w:cs="Arial"/>
                <w:b/>
                <w:bCs/>
                <w:color w:val="262626"/>
                <w:sz w:val="18"/>
                <w:szCs w:val="18"/>
              </w:rPr>
              <w:t>Carrying Amount of the Hedged Item Asset/(Liabilities)</w:t>
            </w:r>
          </w:p>
        </w:tc>
        <w:tc>
          <w:tcPr>
            <w:tcW w:w="0" w:type="auto"/>
            <w:gridSpan w:val="3"/>
            <w:shd w:val="clear" w:color="auto" w:fill="auto"/>
            <w:tcMar>
              <w:top w:w="0" w:type="dxa"/>
              <w:left w:w="20" w:type="dxa"/>
              <w:bottom w:w="0" w:type="dxa"/>
              <w:right w:w="20" w:type="dxa"/>
            </w:tcMar>
          </w:tcPr>
          <w:p w14:paraId="5C7C6A00"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bottom"/>
          </w:tcPr>
          <w:p w14:paraId="5C7C6A01" w14:textId="77777777" w:rsidR="0008009C" w:rsidRDefault="00936FDF">
            <w:pPr>
              <w:jc w:val="center"/>
              <w:textAlignment w:val="bottom"/>
            </w:pPr>
            <w:r>
              <w:rPr>
                <w:rFonts w:ascii="Arial" w:eastAsia="宋体" w:hAnsi="Arial" w:cs="Arial"/>
                <w:b/>
                <w:bCs/>
                <w:color w:val="262626"/>
                <w:sz w:val="18"/>
                <w:szCs w:val="18"/>
              </w:rPr>
              <w:t xml:space="preserve">Cumulative Amount of Fair Value Hedging </w:t>
            </w:r>
            <w:r>
              <w:rPr>
                <w:rFonts w:ascii="Arial" w:eastAsia="宋体" w:hAnsi="Arial" w:cs="Arial"/>
                <w:b/>
                <w:bCs/>
                <w:color w:val="262626"/>
                <w:sz w:val="18"/>
                <w:szCs w:val="18"/>
              </w:rPr>
              <w:t>Adjustment Included in the Carrying Amount Assets/(Liabilities)</w:t>
            </w:r>
          </w:p>
        </w:tc>
        <w:tc>
          <w:tcPr>
            <w:tcW w:w="0" w:type="auto"/>
            <w:shd w:val="clear" w:color="auto" w:fill="auto"/>
          </w:tcPr>
          <w:p w14:paraId="5C7C6A02" w14:textId="77777777" w:rsidR="0008009C" w:rsidRDefault="0008009C">
            <w:pPr>
              <w:rPr>
                <w:rFonts w:ascii="宋体"/>
                <w:vanish/>
              </w:rPr>
            </w:pPr>
          </w:p>
        </w:tc>
      </w:tr>
      <w:tr w:rsidR="0008009C" w14:paraId="5C7C6A0E" w14:textId="77777777">
        <w:tc>
          <w:tcPr>
            <w:tcW w:w="0" w:type="auto"/>
            <w:gridSpan w:val="3"/>
            <w:shd w:val="clear" w:color="auto" w:fill="auto"/>
            <w:tcMar>
              <w:top w:w="40" w:type="dxa"/>
              <w:left w:w="20" w:type="dxa"/>
              <w:bottom w:w="40" w:type="dxa"/>
              <w:right w:w="20" w:type="dxa"/>
            </w:tcMar>
            <w:vAlign w:val="bottom"/>
          </w:tcPr>
          <w:p w14:paraId="5C7C6A04"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6A05"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A06"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tcBorders>
              <w:top w:val="single" w:sz="8" w:space="0" w:color="0068B5"/>
            </w:tcBorders>
            <w:shd w:val="clear" w:color="auto" w:fill="auto"/>
            <w:tcMar>
              <w:top w:w="0" w:type="dxa"/>
              <w:left w:w="20" w:type="dxa"/>
              <w:bottom w:w="0" w:type="dxa"/>
              <w:right w:w="20" w:type="dxa"/>
            </w:tcMar>
          </w:tcPr>
          <w:p w14:paraId="5C7C6A07"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A08" w14:textId="77777777" w:rsidR="0008009C" w:rsidRDefault="00936FDF">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5C7C6A09"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A0A"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tcBorders>
              <w:top w:val="single" w:sz="8" w:space="0" w:color="0068B5"/>
            </w:tcBorders>
            <w:shd w:val="clear" w:color="auto" w:fill="auto"/>
            <w:tcMar>
              <w:top w:w="0" w:type="dxa"/>
              <w:left w:w="20" w:type="dxa"/>
              <w:bottom w:w="0" w:type="dxa"/>
              <w:right w:w="20" w:type="dxa"/>
            </w:tcMar>
          </w:tcPr>
          <w:p w14:paraId="5C7C6A0B"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A0C" w14:textId="77777777" w:rsidR="0008009C" w:rsidRDefault="00936FDF">
            <w:pPr>
              <w:jc w:val="center"/>
              <w:textAlignment w:val="bottom"/>
            </w:pPr>
            <w:r>
              <w:rPr>
                <w:rFonts w:ascii="Arial" w:eastAsia="宋体" w:hAnsi="Arial" w:cs="Arial"/>
                <w:b/>
                <w:bCs/>
                <w:color w:val="262626"/>
                <w:sz w:val="18"/>
                <w:szCs w:val="18"/>
              </w:rPr>
              <w:t>Dec 26, 2020</w:t>
            </w:r>
          </w:p>
        </w:tc>
        <w:tc>
          <w:tcPr>
            <w:tcW w:w="0" w:type="auto"/>
            <w:shd w:val="clear" w:color="auto" w:fill="auto"/>
          </w:tcPr>
          <w:p w14:paraId="5C7C6A0D" w14:textId="77777777" w:rsidR="0008009C" w:rsidRDefault="0008009C">
            <w:pPr>
              <w:rPr>
                <w:rFonts w:ascii="宋体"/>
                <w:vanish/>
              </w:rPr>
            </w:pPr>
          </w:p>
        </w:tc>
      </w:tr>
      <w:tr w:rsidR="0008009C" w14:paraId="5C7C6A21"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6A0F" w14:textId="77777777" w:rsidR="0008009C" w:rsidRDefault="00936FDF">
            <w:pPr>
              <w:textAlignment w:val="top"/>
            </w:pPr>
            <w:r>
              <w:rPr>
                <w:rFonts w:ascii="Arial" w:eastAsia="宋体" w:hAnsi="Arial" w:cs="Arial"/>
                <w:color w:val="262626"/>
                <w:sz w:val="18"/>
                <w:szCs w:val="18"/>
              </w:rPr>
              <w:t>Long-term debt</w:t>
            </w:r>
          </w:p>
        </w:tc>
        <w:tc>
          <w:tcPr>
            <w:tcW w:w="0" w:type="auto"/>
            <w:gridSpan w:val="3"/>
            <w:shd w:val="clear" w:color="auto" w:fill="auto"/>
            <w:tcMar>
              <w:top w:w="0" w:type="dxa"/>
              <w:left w:w="20" w:type="dxa"/>
              <w:bottom w:w="0" w:type="dxa"/>
              <w:right w:w="20" w:type="dxa"/>
            </w:tcMar>
          </w:tcPr>
          <w:p w14:paraId="5C7C6A10"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A11"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A12" w14:textId="77777777" w:rsidR="0008009C" w:rsidRDefault="00936FDF">
            <w:pPr>
              <w:jc w:val="right"/>
              <w:textAlignment w:val="bottom"/>
            </w:pPr>
            <w:r>
              <w:rPr>
                <w:rFonts w:ascii="Arial" w:eastAsia="宋体" w:hAnsi="Arial" w:cs="Arial"/>
                <w:color w:val="0068B5"/>
                <w:sz w:val="18"/>
                <w:szCs w:val="18"/>
              </w:rPr>
              <w:t>(12,983)</w:t>
            </w:r>
          </w:p>
        </w:tc>
        <w:tc>
          <w:tcPr>
            <w:tcW w:w="0" w:type="auto"/>
            <w:tcBorders>
              <w:top w:val="single" w:sz="8" w:space="0" w:color="0068B5"/>
            </w:tcBorders>
            <w:shd w:val="clear" w:color="auto" w:fill="auto"/>
            <w:tcMar>
              <w:top w:w="40" w:type="dxa"/>
              <w:left w:w="0" w:type="dxa"/>
              <w:bottom w:w="40" w:type="dxa"/>
              <w:right w:w="20" w:type="dxa"/>
            </w:tcMar>
            <w:vAlign w:val="bottom"/>
          </w:tcPr>
          <w:p w14:paraId="5C7C6A1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A14"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A15" w14:textId="77777777" w:rsidR="0008009C" w:rsidRDefault="00936FDF">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A16" w14:textId="77777777" w:rsidR="0008009C" w:rsidRDefault="00936FDF">
            <w:pPr>
              <w:jc w:val="right"/>
              <w:textAlignment w:val="bottom"/>
            </w:pPr>
            <w:r>
              <w:rPr>
                <w:rFonts w:ascii="Arial" w:eastAsia="宋体" w:hAnsi="Arial" w:cs="Arial"/>
                <w:color w:val="262626"/>
                <w:sz w:val="18"/>
                <w:szCs w:val="18"/>
              </w:rPr>
              <w:t>(13,495)</w:t>
            </w:r>
          </w:p>
        </w:tc>
        <w:tc>
          <w:tcPr>
            <w:tcW w:w="0" w:type="auto"/>
            <w:tcBorders>
              <w:top w:val="single" w:sz="8" w:space="0" w:color="0068B5"/>
            </w:tcBorders>
            <w:shd w:val="clear" w:color="auto" w:fill="auto"/>
            <w:tcMar>
              <w:top w:w="40" w:type="dxa"/>
              <w:left w:w="0" w:type="dxa"/>
              <w:bottom w:w="40" w:type="dxa"/>
              <w:right w:w="20" w:type="dxa"/>
            </w:tcMar>
            <w:vAlign w:val="bottom"/>
          </w:tcPr>
          <w:p w14:paraId="5C7C6A1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A18"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A19"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A1A" w14:textId="77777777" w:rsidR="0008009C" w:rsidRDefault="00936FDF">
            <w:pPr>
              <w:jc w:val="right"/>
              <w:textAlignment w:val="bottom"/>
            </w:pPr>
            <w:r>
              <w:rPr>
                <w:rFonts w:ascii="Arial" w:eastAsia="宋体" w:hAnsi="Arial" w:cs="Arial"/>
                <w:color w:val="0068B5"/>
                <w:sz w:val="18"/>
                <w:szCs w:val="18"/>
              </w:rPr>
              <w:t>(986)</w:t>
            </w:r>
          </w:p>
        </w:tc>
        <w:tc>
          <w:tcPr>
            <w:tcW w:w="0" w:type="auto"/>
            <w:tcBorders>
              <w:top w:val="single" w:sz="8" w:space="0" w:color="0068B5"/>
            </w:tcBorders>
            <w:shd w:val="clear" w:color="auto" w:fill="auto"/>
            <w:tcMar>
              <w:top w:w="40" w:type="dxa"/>
              <w:left w:w="0" w:type="dxa"/>
              <w:bottom w:w="40" w:type="dxa"/>
              <w:right w:w="20" w:type="dxa"/>
            </w:tcMar>
            <w:vAlign w:val="bottom"/>
          </w:tcPr>
          <w:p w14:paraId="5C7C6A1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A1C"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A1D" w14:textId="77777777" w:rsidR="0008009C" w:rsidRDefault="00936FDF">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A1E" w14:textId="77777777" w:rsidR="0008009C" w:rsidRDefault="00936FDF">
            <w:pPr>
              <w:jc w:val="right"/>
              <w:textAlignment w:val="bottom"/>
            </w:pPr>
            <w:r>
              <w:rPr>
                <w:rFonts w:ascii="Arial" w:eastAsia="宋体" w:hAnsi="Arial" w:cs="Arial"/>
                <w:color w:val="262626"/>
                <w:sz w:val="18"/>
                <w:szCs w:val="18"/>
              </w:rPr>
              <w:t>(1,498)</w:t>
            </w:r>
          </w:p>
        </w:tc>
        <w:tc>
          <w:tcPr>
            <w:tcW w:w="0" w:type="auto"/>
            <w:tcBorders>
              <w:top w:val="single" w:sz="8" w:space="0" w:color="0068B5"/>
            </w:tcBorders>
            <w:shd w:val="clear" w:color="auto" w:fill="auto"/>
            <w:tcMar>
              <w:top w:w="40" w:type="dxa"/>
              <w:left w:w="0" w:type="dxa"/>
              <w:bottom w:w="40" w:type="dxa"/>
              <w:right w:w="20" w:type="dxa"/>
            </w:tcMar>
            <w:vAlign w:val="bottom"/>
          </w:tcPr>
          <w:p w14:paraId="5C7C6A1F" w14:textId="77777777" w:rsidR="0008009C" w:rsidRDefault="0008009C">
            <w:pPr>
              <w:jc w:val="right"/>
              <w:rPr>
                <w:rFonts w:ascii="宋体"/>
              </w:rPr>
            </w:pPr>
          </w:p>
        </w:tc>
        <w:tc>
          <w:tcPr>
            <w:tcW w:w="0" w:type="auto"/>
            <w:shd w:val="clear" w:color="auto" w:fill="auto"/>
          </w:tcPr>
          <w:p w14:paraId="5C7C6A20" w14:textId="77777777" w:rsidR="0008009C" w:rsidRDefault="0008009C">
            <w:pPr>
              <w:rPr>
                <w:rFonts w:ascii="宋体"/>
                <w:vanish/>
              </w:rPr>
            </w:pPr>
          </w:p>
        </w:tc>
      </w:tr>
    </w:tbl>
    <w:p w14:paraId="5C7C6A22" w14:textId="77777777" w:rsidR="0008009C" w:rsidRDefault="00936FDF">
      <w:pPr>
        <w:spacing w:before="300" w:after="180"/>
      </w:pPr>
      <w:r>
        <w:rPr>
          <w:rFonts w:ascii="Arial" w:eastAsia="宋体" w:hAnsi="Arial" w:cs="Arial"/>
          <w:color w:val="262626"/>
          <w:sz w:val="18"/>
          <w:szCs w:val="18"/>
        </w:rPr>
        <w:t xml:space="preserve">The total notional amount of pay-variable and receive-fixed interest rate swaps was $12.0 billion as </w:t>
      </w:r>
      <w:r>
        <w:rPr>
          <w:rFonts w:ascii="Arial" w:eastAsia="宋体" w:hAnsi="Arial" w:cs="Arial"/>
          <w:color w:val="262626"/>
          <w:sz w:val="18"/>
          <w:szCs w:val="18"/>
        </w:rPr>
        <w:t>of March 27, 2021 and as of December 26, 2020.</w:t>
      </w:r>
    </w:p>
    <w:p w14:paraId="5C7C6A23" w14:textId="77777777" w:rsidR="0008009C" w:rsidRDefault="00936FDF">
      <w:pPr>
        <w:spacing w:after="180"/>
      </w:pPr>
      <w:r>
        <w:rPr>
          <w:rFonts w:ascii="Arial" w:eastAsia="宋体" w:hAnsi="Arial" w:cs="Arial"/>
          <w:color w:val="0068B5"/>
        </w:rPr>
        <w:t>Derivatives Not Designated as Hedging Instruments</w:t>
      </w:r>
    </w:p>
    <w:p w14:paraId="5C7C6A24" w14:textId="77777777" w:rsidR="0008009C" w:rsidRDefault="00936FDF">
      <w:pPr>
        <w:spacing w:after="120"/>
      </w:pPr>
      <w:r>
        <w:rPr>
          <w:rFonts w:ascii="Arial" w:eastAsia="宋体" w:hAnsi="Arial" w:cs="Arial"/>
          <w:color w:val="262626"/>
          <w:sz w:val="18"/>
          <w:szCs w:val="18"/>
        </w:rPr>
        <w:t xml:space="preserve">The effects of derivative instruments not designated as hedging instruments on the Consolidated Condensed Statements of Income for each period were as </w:t>
      </w:r>
      <w:r>
        <w:rPr>
          <w:rFonts w:ascii="Arial" w:eastAsia="宋体" w:hAnsi="Arial" w:cs="Arial"/>
          <w:color w:val="262626"/>
          <w:sz w:val="18"/>
          <w:szCs w:val="18"/>
        </w:rPr>
        <w:t>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1796"/>
        <w:gridCol w:w="36"/>
        <w:gridCol w:w="36"/>
        <w:gridCol w:w="36"/>
        <w:gridCol w:w="36"/>
        <w:gridCol w:w="37"/>
        <w:gridCol w:w="3883"/>
        <w:gridCol w:w="36"/>
        <w:gridCol w:w="36"/>
        <w:gridCol w:w="36"/>
        <w:gridCol w:w="36"/>
        <w:gridCol w:w="121"/>
        <w:gridCol w:w="791"/>
        <w:gridCol w:w="36"/>
        <w:gridCol w:w="36"/>
        <w:gridCol w:w="36"/>
        <w:gridCol w:w="36"/>
        <w:gridCol w:w="121"/>
        <w:gridCol w:w="791"/>
        <w:gridCol w:w="36"/>
        <w:gridCol w:w="36"/>
        <w:gridCol w:w="36"/>
        <w:gridCol w:w="36"/>
        <w:gridCol w:w="36"/>
        <w:gridCol w:w="36"/>
        <w:gridCol w:w="36"/>
        <w:gridCol w:w="36"/>
        <w:gridCol w:w="36"/>
      </w:tblGrid>
      <w:tr w:rsidR="0008009C" w14:paraId="5C7C6A3E" w14:textId="77777777">
        <w:tc>
          <w:tcPr>
            <w:tcW w:w="50" w:type="pct"/>
            <w:shd w:val="clear" w:color="auto" w:fill="auto"/>
          </w:tcPr>
          <w:p w14:paraId="5C7C6A25" w14:textId="77777777" w:rsidR="0008009C" w:rsidRDefault="0008009C">
            <w:pPr>
              <w:rPr>
                <w:rFonts w:ascii="宋体"/>
              </w:rPr>
            </w:pPr>
          </w:p>
        </w:tc>
        <w:tc>
          <w:tcPr>
            <w:tcW w:w="1140" w:type="pct"/>
            <w:shd w:val="clear" w:color="auto" w:fill="auto"/>
          </w:tcPr>
          <w:p w14:paraId="5C7C6A26" w14:textId="77777777" w:rsidR="0008009C" w:rsidRDefault="0008009C">
            <w:pPr>
              <w:rPr>
                <w:rFonts w:ascii="宋体"/>
              </w:rPr>
            </w:pPr>
          </w:p>
        </w:tc>
        <w:tc>
          <w:tcPr>
            <w:tcW w:w="5" w:type="pct"/>
            <w:shd w:val="clear" w:color="auto" w:fill="auto"/>
          </w:tcPr>
          <w:p w14:paraId="5C7C6A27" w14:textId="77777777" w:rsidR="0008009C" w:rsidRDefault="0008009C">
            <w:pPr>
              <w:rPr>
                <w:rFonts w:ascii="宋体"/>
              </w:rPr>
            </w:pPr>
          </w:p>
        </w:tc>
        <w:tc>
          <w:tcPr>
            <w:tcW w:w="5" w:type="pct"/>
            <w:shd w:val="clear" w:color="auto" w:fill="auto"/>
          </w:tcPr>
          <w:p w14:paraId="5C7C6A28" w14:textId="77777777" w:rsidR="0008009C" w:rsidRDefault="0008009C">
            <w:pPr>
              <w:rPr>
                <w:rFonts w:ascii="宋体"/>
              </w:rPr>
            </w:pPr>
          </w:p>
        </w:tc>
        <w:tc>
          <w:tcPr>
            <w:tcW w:w="24" w:type="pct"/>
            <w:shd w:val="clear" w:color="auto" w:fill="auto"/>
          </w:tcPr>
          <w:p w14:paraId="5C7C6A29" w14:textId="77777777" w:rsidR="0008009C" w:rsidRDefault="0008009C">
            <w:pPr>
              <w:rPr>
                <w:rFonts w:ascii="宋体"/>
              </w:rPr>
            </w:pPr>
          </w:p>
        </w:tc>
        <w:tc>
          <w:tcPr>
            <w:tcW w:w="5" w:type="pct"/>
            <w:shd w:val="clear" w:color="auto" w:fill="auto"/>
          </w:tcPr>
          <w:p w14:paraId="5C7C6A2A" w14:textId="77777777" w:rsidR="0008009C" w:rsidRDefault="0008009C">
            <w:pPr>
              <w:rPr>
                <w:rFonts w:ascii="宋体"/>
              </w:rPr>
            </w:pPr>
          </w:p>
        </w:tc>
        <w:tc>
          <w:tcPr>
            <w:tcW w:w="50" w:type="pct"/>
            <w:shd w:val="clear" w:color="auto" w:fill="auto"/>
          </w:tcPr>
          <w:p w14:paraId="5C7C6A2B" w14:textId="77777777" w:rsidR="0008009C" w:rsidRDefault="0008009C">
            <w:pPr>
              <w:rPr>
                <w:rFonts w:ascii="宋体"/>
              </w:rPr>
            </w:pPr>
          </w:p>
        </w:tc>
        <w:tc>
          <w:tcPr>
            <w:tcW w:w="2458" w:type="pct"/>
            <w:shd w:val="clear" w:color="auto" w:fill="auto"/>
          </w:tcPr>
          <w:p w14:paraId="5C7C6A2C" w14:textId="77777777" w:rsidR="0008009C" w:rsidRDefault="0008009C">
            <w:pPr>
              <w:rPr>
                <w:rFonts w:ascii="宋体"/>
              </w:rPr>
            </w:pPr>
          </w:p>
        </w:tc>
        <w:tc>
          <w:tcPr>
            <w:tcW w:w="5" w:type="pct"/>
            <w:shd w:val="clear" w:color="auto" w:fill="auto"/>
          </w:tcPr>
          <w:p w14:paraId="5C7C6A2D" w14:textId="77777777" w:rsidR="0008009C" w:rsidRDefault="0008009C">
            <w:pPr>
              <w:rPr>
                <w:rFonts w:ascii="宋体"/>
              </w:rPr>
            </w:pPr>
          </w:p>
        </w:tc>
        <w:tc>
          <w:tcPr>
            <w:tcW w:w="5" w:type="pct"/>
            <w:shd w:val="clear" w:color="auto" w:fill="auto"/>
          </w:tcPr>
          <w:p w14:paraId="5C7C6A2E" w14:textId="77777777" w:rsidR="0008009C" w:rsidRDefault="0008009C">
            <w:pPr>
              <w:rPr>
                <w:rFonts w:ascii="宋体"/>
              </w:rPr>
            </w:pPr>
          </w:p>
        </w:tc>
        <w:tc>
          <w:tcPr>
            <w:tcW w:w="24" w:type="pct"/>
            <w:shd w:val="clear" w:color="auto" w:fill="auto"/>
          </w:tcPr>
          <w:p w14:paraId="5C7C6A2F" w14:textId="77777777" w:rsidR="0008009C" w:rsidRDefault="0008009C">
            <w:pPr>
              <w:rPr>
                <w:rFonts w:ascii="宋体"/>
              </w:rPr>
            </w:pPr>
          </w:p>
        </w:tc>
        <w:tc>
          <w:tcPr>
            <w:tcW w:w="5" w:type="pct"/>
            <w:shd w:val="clear" w:color="auto" w:fill="auto"/>
          </w:tcPr>
          <w:p w14:paraId="5C7C6A30" w14:textId="77777777" w:rsidR="0008009C" w:rsidRDefault="0008009C">
            <w:pPr>
              <w:rPr>
                <w:rFonts w:ascii="宋体"/>
              </w:rPr>
            </w:pPr>
          </w:p>
        </w:tc>
        <w:tc>
          <w:tcPr>
            <w:tcW w:w="50" w:type="pct"/>
            <w:shd w:val="clear" w:color="auto" w:fill="auto"/>
          </w:tcPr>
          <w:p w14:paraId="5C7C6A31" w14:textId="77777777" w:rsidR="0008009C" w:rsidRDefault="0008009C">
            <w:pPr>
              <w:rPr>
                <w:rFonts w:ascii="宋体"/>
              </w:rPr>
            </w:pPr>
          </w:p>
        </w:tc>
        <w:tc>
          <w:tcPr>
            <w:tcW w:w="539" w:type="pct"/>
            <w:shd w:val="clear" w:color="auto" w:fill="auto"/>
          </w:tcPr>
          <w:p w14:paraId="5C7C6A32" w14:textId="77777777" w:rsidR="0008009C" w:rsidRDefault="0008009C">
            <w:pPr>
              <w:rPr>
                <w:rFonts w:ascii="宋体"/>
              </w:rPr>
            </w:pPr>
          </w:p>
        </w:tc>
        <w:tc>
          <w:tcPr>
            <w:tcW w:w="5" w:type="pct"/>
            <w:shd w:val="clear" w:color="auto" w:fill="auto"/>
          </w:tcPr>
          <w:p w14:paraId="5C7C6A33" w14:textId="77777777" w:rsidR="0008009C" w:rsidRDefault="0008009C">
            <w:pPr>
              <w:rPr>
                <w:rFonts w:ascii="宋体"/>
              </w:rPr>
            </w:pPr>
          </w:p>
        </w:tc>
        <w:tc>
          <w:tcPr>
            <w:tcW w:w="5" w:type="pct"/>
            <w:shd w:val="clear" w:color="auto" w:fill="auto"/>
          </w:tcPr>
          <w:p w14:paraId="5C7C6A34" w14:textId="77777777" w:rsidR="0008009C" w:rsidRDefault="0008009C">
            <w:pPr>
              <w:rPr>
                <w:rFonts w:ascii="宋体"/>
              </w:rPr>
            </w:pPr>
          </w:p>
        </w:tc>
        <w:tc>
          <w:tcPr>
            <w:tcW w:w="24" w:type="pct"/>
            <w:shd w:val="clear" w:color="auto" w:fill="auto"/>
          </w:tcPr>
          <w:p w14:paraId="5C7C6A35" w14:textId="77777777" w:rsidR="0008009C" w:rsidRDefault="0008009C">
            <w:pPr>
              <w:rPr>
                <w:rFonts w:ascii="宋体"/>
              </w:rPr>
            </w:pPr>
          </w:p>
        </w:tc>
        <w:tc>
          <w:tcPr>
            <w:tcW w:w="5" w:type="pct"/>
            <w:shd w:val="clear" w:color="auto" w:fill="auto"/>
          </w:tcPr>
          <w:p w14:paraId="5C7C6A36" w14:textId="77777777" w:rsidR="0008009C" w:rsidRDefault="0008009C">
            <w:pPr>
              <w:rPr>
                <w:rFonts w:ascii="宋体"/>
              </w:rPr>
            </w:pPr>
          </w:p>
        </w:tc>
        <w:tc>
          <w:tcPr>
            <w:tcW w:w="50" w:type="pct"/>
            <w:shd w:val="clear" w:color="auto" w:fill="auto"/>
          </w:tcPr>
          <w:p w14:paraId="5C7C6A37" w14:textId="77777777" w:rsidR="0008009C" w:rsidRDefault="0008009C">
            <w:pPr>
              <w:rPr>
                <w:rFonts w:ascii="宋体"/>
              </w:rPr>
            </w:pPr>
          </w:p>
        </w:tc>
        <w:tc>
          <w:tcPr>
            <w:tcW w:w="539" w:type="pct"/>
            <w:shd w:val="clear" w:color="auto" w:fill="auto"/>
          </w:tcPr>
          <w:p w14:paraId="5C7C6A38" w14:textId="77777777" w:rsidR="0008009C" w:rsidRDefault="0008009C">
            <w:pPr>
              <w:rPr>
                <w:rFonts w:ascii="宋体"/>
              </w:rPr>
            </w:pPr>
          </w:p>
        </w:tc>
        <w:tc>
          <w:tcPr>
            <w:tcW w:w="5" w:type="pct"/>
            <w:shd w:val="clear" w:color="auto" w:fill="auto"/>
          </w:tcPr>
          <w:p w14:paraId="5C7C6A39" w14:textId="77777777" w:rsidR="0008009C" w:rsidRDefault="0008009C">
            <w:pPr>
              <w:rPr>
                <w:rFonts w:ascii="宋体"/>
              </w:rPr>
            </w:pPr>
          </w:p>
        </w:tc>
        <w:tc>
          <w:tcPr>
            <w:tcW w:w="0" w:type="auto"/>
            <w:shd w:val="clear" w:color="auto" w:fill="auto"/>
          </w:tcPr>
          <w:p w14:paraId="5C7C6A3A" w14:textId="77777777" w:rsidR="0008009C" w:rsidRDefault="0008009C">
            <w:pPr>
              <w:rPr>
                <w:rFonts w:ascii="宋体"/>
                <w:vanish/>
              </w:rPr>
            </w:pPr>
          </w:p>
        </w:tc>
        <w:tc>
          <w:tcPr>
            <w:tcW w:w="0" w:type="auto"/>
            <w:shd w:val="clear" w:color="auto" w:fill="auto"/>
          </w:tcPr>
          <w:p w14:paraId="5C7C6A3B" w14:textId="77777777" w:rsidR="0008009C" w:rsidRDefault="0008009C">
            <w:pPr>
              <w:rPr>
                <w:rFonts w:ascii="宋体"/>
                <w:vanish/>
              </w:rPr>
            </w:pPr>
          </w:p>
        </w:tc>
        <w:tc>
          <w:tcPr>
            <w:tcW w:w="0" w:type="auto"/>
            <w:gridSpan w:val="3"/>
            <w:shd w:val="clear" w:color="auto" w:fill="auto"/>
          </w:tcPr>
          <w:p w14:paraId="5C7C6A3C" w14:textId="77777777" w:rsidR="0008009C" w:rsidRDefault="0008009C">
            <w:pPr>
              <w:rPr>
                <w:rFonts w:ascii="宋体"/>
                <w:vanish/>
              </w:rPr>
            </w:pPr>
          </w:p>
        </w:tc>
        <w:tc>
          <w:tcPr>
            <w:tcW w:w="0" w:type="auto"/>
            <w:gridSpan w:val="3"/>
            <w:shd w:val="clear" w:color="auto" w:fill="auto"/>
          </w:tcPr>
          <w:p w14:paraId="5C7C6A3D" w14:textId="77777777" w:rsidR="0008009C" w:rsidRDefault="0008009C">
            <w:pPr>
              <w:rPr>
                <w:rFonts w:ascii="宋体"/>
                <w:vanish/>
              </w:rPr>
            </w:pPr>
          </w:p>
        </w:tc>
      </w:tr>
      <w:tr w:rsidR="0008009C" w14:paraId="5C7C6A4C" w14:textId="77777777">
        <w:tc>
          <w:tcPr>
            <w:tcW w:w="0" w:type="auto"/>
            <w:gridSpan w:val="3"/>
            <w:shd w:val="clear" w:color="auto" w:fill="auto"/>
            <w:tcMar>
              <w:top w:w="40" w:type="dxa"/>
              <w:left w:w="20" w:type="dxa"/>
              <w:bottom w:w="40" w:type="dxa"/>
              <w:right w:w="20" w:type="dxa"/>
            </w:tcMar>
            <w:vAlign w:val="bottom"/>
          </w:tcPr>
          <w:p w14:paraId="5C7C6A3F" w14:textId="77777777" w:rsidR="0008009C" w:rsidRDefault="00936FDF">
            <w:pPr>
              <w:ind w:hanging="180"/>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tcPr>
          <w:p w14:paraId="5C7C6A40"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A41" w14:textId="77777777" w:rsidR="0008009C" w:rsidRDefault="00936FDF">
            <w:pPr>
              <w:ind w:hanging="180"/>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tcPr>
          <w:p w14:paraId="5C7C6A42"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bottom"/>
          </w:tcPr>
          <w:p w14:paraId="5C7C6A43" w14:textId="77777777" w:rsidR="0008009C" w:rsidRDefault="00936FDF">
            <w:pPr>
              <w:jc w:val="center"/>
              <w:textAlignment w:val="bottom"/>
            </w:pPr>
            <w:r>
              <w:rPr>
                <w:rFonts w:ascii="Arial" w:eastAsia="宋体" w:hAnsi="Arial" w:cs="Arial"/>
                <w:b/>
                <w:bCs/>
                <w:color w:val="262626"/>
                <w:sz w:val="18"/>
                <w:szCs w:val="18"/>
              </w:rPr>
              <w:t>Three Months Ended</w:t>
            </w:r>
          </w:p>
        </w:tc>
        <w:tc>
          <w:tcPr>
            <w:tcW w:w="0" w:type="auto"/>
            <w:shd w:val="clear" w:color="auto" w:fill="auto"/>
          </w:tcPr>
          <w:p w14:paraId="5C7C6A44" w14:textId="77777777" w:rsidR="0008009C" w:rsidRDefault="0008009C">
            <w:pPr>
              <w:rPr>
                <w:rFonts w:ascii="宋体"/>
                <w:vanish/>
              </w:rPr>
            </w:pPr>
          </w:p>
        </w:tc>
        <w:tc>
          <w:tcPr>
            <w:tcW w:w="0" w:type="auto"/>
            <w:shd w:val="clear" w:color="auto" w:fill="auto"/>
          </w:tcPr>
          <w:p w14:paraId="5C7C6A45" w14:textId="77777777" w:rsidR="0008009C" w:rsidRDefault="0008009C">
            <w:pPr>
              <w:rPr>
                <w:rFonts w:ascii="宋体"/>
                <w:vanish/>
              </w:rPr>
            </w:pPr>
          </w:p>
        </w:tc>
        <w:tc>
          <w:tcPr>
            <w:tcW w:w="0" w:type="auto"/>
            <w:shd w:val="clear" w:color="auto" w:fill="auto"/>
          </w:tcPr>
          <w:p w14:paraId="5C7C6A46" w14:textId="77777777" w:rsidR="0008009C" w:rsidRDefault="0008009C">
            <w:pPr>
              <w:rPr>
                <w:rFonts w:ascii="宋体"/>
              </w:rPr>
            </w:pPr>
          </w:p>
        </w:tc>
        <w:tc>
          <w:tcPr>
            <w:tcW w:w="0" w:type="auto"/>
            <w:shd w:val="clear" w:color="auto" w:fill="auto"/>
          </w:tcPr>
          <w:p w14:paraId="5C7C6A47" w14:textId="77777777" w:rsidR="0008009C" w:rsidRDefault="0008009C">
            <w:pPr>
              <w:rPr>
                <w:rFonts w:ascii="宋体"/>
              </w:rPr>
            </w:pPr>
          </w:p>
        </w:tc>
        <w:tc>
          <w:tcPr>
            <w:tcW w:w="0" w:type="auto"/>
            <w:shd w:val="clear" w:color="auto" w:fill="auto"/>
          </w:tcPr>
          <w:p w14:paraId="5C7C6A48" w14:textId="77777777" w:rsidR="0008009C" w:rsidRDefault="0008009C">
            <w:pPr>
              <w:rPr>
                <w:rFonts w:ascii="宋体"/>
              </w:rPr>
            </w:pPr>
          </w:p>
        </w:tc>
        <w:tc>
          <w:tcPr>
            <w:tcW w:w="0" w:type="auto"/>
            <w:shd w:val="clear" w:color="auto" w:fill="auto"/>
          </w:tcPr>
          <w:p w14:paraId="5C7C6A49" w14:textId="77777777" w:rsidR="0008009C" w:rsidRDefault="0008009C">
            <w:pPr>
              <w:rPr>
                <w:rFonts w:ascii="宋体"/>
              </w:rPr>
            </w:pPr>
          </w:p>
        </w:tc>
        <w:tc>
          <w:tcPr>
            <w:tcW w:w="0" w:type="auto"/>
            <w:shd w:val="clear" w:color="auto" w:fill="auto"/>
          </w:tcPr>
          <w:p w14:paraId="5C7C6A4A" w14:textId="77777777" w:rsidR="0008009C" w:rsidRDefault="0008009C">
            <w:pPr>
              <w:rPr>
                <w:rFonts w:ascii="宋体"/>
              </w:rPr>
            </w:pPr>
          </w:p>
        </w:tc>
        <w:tc>
          <w:tcPr>
            <w:tcW w:w="0" w:type="auto"/>
            <w:shd w:val="clear" w:color="auto" w:fill="auto"/>
          </w:tcPr>
          <w:p w14:paraId="5C7C6A4B" w14:textId="77777777" w:rsidR="0008009C" w:rsidRDefault="0008009C">
            <w:pPr>
              <w:rPr>
                <w:rFonts w:ascii="宋体"/>
              </w:rPr>
            </w:pPr>
          </w:p>
        </w:tc>
      </w:tr>
      <w:tr w:rsidR="0008009C" w14:paraId="5C7C6A59" w14:textId="77777777">
        <w:tc>
          <w:tcPr>
            <w:tcW w:w="0" w:type="auto"/>
            <w:gridSpan w:val="3"/>
            <w:shd w:val="clear" w:color="auto" w:fill="auto"/>
            <w:tcMar>
              <w:top w:w="40" w:type="dxa"/>
              <w:left w:w="20" w:type="dxa"/>
              <w:bottom w:w="40" w:type="dxa"/>
              <w:right w:w="20" w:type="dxa"/>
            </w:tcMar>
            <w:vAlign w:val="bottom"/>
          </w:tcPr>
          <w:p w14:paraId="5C7C6A4D" w14:textId="77777777" w:rsidR="0008009C" w:rsidRDefault="00936FDF">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6A4E"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A4F" w14:textId="77777777" w:rsidR="0008009C" w:rsidRDefault="00936FDF">
            <w:pPr>
              <w:ind w:hanging="180"/>
              <w:jc w:val="center"/>
              <w:textAlignment w:val="bottom"/>
            </w:pPr>
            <w:r>
              <w:rPr>
                <w:rFonts w:ascii="Arial" w:eastAsia="宋体" w:hAnsi="Arial" w:cs="Arial"/>
                <w:b/>
                <w:bCs/>
                <w:color w:val="262626"/>
                <w:sz w:val="18"/>
                <w:szCs w:val="18"/>
              </w:rPr>
              <w:t>Location of Gains (Losses)</w:t>
            </w:r>
          </w:p>
          <w:p w14:paraId="5C7C6A50" w14:textId="77777777" w:rsidR="0008009C" w:rsidRDefault="00936FDF">
            <w:pPr>
              <w:jc w:val="center"/>
              <w:textAlignment w:val="bottom"/>
            </w:pPr>
            <w:r>
              <w:rPr>
                <w:rFonts w:ascii="Arial" w:eastAsia="宋体" w:hAnsi="Arial" w:cs="Arial"/>
                <w:b/>
                <w:bCs/>
                <w:color w:val="262626"/>
                <w:sz w:val="18"/>
                <w:szCs w:val="18"/>
              </w:rPr>
              <w:t>Recognized in Income on Derivatives</w:t>
            </w:r>
          </w:p>
        </w:tc>
        <w:tc>
          <w:tcPr>
            <w:tcW w:w="0" w:type="auto"/>
            <w:gridSpan w:val="3"/>
            <w:shd w:val="clear" w:color="auto" w:fill="auto"/>
            <w:tcMar>
              <w:top w:w="0" w:type="dxa"/>
              <w:left w:w="20" w:type="dxa"/>
              <w:bottom w:w="0" w:type="dxa"/>
              <w:right w:w="20" w:type="dxa"/>
            </w:tcMar>
          </w:tcPr>
          <w:p w14:paraId="5C7C6A51"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A52"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tcBorders>
              <w:top w:val="single" w:sz="8" w:space="0" w:color="0068B5"/>
            </w:tcBorders>
            <w:shd w:val="clear" w:color="auto" w:fill="auto"/>
            <w:tcMar>
              <w:top w:w="0" w:type="dxa"/>
              <w:left w:w="20" w:type="dxa"/>
              <w:bottom w:w="0" w:type="dxa"/>
              <w:right w:w="20" w:type="dxa"/>
            </w:tcMar>
          </w:tcPr>
          <w:p w14:paraId="5C7C6A53"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A54" w14:textId="77777777" w:rsidR="0008009C" w:rsidRDefault="00936FDF">
            <w:pPr>
              <w:jc w:val="center"/>
              <w:textAlignment w:val="bottom"/>
            </w:pPr>
            <w:r>
              <w:rPr>
                <w:rFonts w:ascii="Arial" w:eastAsia="宋体" w:hAnsi="Arial" w:cs="Arial"/>
                <w:b/>
                <w:bCs/>
                <w:color w:val="262626"/>
                <w:sz w:val="18"/>
                <w:szCs w:val="18"/>
              </w:rPr>
              <w:t>Mar 28, 2020</w:t>
            </w:r>
          </w:p>
        </w:tc>
        <w:tc>
          <w:tcPr>
            <w:tcW w:w="0" w:type="auto"/>
            <w:shd w:val="clear" w:color="auto" w:fill="auto"/>
          </w:tcPr>
          <w:p w14:paraId="5C7C6A55" w14:textId="77777777" w:rsidR="0008009C" w:rsidRDefault="0008009C">
            <w:pPr>
              <w:rPr>
                <w:rFonts w:ascii="宋体"/>
                <w:vanish/>
              </w:rPr>
            </w:pPr>
          </w:p>
        </w:tc>
        <w:tc>
          <w:tcPr>
            <w:tcW w:w="0" w:type="auto"/>
            <w:shd w:val="clear" w:color="auto" w:fill="auto"/>
          </w:tcPr>
          <w:p w14:paraId="5C7C6A56" w14:textId="77777777" w:rsidR="0008009C" w:rsidRDefault="0008009C">
            <w:pPr>
              <w:rPr>
                <w:rFonts w:ascii="宋体"/>
                <w:vanish/>
              </w:rPr>
            </w:pPr>
          </w:p>
        </w:tc>
        <w:tc>
          <w:tcPr>
            <w:tcW w:w="0" w:type="auto"/>
            <w:gridSpan w:val="3"/>
            <w:shd w:val="clear" w:color="auto" w:fill="auto"/>
          </w:tcPr>
          <w:p w14:paraId="5C7C6A57" w14:textId="77777777" w:rsidR="0008009C" w:rsidRDefault="0008009C">
            <w:pPr>
              <w:rPr>
                <w:rFonts w:ascii="宋体"/>
                <w:vanish/>
              </w:rPr>
            </w:pPr>
          </w:p>
        </w:tc>
        <w:tc>
          <w:tcPr>
            <w:tcW w:w="0" w:type="auto"/>
            <w:gridSpan w:val="3"/>
            <w:shd w:val="clear" w:color="auto" w:fill="auto"/>
          </w:tcPr>
          <w:p w14:paraId="5C7C6A58" w14:textId="77777777" w:rsidR="0008009C" w:rsidRDefault="0008009C">
            <w:pPr>
              <w:rPr>
                <w:rFonts w:ascii="宋体"/>
                <w:vanish/>
              </w:rPr>
            </w:pPr>
          </w:p>
        </w:tc>
      </w:tr>
      <w:tr w:rsidR="0008009C" w14:paraId="5C7C6A69"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6A5A" w14:textId="77777777" w:rsidR="0008009C" w:rsidRDefault="00936FDF">
            <w:pPr>
              <w:ind w:hanging="180"/>
              <w:textAlignment w:val="top"/>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tcPr>
          <w:p w14:paraId="5C7C6A5B"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5C7C6A5C" w14:textId="77777777" w:rsidR="0008009C" w:rsidRDefault="00936FDF">
            <w:pPr>
              <w:ind w:hanging="180"/>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tcPr>
          <w:p w14:paraId="5C7C6A5D"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A5E"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A5F" w14:textId="77777777" w:rsidR="0008009C" w:rsidRDefault="00936FDF">
            <w:pPr>
              <w:jc w:val="right"/>
              <w:textAlignment w:val="bottom"/>
            </w:pPr>
            <w:r>
              <w:rPr>
                <w:rFonts w:ascii="Arial" w:eastAsia="宋体" w:hAnsi="Arial" w:cs="Arial"/>
                <w:color w:val="0068B5"/>
                <w:sz w:val="18"/>
                <w:szCs w:val="18"/>
              </w:rPr>
              <w:t>234 </w:t>
            </w:r>
          </w:p>
        </w:tc>
        <w:tc>
          <w:tcPr>
            <w:tcW w:w="0" w:type="auto"/>
            <w:tcBorders>
              <w:top w:val="single" w:sz="8" w:space="0" w:color="0068B5"/>
            </w:tcBorders>
            <w:shd w:val="clear" w:color="auto" w:fill="auto"/>
            <w:tcMar>
              <w:top w:w="40" w:type="dxa"/>
              <w:left w:w="0" w:type="dxa"/>
              <w:bottom w:w="40" w:type="dxa"/>
              <w:right w:w="20" w:type="dxa"/>
            </w:tcMar>
            <w:vAlign w:val="bottom"/>
          </w:tcPr>
          <w:p w14:paraId="5C7C6A6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A61"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6A62" w14:textId="77777777" w:rsidR="0008009C" w:rsidRDefault="00936FDF">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A63" w14:textId="77777777" w:rsidR="0008009C" w:rsidRDefault="00936FDF">
            <w:pPr>
              <w:jc w:val="right"/>
              <w:textAlignment w:val="bottom"/>
            </w:pPr>
            <w:r>
              <w:rPr>
                <w:rFonts w:ascii="Arial" w:eastAsia="宋体" w:hAnsi="Arial" w:cs="Arial"/>
                <w:color w:val="262626"/>
                <w:sz w:val="18"/>
                <w:szCs w:val="18"/>
              </w:rPr>
              <w:t>154 </w:t>
            </w:r>
          </w:p>
        </w:tc>
        <w:tc>
          <w:tcPr>
            <w:tcW w:w="0" w:type="auto"/>
            <w:tcBorders>
              <w:top w:val="single" w:sz="8" w:space="0" w:color="0068B5"/>
            </w:tcBorders>
            <w:shd w:val="clear" w:color="auto" w:fill="auto"/>
            <w:tcMar>
              <w:top w:w="40" w:type="dxa"/>
              <w:left w:w="0" w:type="dxa"/>
              <w:bottom w:w="40" w:type="dxa"/>
              <w:right w:w="20" w:type="dxa"/>
            </w:tcMar>
            <w:vAlign w:val="bottom"/>
          </w:tcPr>
          <w:p w14:paraId="5C7C6A64" w14:textId="77777777" w:rsidR="0008009C" w:rsidRDefault="0008009C">
            <w:pPr>
              <w:jc w:val="right"/>
              <w:rPr>
                <w:rFonts w:ascii="宋体"/>
              </w:rPr>
            </w:pPr>
          </w:p>
        </w:tc>
        <w:tc>
          <w:tcPr>
            <w:tcW w:w="0" w:type="auto"/>
            <w:shd w:val="clear" w:color="auto" w:fill="auto"/>
          </w:tcPr>
          <w:p w14:paraId="5C7C6A65" w14:textId="77777777" w:rsidR="0008009C" w:rsidRDefault="0008009C">
            <w:pPr>
              <w:rPr>
                <w:rFonts w:ascii="宋体"/>
                <w:vanish/>
              </w:rPr>
            </w:pPr>
          </w:p>
        </w:tc>
        <w:tc>
          <w:tcPr>
            <w:tcW w:w="0" w:type="auto"/>
            <w:shd w:val="clear" w:color="auto" w:fill="auto"/>
          </w:tcPr>
          <w:p w14:paraId="5C7C6A66" w14:textId="77777777" w:rsidR="0008009C" w:rsidRDefault="0008009C">
            <w:pPr>
              <w:rPr>
                <w:rFonts w:ascii="宋体"/>
                <w:vanish/>
              </w:rPr>
            </w:pPr>
          </w:p>
        </w:tc>
        <w:tc>
          <w:tcPr>
            <w:tcW w:w="0" w:type="auto"/>
            <w:gridSpan w:val="3"/>
            <w:shd w:val="clear" w:color="auto" w:fill="auto"/>
          </w:tcPr>
          <w:p w14:paraId="5C7C6A67" w14:textId="77777777" w:rsidR="0008009C" w:rsidRDefault="0008009C">
            <w:pPr>
              <w:rPr>
                <w:rFonts w:ascii="宋体"/>
                <w:vanish/>
              </w:rPr>
            </w:pPr>
          </w:p>
        </w:tc>
        <w:tc>
          <w:tcPr>
            <w:tcW w:w="0" w:type="auto"/>
            <w:gridSpan w:val="3"/>
            <w:shd w:val="clear" w:color="auto" w:fill="auto"/>
          </w:tcPr>
          <w:p w14:paraId="5C7C6A68" w14:textId="77777777" w:rsidR="0008009C" w:rsidRDefault="0008009C">
            <w:pPr>
              <w:rPr>
                <w:rFonts w:ascii="宋体"/>
                <w:vanish/>
              </w:rPr>
            </w:pPr>
          </w:p>
        </w:tc>
      </w:tr>
      <w:tr w:rsidR="0008009C" w14:paraId="5C7C6A77" w14:textId="77777777">
        <w:tc>
          <w:tcPr>
            <w:tcW w:w="0" w:type="auto"/>
            <w:gridSpan w:val="3"/>
            <w:shd w:val="clear" w:color="auto" w:fill="auto"/>
            <w:tcMar>
              <w:top w:w="40" w:type="dxa"/>
              <w:left w:w="20" w:type="dxa"/>
              <w:bottom w:w="40" w:type="dxa"/>
              <w:right w:w="20" w:type="dxa"/>
            </w:tcMar>
          </w:tcPr>
          <w:p w14:paraId="5C7C6A6A" w14:textId="77777777" w:rsidR="0008009C" w:rsidRDefault="00936FDF">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tcPr>
          <w:p w14:paraId="5C7C6A6B"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A6C" w14:textId="77777777" w:rsidR="0008009C" w:rsidRDefault="00936FDF">
            <w:pPr>
              <w:ind w:hanging="180"/>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tcPr>
          <w:p w14:paraId="5C7C6A6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A6E" w14:textId="77777777" w:rsidR="0008009C" w:rsidRDefault="00936FDF">
            <w:pPr>
              <w:jc w:val="right"/>
              <w:textAlignment w:val="bottom"/>
            </w:pPr>
            <w:r>
              <w:rPr>
                <w:rFonts w:ascii="Arial" w:eastAsia="宋体" w:hAnsi="Arial" w:cs="Arial"/>
                <w:color w:val="0068B5"/>
                <w:sz w:val="18"/>
                <w:szCs w:val="18"/>
              </w:rPr>
              <w:t>23 </w:t>
            </w:r>
          </w:p>
        </w:tc>
        <w:tc>
          <w:tcPr>
            <w:tcW w:w="0" w:type="auto"/>
            <w:shd w:val="clear" w:color="auto" w:fill="auto"/>
            <w:tcMar>
              <w:top w:w="40" w:type="dxa"/>
              <w:left w:w="0" w:type="dxa"/>
              <w:bottom w:w="40" w:type="dxa"/>
              <w:right w:w="20" w:type="dxa"/>
            </w:tcMar>
            <w:vAlign w:val="bottom"/>
          </w:tcPr>
          <w:p w14:paraId="5C7C6A6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A7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A71" w14:textId="77777777" w:rsidR="0008009C" w:rsidRDefault="00936FDF">
            <w:pPr>
              <w:jc w:val="right"/>
              <w:textAlignment w:val="bottom"/>
            </w:pPr>
            <w:r>
              <w:rPr>
                <w:rFonts w:ascii="Arial" w:eastAsia="宋体" w:hAnsi="Arial" w:cs="Arial"/>
                <w:color w:val="262626"/>
                <w:sz w:val="18"/>
                <w:szCs w:val="18"/>
              </w:rPr>
              <w:t>(77)</w:t>
            </w:r>
          </w:p>
        </w:tc>
        <w:tc>
          <w:tcPr>
            <w:tcW w:w="0" w:type="auto"/>
            <w:shd w:val="clear" w:color="auto" w:fill="auto"/>
            <w:tcMar>
              <w:top w:w="40" w:type="dxa"/>
              <w:left w:w="0" w:type="dxa"/>
              <w:bottom w:w="40" w:type="dxa"/>
              <w:right w:w="20" w:type="dxa"/>
            </w:tcMar>
            <w:vAlign w:val="bottom"/>
          </w:tcPr>
          <w:p w14:paraId="5C7C6A72" w14:textId="77777777" w:rsidR="0008009C" w:rsidRDefault="0008009C">
            <w:pPr>
              <w:jc w:val="right"/>
              <w:rPr>
                <w:rFonts w:ascii="宋体"/>
              </w:rPr>
            </w:pPr>
          </w:p>
        </w:tc>
        <w:tc>
          <w:tcPr>
            <w:tcW w:w="0" w:type="auto"/>
            <w:shd w:val="clear" w:color="auto" w:fill="auto"/>
          </w:tcPr>
          <w:p w14:paraId="5C7C6A73" w14:textId="77777777" w:rsidR="0008009C" w:rsidRDefault="0008009C">
            <w:pPr>
              <w:rPr>
                <w:rFonts w:ascii="宋体"/>
                <w:vanish/>
              </w:rPr>
            </w:pPr>
          </w:p>
        </w:tc>
        <w:tc>
          <w:tcPr>
            <w:tcW w:w="0" w:type="auto"/>
            <w:shd w:val="clear" w:color="auto" w:fill="auto"/>
          </w:tcPr>
          <w:p w14:paraId="5C7C6A74" w14:textId="77777777" w:rsidR="0008009C" w:rsidRDefault="0008009C">
            <w:pPr>
              <w:rPr>
                <w:rFonts w:ascii="宋体"/>
                <w:vanish/>
              </w:rPr>
            </w:pPr>
          </w:p>
        </w:tc>
        <w:tc>
          <w:tcPr>
            <w:tcW w:w="0" w:type="auto"/>
            <w:gridSpan w:val="3"/>
            <w:shd w:val="clear" w:color="auto" w:fill="auto"/>
          </w:tcPr>
          <w:p w14:paraId="5C7C6A75" w14:textId="77777777" w:rsidR="0008009C" w:rsidRDefault="0008009C">
            <w:pPr>
              <w:rPr>
                <w:rFonts w:ascii="宋体"/>
                <w:vanish/>
              </w:rPr>
            </w:pPr>
          </w:p>
        </w:tc>
        <w:tc>
          <w:tcPr>
            <w:tcW w:w="0" w:type="auto"/>
            <w:gridSpan w:val="3"/>
            <w:shd w:val="clear" w:color="auto" w:fill="auto"/>
          </w:tcPr>
          <w:p w14:paraId="5C7C6A76" w14:textId="77777777" w:rsidR="0008009C" w:rsidRDefault="0008009C">
            <w:pPr>
              <w:rPr>
                <w:rFonts w:ascii="宋体"/>
                <w:vanish/>
              </w:rPr>
            </w:pPr>
          </w:p>
        </w:tc>
      </w:tr>
      <w:tr w:rsidR="0008009C" w14:paraId="5C7C6A85" w14:textId="77777777">
        <w:tc>
          <w:tcPr>
            <w:tcW w:w="0" w:type="auto"/>
            <w:gridSpan w:val="3"/>
            <w:shd w:val="clear" w:color="auto" w:fill="auto"/>
            <w:tcMar>
              <w:top w:w="40" w:type="dxa"/>
              <w:left w:w="20" w:type="dxa"/>
              <w:bottom w:w="40" w:type="dxa"/>
              <w:right w:w="20" w:type="dxa"/>
            </w:tcMar>
          </w:tcPr>
          <w:p w14:paraId="5C7C6A78" w14:textId="77777777" w:rsidR="0008009C" w:rsidRDefault="00936FDF">
            <w:pPr>
              <w:ind w:hanging="180"/>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tcPr>
          <w:p w14:paraId="5C7C6A79"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A7A" w14:textId="77777777" w:rsidR="0008009C" w:rsidRDefault="00936FDF">
            <w:pPr>
              <w:ind w:hanging="180"/>
              <w:textAlignment w:val="top"/>
            </w:pPr>
            <w:r>
              <w:rPr>
                <w:rFonts w:ascii="Arial" w:eastAsia="宋体" w:hAnsi="Arial" w:cs="Arial"/>
                <w:color w:val="262626"/>
                <w:sz w:val="18"/>
                <w:szCs w:val="18"/>
              </w:rPr>
              <w:t>Various</w:t>
            </w:r>
          </w:p>
        </w:tc>
        <w:tc>
          <w:tcPr>
            <w:tcW w:w="0" w:type="auto"/>
            <w:gridSpan w:val="3"/>
            <w:shd w:val="clear" w:color="auto" w:fill="auto"/>
            <w:tcMar>
              <w:top w:w="0" w:type="dxa"/>
              <w:left w:w="20" w:type="dxa"/>
              <w:bottom w:w="0" w:type="dxa"/>
              <w:right w:w="20" w:type="dxa"/>
            </w:tcMar>
          </w:tcPr>
          <w:p w14:paraId="5C7C6A7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A7C" w14:textId="77777777" w:rsidR="0008009C" w:rsidRDefault="00936FDF">
            <w:pPr>
              <w:jc w:val="right"/>
              <w:textAlignment w:val="bottom"/>
            </w:pPr>
            <w:r>
              <w:rPr>
                <w:rFonts w:ascii="Arial" w:eastAsia="宋体" w:hAnsi="Arial" w:cs="Arial"/>
                <w:color w:val="0068B5"/>
                <w:sz w:val="18"/>
                <w:szCs w:val="18"/>
              </w:rPr>
              <w:t>55 </w:t>
            </w:r>
          </w:p>
        </w:tc>
        <w:tc>
          <w:tcPr>
            <w:tcW w:w="0" w:type="auto"/>
            <w:shd w:val="clear" w:color="auto" w:fill="auto"/>
            <w:tcMar>
              <w:top w:w="40" w:type="dxa"/>
              <w:left w:w="0" w:type="dxa"/>
              <w:bottom w:w="40" w:type="dxa"/>
              <w:right w:w="20" w:type="dxa"/>
            </w:tcMar>
            <w:vAlign w:val="bottom"/>
          </w:tcPr>
          <w:p w14:paraId="5C7C6A7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A7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6A7F" w14:textId="77777777" w:rsidR="0008009C" w:rsidRDefault="00936FDF">
            <w:pPr>
              <w:jc w:val="right"/>
              <w:textAlignment w:val="bottom"/>
            </w:pPr>
            <w:r>
              <w:rPr>
                <w:rFonts w:ascii="Arial" w:eastAsia="宋体" w:hAnsi="Arial" w:cs="Arial"/>
                <w:color w:val="262626"/>
                <w:sz w:val="18"/>
                <w:szCs w:val="18"/>
              </w:rPr>
              <w:t>(268)</w:t>
            </w:r>
          </w:p>
        </w:tc>
        <w:tc>
          <w:tcPr>
            <w:tcW w:w="0" w:type="auto"/>
            <w:shd w:val="clear" w:color="auto" w:fill="auto"/>
            <w:tcMar>
              <w:top w:w="40" w:type="dxa"/>
              <w:left w:w="0" w:type="dxa"/>
              <w:bottom w:w="40" w:type="dxa"/>
              <w:right w:w="20" w:type="dxa"/>
            </w:tcMar>
            <w:vAlign w:val="bottom"/>
          </w:tcPr>
          <w:p w14:paraId="5C7C6A80" w14:textId="77777777" w:rsidR="0008009C" w:rsidRDefault="0008009C">
            <w:pPr>
              <w:jc w:val="right"/>
              <w:rPr>
                <w:rFonts w:ascii="宋体"/>
              </w:rPr>
            </w:pPr>
          </w:p>
        </w:tc>
        <w:tc>
          <w:tcPr>
            <w:tcW w:w="0" w:type="auto"/>
            <w:shd w:val="clear" w:color="auto" w:fill="auto"/>
          </w:tcPr>
          <w:p w14:paraId="5C7C6A81" w14:textId="77777777" w:rsidR="0008009C" w:rsidRDefault="0008009C">
            <w:pPr>
              <w:rPr>
                <w:rFonts w:ascii="宋体"/>
                <w:vanish/>
              </w:rPr>
            </w:pPr>
          </w:p>
        </w:tc>
        <w:tc>
          <w:tcPr>
            <w:tcW w:w="0" w:type="auto"/>
            <w:shd w:val="clear" w:color="auto" w:fill="auto"/>
          </w:tcPr>
          <w:p w14:paraId="5C7C6A82" w14:textId="77777777" w:rsidR="0008009C" w:rsidRDefault="0008009C">
            <w:pPr>
              <w:rPr>
                <w:rFonts w:ascii="宋体"/>
                <w:vanish/>
              </w:rPr>
            </w:pPr>
          </w:p>
        </w:tc>
        <w:tc>
          <w:tcPr>
            <w:tcW w:w="0" w:type="auto"/>
            <w:gridSpan w:val="3"/>
            <w:shd w:val="clear" w:color="auto" w:fill="auto"/>
          </w:tcPr>
          <w:p w14:paraId="5C7C6A83" w14:textId="77777777" w:rsidR="0008009C" w:rsidRDefault="0008009C">
            <w:pPr>
              <w:rPr>
                <w:rFonts w:ascii="宋体"/>
                <w:vanish/>
              </w:rPr>
            </w:pPr>
          </w:p>
        </w:tc>
        <w:tc>
          <w:tcPr>
            <w:tcW w:w="0" w:type="auto"/>
            <w:gridSpan w:val="3"/>
            <w:shd w:val="clear" w:color="auto" w:fill="auto"/>
          </w:tcPr>
          <w:p w14:paraId="5C7C6A84" w14:textId="77777777" w:rsidR="0008009C" w:rsidRDefault="0008009C">
            <w:pPr>
              <w:rPr>
                <w:rFonts w:ascii="宋体"/>
                <w:vanish/>
              </w:rPr>
            </w:pPr>
          </w:p>
        </w:tc>
      </w:tr>
      <w:tr w:rsidR="0008009C" w14:paraId="5C7C6A95" w14:textId="77777777">
        <w:tc>
          <w:tcPr>
            <w:tcW w:w="0" w:type="auto"/>
            <w:gridSpan w:val="3"/>
            <w:shd w:val="clear" w:color="auto" w:fill="auto"/>
            <w:tcMar>
              <w:top w:w="40" w:type="dxa"/>
              <w:left w:w="20" w:type="dxa"/>
              <w:bottom w:w="40" w:type="dxa"/>
              <w:right w:w="20" w:type="dxa"/>
            </w:tcMar>
          </w:tcPr>
          <w:p w14:paraId="5C7C6A86" w14:textId="77777777" w:rsidR="0008009C" w:rsidRDefault="00936FDF">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tcPr>
          <w:p w14:paraId="5C7C6A8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A8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A89"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A8A"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A8B" w14:textId="77777777" w:rsidR="0008009C" w:rsidRDefault="00936FDF">
            <w:pPr>
              <w:jc w:val="right"/>
              <w:textAlignment w:val="bottom"/>
            </w:pPr>
            <w:r>
              <w:rPr>
                <w:rFonts w:ascii="Arial" w:eastAsia="宋体" w:hAnsi="Arial" w:cs="Arial"/>
                <w:b/>
                <w:bCs/>
                <w:color w:val="0068B5"/>
                <w:sz w:val="18"/>
                <w:szCs w:val="18"/>
              </w:rPr>
              <w:t>312</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A8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A8D"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A8E"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A8F" w14:textId="77777777" w:rsidR="0008009C" w:rsidRDefault="00936FDF">
            <w:pPr>
              <w:jc w:val="right"/>
              <w:textAlignment w:val="bottom"/>
            </w:pPr>
            <w:r>
              <w:rPr>
                <w:rFonts w:ascii="Arial" w:eastAsia="宋体" w:hAnsi="Arial" w:cs="Arial"/>
                <w:b/>
                <w:bCs/>
                <w:color w:val="262626"/>
                <w:sz w:val="18"/>
                <w:szCs w:val="18"/>
              </w:rPr>
              <w:t>(191)</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A90" w14:textId="77777777" w:rsidR="0008009C" w:rsidRDefault="0008009C">
            <w:pPr>
              <w:jc w:val="right"/>
              <w:rPr>
                <w:rFonts w:ascii="宋体"/>
              </w:rPr>
            </w:pPr>
          </w:p>
        </w:tc>
        <w:tc>
          <w:tcPr>
            <w:tcW w:w="0" w:type="auto"/>
            <w:shd w:val="clear" w:color="auto" w:fill="auto"/>
          </w:tcPr>
          <w:p w14:paraId="5C7C6A91" w14:textId="77777777" w:rsidR="0008009C" w:rsidRDefault="0008009C">
            <w:pPr>
              <w:rPr>
                <w:rFonts w:ascii="宋体"/>
                <w:vanish/>
              </w:rPr>
            </w:pPr>
          </w:p>
        </w:tc>
        <w:tc>
          <w:tcPr>
            <w:tcW w:w="0" w:type="auto"/>
            <w:shd w:val="clear" w:color="auto" w:fill="auto"/>
          </w:tcPr>
          <w:p w14:paraId="5C7C6A92" w14:textId="77777777" w:rsidR="0008009C" w:rsidRDefault="0008009C">
            <w:pPr>
              <w:rPr>
                <w:rFonts w:ascii="宋体"/>
                <w:vanish/>
              </w:rPr>
            </w:pPr>
          </w:p>
        </w:tc>
        <w:tc>
          <w:tcPr>
            <w:tcW w:w="0" w:type="auto"/>
            <w:gridSpan w:val="3"/>
            <w:shd w:val="clear" w:color="auto" w:fill="auto"/>
          </w:tcPr>
          <w:p w14:paraId="5C7C6A93" w14:textId="77777777" w:rsidR="0008009C" w:rsidRDefault="0008009C">
            <w:pPr>
              <w:rPr>
                <w:rFonts w:ascii="宋体"/>
                <w:vanish/>
              </w:rPr>
            </w:pPr>
          </w:p>
        </w:tc>
        <w:tc>
          <w:tcPr>
            <w:tcW w:w="0" w:type="auto"/>
            <w:gridSpan w:val="3"/>
            <w:shd w:val="clear" w:color="auto" w:fill="auto"/>
          </w:tcPr>
          <w:p w14:paraId="5C7C6A94" w14:textId="77777777" w:rsidR="0008009C" w:rsidRDefault="0008009C">
            <w:pPr>
              <w:rPr>
                <w:rFonts w:ascii="宋体"/>
                <w:vanish/>
              </w:rPr>
            </w:pPr>
          </w:p>
        </w:tc>
      </w:tr>
    </w:tbl>
    <w:p w14:paraId="5C7C6A96" w14:textId="77777777" w:rsidR="0008009C" w:rsidRDefault="0008009C">
      <w:pPr>
        <w:spacing w:after="180"/>
      </w:pPr>
    </w:p>
    <w:p w14:paraId="5C7C6A97" w14:textId="77777777" w:rsidR="0008009C" w:rsidRDefault="0008009C">
      <w:pPr>
        <w:spacing w:after="180"/>
      </w:pPr>
    </w:p>
    <w:p w14:paraId="5C7C6A98" w14:textId="77777777" w:rsidR="0008009C" w:rsidRDefault="0008009C">
      <w:pPr>
        <w:spacing w:after="180"/>
      </w:pPr>
    </w:p>
    <w:p w14:paraId="5C7C6A99" w14:textId="77777777" w:rsidR="0008009C" w:rsidRDefault="0008009C">
      <w:pPr>
        <w:spacing w:after="180"/>
      </w:pPr>
    </w:p>
    <w:p w14:paraId="5C7C6A9A" w14:textId="77777777" w:rsidR="0008009C" w:rsidRDefault="0008009C">
      <w:pPr>
        <w:spacing w:after="180"/>
      </w:pPr>
    </w:p>
    <w:p w14:paraId="5C7C6A9B" w14:textId="77777777" w:rsidR="0008009C" w:rsidRDefault="0008009C">
      <w:pPr>
        <w:spacing w:after="180"/>
      </w:pPr>
    </w:p>
    <w:p w14:paraId="5C7C6A9C" w14:textId="77777777" w:rsidR="0008009C" w:rsidRDefault="0008009C">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8009C" w14:paraId="5C7C6AA9" w14:textId="77777777">
        <w:tc>
          <w:tcPr>
            <w:tcW w:w="50" w:type="pct"/>
            <w:shd w:val="clear" w:color="auto" w:fill="auto"/>
            <w:vAlign w:val="bottom"/>
          </w:tcPr>
          <w:p w14:paraId="5C7C6A9D" w14:textId="77777777" w:rsidR="0008009C" w:rsidRDefault="0008009C">
            <w:pPr>
              <w:rPr>
                <w:rFonts w:ascii="宋体"/>
              </w:rPr>
            </w:pPr>
          </w:p>
        </w:tc>
        <w:tc>
          <w:tcPr>
            <w:tcW w:w="238" w:type="pct"/>
            <w:shd w:val="clear" w:color="auto" w:fill="auto"/>
            <w:vAlign w:val="bottom"/>
          </w:tcPr>
          <w:p w14:paraId="5C7C6A9E" w14:textId="77777777" w:rsidR="0008009C" w:rsidRDefault="0008009C">
            <w:pPr>
              <w:rPr>
                <w:rFonts w:ascii="宋体"/>
              </w:rPr>
            </w:pPr>
          </w:p>
        </w:tc>
        <w:tc>
          <w:tcPr>
            <w:tcW w:w="5" w:type="pct"/>
            <w:shd w:val="clear" w:color="auto" w:fill="auto"/>
            <w:vAlign w:val="bottom"/>
          </w:tcPr>
          <w:p w14:paraId="5C7C6A9F" w14:textId="77777777" w:rsidR="0008009C" w:rsidRDefault="0008009C">
            <w:pPr>
              <w:rPr>
                <w:rFonts w:ascii="宋体"/>
              </w:rPr>
            </w:pPr>
          </w:p>
        </w:tc>
        <w:tc>
          <w:tcPr>
            <w:tcW w:w="50" w:type="pct"/>
            <w:shd w:val="clear" w:color="auto" w:fill="auto"/>
            <w:vAlign w:val="bottom"/>
          </w:tcPr>
          <w:p w14:paraId="5C7C6AA0" w14:textId="77777777" w:rsidR="0008009C" w:rsidRDefault="0008009C">
            <w:pPr>
              <w:rPr>
                <w:rFonts w:ascii="宋体"/>
              </w:rPr>
            </w:pPr>
          </w:p>
        </w:tc>
        <w:tc>
          <w:tcPr>
            <w:tcW w:w="983" w:type="pct"/>
            <w:shd w:val="clear" w:color="auto" w:fill="auto"/>
            <w:vAlign w:val="bottom"/>
          </w:tcPr>
          <w:p w14:paraId="5C7C6AA1" w14:textId="77777777" w:rsidR="0008009C" w:rsidRDefault="0008009C">
            <w:pPr>
              <w:rPr>
                <w:rFonts w:ascii="宋体"/>
              </w:rPr>
            </w:pPr>
          </w:p>
        </w:tc>
        <w:tc>
          <w:tcPr>
            <w:tcW w:w="5" w:type="pct"/>
            <w:shd w:val="clear" w:color="auto" w:fill="auto"/>
            <w:vAlign w:val="bottom"/>
          </w:tcPr>
          <w:p w14:paraId="5C7C6AA2" w14:textId="77777777" w:rsidR="0008009C" w:rsidRDefault="0008009C">
            <w:pPr>
              <w:rPr>
                <w:rFonts w:ascii="宋体"/>
              </w:rPr>
            </w:pPr>
          </w:p>
        </w:tc>
        <w:tc>
          <w:tcPr>
            <w:tcW w:w="50" w:type="pct"/>
            <w:shd w:val="clear" w:color="auto" w:fill="auto"/>
            <w:vAlign w:val="bottom"/>
          </w:tcPr>
          <w:p w14:paraId="5C7C6AA3" w14:textId="77777777" w:rsidR="0008009C" w:rsidRDefault="0008009C">
            <w:pPr>
              <w:rPr>
                <w:rFonts w:ascii="宋体"/>
              </w:rPr>
            </w:pPr>
          </w:p>
        </w:tc>
        <w:tc>
          <w:tcPr>
            <w:tcW w:w="2035" w:type="pct"/>
            <w:shd w:val="clear" w:color="auto" w:fill="auto"/>
            <w:vAlign w:val="bottom"/>
          </w:tcPr>
          <w:p w14:paraId="5C7C6AA4" w14:textId="77777777" w:rsidR="0008009C" w:rsidRDefault="0008009C">
            <w:pPr>
              <w:rPr>
                <w:rFonts w:ascii="宋体"/>
              </w:rPr>
            </w:pPr>
          </w:p>
        </w:tc>
        <w:tc>
          <w:tcPr>
            <w:tcW w:w="5" w:type="pct"/>
            <w:shd w:val="clear" w:color="auto" w:fill="auto"/>
            <w:vAlign w:val="bottom"/>
          </w:tcPr>
          <w:p w14:paraId="5C7C6AA5" w14:textId="77777777" w:rsidR="0008009C" w:rsidRDefault="0008009C">
            <w:pPr>
              <w:rPr>
                <w:rFonts w:ascii="宋体"/>
              </w:rPr>
            </w:pPr>
          </w:p>
        </w:tc>
        <w:tc>
          <w:tcPr>
            <w:tcW w:w="50" w:type="pct"/>
            <w:shd w:val="clear" w:color="auto" w:fill="auto"/>
            <w:vAlign w:val="bottom"/>
          </w:tcPr>
          <w:p w14:paraId="5C7C6AA6" w14:textId="77777777" w:rsidR="0008009C" w:rsidRDefault="0008009C">
            <w:pPr>
              <w:rPr>
                <w:rFonts w:ascii="宋体"/>
              </w:rPr>
            </w:pPr>
          </w:p>
        </w:tc>
        <w:tc>
          <w:tcPr>
            <w:tcW w:w="1522" w:type="pct"/>
            <w:shd w:val="clear" w:color="auto" w:fill="auto"/>
            <w:vAlign w:val="bottom"/>
          </w:tcPr>
          <w:p w14:paraId="5C7C6AA7" w14:textId="77777777" w:rsidR="0008009C" w:rsidRDefault="0008009C">
            <w:pPr>
              <w:rPr>
                <w:rFonts w:ascii="宋体"/>
              </w:rPr>
            </w:pPr>
          </w:p>
        </w:tc>
        <w:tc>
          <w:tcPr>
            <w:tcW w:w="5" w:type="pct"/>
            <w:shd w:val="clear" w:color="auto" w:fill="auto"/>
            <w:vAlign w:val="bottom"/>
          </w:tcPr>
          <w:p w14:paraId="5C7C6AA8" w14:textId="77777777" w:rsidR="0008009C" w:rsidRDefault="0008009C">
            <w:pPr>
              <w:rPr>
                <w:rFonts w:ascii="宋体"/>
              </w:rPr>
            </w:pPr>
          </w:p>
        </w:tc>
      </w:tr>
      <w:tr w:rsidR="0008009C" w14:paraId="5C7C6AAE"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6AAA"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1D" wp14:editId="5C7C7D1E">
                  <wp:extent cx="304800" cy="304800"/>
                  <wp:effectExtent l="0" t="0" r="0" b="0"/>
                  <wp:docPr id="96" name="图片 73"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3"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AAB"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6AAC" w14:textId="77777777" w:rsidR="0008009C" w:rsidRDefault="00936FDF">
            <w:pPr>
              <w:textAlignment w:val="center"/>
            </w:pPr>
            <w:r>
              <w:rPr>
                <w:rFonts w:ascii="Arial" w:eastAsia="宋体" w:hAnsi="Arial" w:cs="Arial"/>
                <w:color w:val="262626"/>
                <w:sz w:val="16"/>
                <w:szCs w:val="16"/>
              </w:rPr>
              <w:t> Notes to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AAD" w14:textId="77777777" w:rsidR="0008009C" w:rsidRDefault="00936FDF">
            <w:pPr>
              <w:jc w:val="right"/>
              <w:textAlignment w:val="center"/>
            </w:pPr>
            <w:r>
              <w:rPr>
                <w:rFonts w:ascii="Arial" w:eastAsia="宋体" w:hAnsi="Arial" w:cs="Arial"/>
                <w:color w:val="262626"/>
                <w:sz w:val="16"/>
                <w:szCs w:val="16"/>
              </w:rPr>
              <w:t>17</w:t>
            </w:r>
          </w:p>
        </w:tc>
      </w:tr>
    </w:tbl>
    <w:p w14:paraId="5C7C6AAF" w14:textId="77777777" w:rsidR="0008009C" w:rsidRDefault="00936FDF">
      <w:r>
        <w:pict w14:anchorId="5C7C7D1F">
          <v:rect id="_x0000_i1043" style="width:415.3pt;height:1.5pt" o:hralign="center" o:hrstd="t" o:hr="t" fillcolor="#a0a0a0" stroked="f"/>
        </w:pict>
      </w:r>
    </w:p>
    <w:p w14:paraId="5C7C6AB0" w14:textId="77777777" w:rsidR="0008009C" w:rsidRDefault="00936FDF">
      <w:pPr>
        <w:spacing w:after="180"/>
        <w:jc w:val="right"/>
      </w:pPr>
      <w:hyperlink r:id="rId42" w:anchor="i3a00378f6cc84b1c9cfc83239548ad53_7" w:history="1">
        <w:r>
          <w:rPr>
            <w:rStyle w:val="a5"/>
            <w:rFonts w:ascii="Arial" w:eastAsia="宋体" w:hAnsi="Arial" w:cs="Arial"/>
            <w:b/>
            <w:bCs/>
            <w:sz w:val="16"/>
            <w:szCs w:val="16"/>
          </w:rPr>
          <w:t>Table of Contents</w:t>
        </w:r>
      </w:hyperlink>
    </w:p>
    <w:p w14:paraId="5C7C6AB1" w14:textId="77777777" w:rsidR="0008009C" w:rsidRDefault="0008009C">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8009C" w14:paraId="5C7C6AB8" w14:textId="77777777">
        <w:tc>
          <w:tcPr>
            <w:tcW w:w="50" w:type="pct"/>
            <w:shd w:val="clear" w:color="auto" w:fill="auto"/>
          </w:tcPr>
          <w:p w14:paraId="5C7C6AB2" w14:textId="77777777" w:rsidR="0008009C" w:rsidRDefault="0008009C">
            <w:pPr>
              <w:rPr>
                <w:rFonts w:ascii="宋体"/>
              </w:rPr>
            </w:pPr>
          </w:p>
        </w:tc>
        <w:tc>
          <w:tcPr>
            <w:tcW w:w="511" w:type="pct"/>
            <w:shd w:val="clear" w:color="auto" w:fill="auto"/>
          </w:tcPr>
          <w:p w14:paraId="5C7C6AB3" w14:textId="77777777" w:rsidR="0008009C" w:rsidRDefault="0008009C">
            <w:pPr>
              <w:rPr>
                <w:rFonts w:ascii="宋体"/>
              </w:rPr>
            </w:pPr>
          </w:p>
        </w:tc>
        <w:tc>
          <w:tcPr>
            <w:tcW w:w="5" w:type="pct"/>
            <w:shd w:val="clear" w:color="auto" w:fill="auto"/>
          </w:tcPr>
          <w:p w14:paraId="5C7C6AB4" w14:textId="77777777" w:rsidR="0008009C" w:rsidRDefault="0008009C">
            <w:pPr>
              <w:rPr>
                <w:rFonts w:ascii="宋体"/>
              </w:rPr>
            </w:pPr>
          </w:p>
        </w:tc>
        <w:tc>
          <w:tcPr>
            <w:tcW w:w="50" w:type="pct"/>
            <w:shd w:val="clear" w:color="auto" w:fill="auto"/>
          </w:tcPr>
          <w:p w14:paraId="5C7C6AB5" w14:textId="77777777" w:rsidR="0008009C" w:rsidRDefault="0008009C">
            <w:pPr>
              <w:rPr>
                <w:rFonts w:ascii="宋体"/>
              </w:rPr>
            </w:pPr>
          </w:p>
        </w:tc>
        <w:tc>
          <w:tcPr>
            <w:tcW w:w="4378" w:type="pct"/>
            <w:shd w:val="clear" w:color="auto" w:fill="auto"/>
          </w:tcPr>
          <w:p w14:paraId="5C7C6AB6" w14:textId="77777777" w:rsidR="0008009C" w:rsidRDefault="0008009C">
            <w:pPr>
              <w:rPr>
                <w:rFonts w:ascii="宋体"/>
              </w:rPr>
            </w:pPr>
          </w:p>
        </w:tc>
        <w:tc>
          <w:tcPr>
            <w:tcW w:w="5" w:type="pct"/>
            <w:shd w:val="clear" w:color="auto" w:fill="auto"/>
          </w:tcPr>
          <w:p w14:paraId="5C7C6AB7" w14:textId="77777777" w:rsidR="0008009C" w:rsidRDefault="0008009C">
            <w:pPr>
              <w:rPr>
                <w:rFonts w:ascii="宋体"/>
              </w:rPr>
            </w:pPr>
          </w:p>
        </w:tc>
      </w:tr>
      <w:tr w:rsidR="0008009C" w14:paraId="5C7C6ABB"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5C7C6AB9" w14:textId="77777777" w:rsidR="0008009C" w:rsidRDefault="00936FDF">
            <w:pPr>
              <w:textAlignment w:val="bottom"/>
            </w:pPr>
            <w:r>
              <w:rPr>
                <w:rFonts w:ascii="Arial" w:eastAsia="宋体" w:hAnsi="Arial" w:cs="Arial"/>
                <w:color w:val="FFFFFF"/>
                <w:sz w:val="28"/>
                <w:szCs w:val="28"/>
              </w:rPr>
              <w:t xml:space="preserve">Note 13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C7C6ABA" w14:textId="77777777" w:rsidR="0008009C" w:rsidRDefault="00936FDF">
            <w:pPr>
              <w:textAlignment w:val="bottom"/>
            </w:pPr>
            <w:r>
              <w:rPr>
                <w:rFonts w:ascii="Arial" w:eastAsia="宋体" w:hAnsi="Arial" w:cs="Arial"/>
                <w:color w:val="0068B5"/>
                <w:sz w:val="28"/>
                <w:szCs w:val="28"/>
              </w:rPr>
              <w:t>Contingencies</w:t>
            </w:r>
          </w:p>
        </w:tc>
      </w:tr>
    </w:tbl>
    <w:p w14:paraId="5C7C6ABC" w14:textId="77777777" w:rsidR="0008009C" w:rsidRDefault="00936FDF">
      <w:pPr>
        <w:spacing w:before="180" w:after="180"/>
      </w:pPr>
      <w:r>
        <w:rPr>
          <w:rFonts w:ascii="Arial" w:eastAsia="宋体" w:hAnsi="Arial" w:cs="Arial"/>
          <w:color w:val="0068B5"/>
        </w:rPr>
        <w:t>Legal Proceedings</w:t>
      </w:r>
    </w:p>
    <w:p w14:paraId="5C7C6ABD" w14:textId="77777777" w:rsidR="0008009C" w:rsidRDefault="00936FDF">
      <w:pPr>
        <w:spacing w:after="180"/>
      </w:pPr>
      <w:r>
        <w:rPr>
          <w:rFonts w:ascii="Arial" w:eastAsia="宋体" w:hAnsi="Arial" w:cs="Arial"/>
          <w:color w:val="262626"/>
          <w:sz w:val="18"/>
          <w:szCs w:val="18"/>
        </w:rPr>
        <w:t xml:space="preserve">We are a party to various </w:t>
      </w:r>
      <w:r>
        <w:rPr>
          <w:rFonts w:ascii="Arial" w:eastAsia="宋体" w:hAnsi="Arial" w:cs="Arial"/>
          <w:color w:val="262626"/>
          <w:sz w:val="18"/>
          <w:szCs w:val="18"/>
        </w:rPr>
        <w:t>legal proceedings, including those noted in this section. In the first quarter of 2021, we accrued a charge of $2.2 billion related to litigation involving VLSI, described below. Excluding this charge, management at present believes that the ultimate outco</w:t>
      </w:r>
      <w:r>
        <w:rPr>
          <w:rFonts w:ascii="Arial" w:eastAsia="宋体" w:hAnsi="Arial" w:cs="Arial"/>
          <w:color w:val="262626"/>
          <w:sz w:val="18"/>
          <w:szCs w:val="18"/>
        </w:rPr>
        <w:t>me of these proceedings, individually and in the aggregate, will not materially harm our financial position, results of operations, cash flows, or overall trends; however, legal proceedings and related government investigations are subject to inherent unce</w:t>
      </w:r>
      <w:r>
        <w:rPr>
          <w:rFonts w:ascii="Arial" w:eastAsia="宋体" w:hAnsi="Arial" w:cs="Arial"/>
          <w:color w:val="262626"/>
          <w:sz w:val="18"/>
          <w:szCs w:val="18"/>
        </w:rPr>
        <w:t>rtainties, and unfavorable rulings or other events could occur. Unfavorable resolutions could include substantial monetary damages. In addition, in matters for which injunctive relief or other conduct remedies are sought, unfavorable resolutions could incl</w:t>
      </w:r>
      <w:r>
        <w:rPr>
          <w:rFonts w:ascii="Arial" w:eastAsia="宋体" w:hAnsi="Arial" w:cs="Arial"/>
          <w:color w:val="262626"/>
          <w:sz w:val="18"/>
          <w:szCs w:val="18"/>
        </w:rPr>
        <w:t>ude an injunction or other order prohibiting us from selling one or more products at all or in particular ways, precluding particular business practices, or requiring other remedies. An unfavorable outcome may result in a material adverse impact on our bus</w:t>
      </w:r>
      <w:r>
        <w:rPr>
          <w:rFonts w:ascii="Arial" w:eastAsia="宋体" w:hAnsi="Arial" w:cs="Arial"/>
          <w:color w:val="262626"/>
          <w:sz w:val="18"/>
          <w:szCs w:val="18"/>
        </w:rPr>
        <w:t>iness, results of operations, financial position, and overall trends. We might also conclude that settling one or more such matters is in the best interests of our stockholders, employees, and customers, and any such settlement could include substantial pa</w:t>
      </w:r>
      <w:r>
        <w:rPr>
          <w:rFonts w:ascii="Arial" w:eastAsia="宋体" w:hAnsi="Arial" w:cs="Arial"/>
          <w:color w:val="262626"/>
          <w:sz w:val="18"/>
          <w:szCs w:val="18"/>
        </w:rPr>
        <w:t>yments. Except as specifically described below, we have not concluded that settlement of any of the legal proceedings noted in this section is appropriate at this time.</w:t>
      </w:r>
    </w:p>
    <w:p w14:paraId="5C7C6ABE" w14:textId="77777777" w:rsidR="0008009C" w:rsidRDefault="00936FDF">
      <w:pPr>
        <w:spacing w:after="120"/>
      </w:pPr>
      <w:r>
        <w:rPr>
          <w:rFonts w:ascii="Arial" w:eastAsia="宋体" w:hAnsi="Arial" w:cs="Arial"/>
          <w:color w:val="0068B5"/>
          <w:sz w:val="20"/>
          <w:szCs w:val="20"/>
        </w:rPr>
        <w:t>European Commission Competition Matter</w:t>
      </w:r>
    </w:p>
    <w:p w14:paraId="5C7C6ABF" w14:textId="77777777" w:rsidR="0008009C" w:rsidRDefault="00936FDF">
      <w:pPr>
        <w:spacing w:after="180"/>
      </w:pPr>
      <w:r>
        <w:rPr>
          <w:rFonts w:ascii="Arial" w:eastAsia="宋体" w:hAnsi="Arial" w:cs="Arial"/>
          <w:color w:val="262626"/>
          <w:sz w:val="18"/>
          <w:szCs w:val="18"/>
        </w:rPr>
        <w:t xml:space="preserve">In 2001, the EC commenced an </w:t>
      </w:r>
      <w:r>
        <w:rPr>
          <w:rFonts w:ascii="Arial" w:eastAsia="宋体" w:hAnsi="Arial" w:cs="Arial"/>
          <w:color w:val="262626"/>
          <w:sz w:val="18"/>
          <w:szCs w:val="18"/>
        </w:rPr>
        <w:t>investigation regarding claims by Advanced Micro Devices, Inc. (AMD) that we used unfair business practices to persuade customers to buy our microprocessors. We received numerous requests for information and documents from the EC and we responded to each o</w:t>
      </w:r>
      <w:r>
        <w:rPr>
          <w:rFonts w:ascii="Arial" w:eastAsia="宋体" w:hAnsi="Arial" w:cs="Arial"/>
          <w:color w:val="262626"/>
          <w:sz w:val="18"/>
          <w:szCs w:val="18"/>
        </w:rPr>
        <w:t>f those requests. The EC issued a Statement of Objections in July 2007 and held a hearing on that Statement in March 2008. The EC issued a Supplemental Statement of Objections in July 2008. In May 2009, the EC issued a decision finding that we had violated</w:t>
      </w:r>
      <w:r>
        <w:rPr>
          <w:rFonts w:ascii="Arial" w:eastAsia="宋体" w:hAnsi="Arial" w:cs="Arial"/>
          <w:color w:val="262626"/>
          <w:sz w:val="18"/>
          <w:szCs w:val="18"/>
        </w:rPr>
        <w:t xml:space="preserve"> Article 82 of the EC Treaty and Article 54 of the European Economic Area Agreement. In general, the EC found that we violated Article 82 (later renumbered as Article 102 by a new treaty) by offering alleged "conditional rebates and payments" that required</w:t>
      </w:r>
      <w:r>
        <w:rPr>
          <w:rFonts w:ascii="Arial" w:eastAsia="宋体" w:hAnsi="Arial" w:cs="Arial"/>
          <w:color w:val="262626"/>
          <w:sz w:val="18"/>
          <w:szCs w:val="18"/>
        </w:rPr>
        <w:t xml:space="preserve"> our customers to purchase all or most of their x86 microprocessors from us. The EC also found that we violated Article 82 by making alleged "payments to prevent sales of specific rival products." The EC imposed a fine in the amount of €1.1 billion ($1.4 b</w:t>
      </w:r>
      <w:r>
        <w:rPr>
          <w:rFonts w:ascii="Arial" w:eastAsia="宋体" w:hAnsi="Arial" w:cs="Arial"/>
          <w:color w:val="262626"/>
          <w:sz w:val="18"/>
          <w:szCs w:val="18"/>
        </w:rPr>
        <w:t>illion as of May 2009), which we subsequently paid during the third quarter of 2009, and ordered us to "immediately bring to an end the infringement referred to in" the EC decision.</w:t>
      </w:r>
    </w:p>
    <w:p w14:paraId="5C7C6AC0" w14:textId="77777777" w:rsidR="0008009C" w:rsidRDefault="00936FDF">
      <w:pPr>
        <w:spacing w:after="180"/>
      </w:pPr>
      <w:r>
        <w:rPr>
          <w:rFonts w:ascii="Arial" w:eastAsia="宋体" w:hAnsi="Arial" w:cs="Arial"/>
          <w:color w:val="262626"/>
          <w:sz w:val="18"/>
          <w:szCs w:val="18"/>
        </w:rPr>
        <w:t>The EC decision contained no specific direction on whether or how we shoul</w:t>
      </w:r>
      <w:r>
        <w:rPr>
          <w:rFonts w:ascii="Arial" w:eastAsia="宋体" w:hAnsi="Arial" w:cs="Arial"/>
          <w:color w:val="262626"/>
          <w:sz w:val="18"/>
          <w:szCs w:val="18"/>
        </w:rPr>
        <w:t>d modify our business practices. Instead, the decision stated that we should "cease and desist" from further conduct that, in the EC's opinion, would violate applicable law. We took steps, which are subject to the EC's ongoing review, to comply with that d</w:t>
      </w:r>
      <w:r>
        <w:rPr>
          <w:rFonts w:ascii="Arial" w:eastAsia="宋体" w:hAnsi="Arial" w:cs="Arial"/>
          <w:color w:val="262626"/>
          <w:sz w:val="18"/>
          <w:szCs w:val="18"/>
        </w:rPr>
        <w:t>ecision pending appeal. We had discussions with the EC to better understand the decision and to explain changes to our business practices.</w:t>
      </w:r>
    </w:p>
    <w:p w14:paraId="5C7C6AC1" w14:textId="77777777" w:rsidR="0008009C" w:rsidRDefault="00936FDF">
      <w:pPr>
        <w:spacing w:after="180"/>
      </w:pPr>
      <w:r>
        <w:rPr>
          <w:rFonts w:ascii="Arial" w:eastAsia="宋体" w:hAnsi="Arial" w:cs="Arial"/>
          <w:color w:val="262626"/>
          <w:sz w:val="18"/>
          <w:szCs w:val="18"/>
        </w:rPr>
        <w:t>We appealed the EC decision to the Court of First Instance (which has been renamed the General Court) in July 2009. T</w:t>
      </w:r>
      <w:r>
        <w:rPr>
          <w:rFonts w:ascii="Arial" w:eastAsia="宋体" w:hAnsi="Arial" w:cs="Arial"/>
          <w:color w:val="262626"/>
          <w:sz w:val="18"/>
          <w:szCs w:val="18"/>
        </w:rPr>
        <w:t>he hearing of our appeal took place in July 2012. In June 2014, the General Court rejected our appeal in its entirety. In August 2014, we filed an appeal with the European Court of Justice. In November 2014, Intervener Association for Competitive Technolog</w:t>
      </w:r>
      <w:r>
        <w:rPr>
          <w:rFonts w:ascii="Arial" w:eastAsia="宋体" w:hAnsi="Arial" w:cs="Arial"/>
          <w:color w:val="262626"/>
          <w:sz w:val="18"/>
          <w:szCs w:val="18"/>
        </w:rPr>
        <w:t>ies filed comments in support of Intel’s grounds of appeal. The EC and interveners filed briefs in November 2014, we filed a reply in February 2015, and the EC filed a rejoinder in April 2015. The Court of Justice held oral argument in June 2016. In Octobe</w:t>
      </w:r>
      <w:r>
        <w:rPr>
          <w:rFonts w:ascii="Arial" w:eastAsia="宋体" w:hAnsi="Arial" w:cs="Arial"/>
          <w:color w:val="262626"/>
          <w:sz w:val="18"/>
          <w:szCs w:val="18"/>
        </w:rPr>
        <w:t xml:space="preserve">r 2016, Advocate General Wahl, an advisor to the Court of Justice, issued a non-binding advisory opinion that favored Intel on a number of grounds. The Court of Justice issued its decision in September 2017, setting aside the judgment of the General Court </w:t>
      </w:r>
      <w:r>
        <w:rPr>
          <w:rFonts w:ascii="Arial" w:eastAsia="宋体" w:hAnsi="Arial" w:cs="Arial"/>
          <w:color w:val="262626"/>
          <w:sz w:val="18"/>
          <w:szCs w:val="18"/>
        </w:rPr>
        <w:t>and sending the case back to the General Court to examine whether the rebates at issue were capable of restricting competition. The General Court has appointed a panel of five judges to consider our appeal of the EC’s 2009 decision in light of the Court of</w:t>
      </w:r>
      <w:r>
        <w:rPr>
          <w:rFonts w:ascii="Arial" w:eastAsia="宋体" w:hAnsi="Arial" w:cs="Arial"/>
          <w:color w:val="262626"/>
          <w:sz w:val="18"/>
          <w:szCs w:val="18"/>
        </w:rPr>
        <w:t xml:space="preserve"> Justice’s clarifications of the law. In November 2017, the parties filed initial “Observations” about the Court of Justice’s decision and the appeal and were invited by the General Court to offer supplemental comments to each other’s “Observations,” which</w:t>
      </w:r>
      <w:r>
        <w:rPr>
          <w:rFonts w:ascii="Arial" w:eastAsia="宋体" w:hAnsi="Arial" w:cs="Arial"/>
          <w:color w:val="262626"/>
          <w:sz w:val="18"/>
          <w:szCs w:val="18"/>
        </w:rPr>
        <w:t xml:space="preserve"> the parties submitted in March 2018. Responses to other questions posed by the General Court were filed in May and June 2018. The General Court heard oral argument in March 2020. Pending the final decision in this matter, the fine paid by Intel has been p</w:t>
      </w:r>
      <w:r>
        <w:rPr>
          <w:rFonts w:ascii="Arial" w:eastAsia="宋体" w:hAnsi="Arial" w:cs="Arial"/>
          <w:color w:val="262626"/>
          <w:sz w:val="18"/>
          <w:szCs w:val="18"/>
        </w:rPr>
        <w:t>laced by the EC in commercial bank accounts where it accrues interest.</w:t>
      </w:r>
    </w:p>
    <w:p w14:paraId="5C7C6AC2" w14:textId="77777777" w:rsidR="0008009C" w:rsidRDefault="00936FDF">
      <w:pPr>
        <w:spacing w:after="120"/>
      </w:pPr>
      <w:r>
        <w:rPr>
          <w:rFonts w:ascii="Arial" w:eastAsia="宋体" w:hAnsi="Arial" w:cs="Arial"/>
          <w:color w:val="0068B5"/>
          <w:sz w:val="20"/>
          <w:szCs w:val="20"/>
        </w:rPr>
        <w:t>Litigation Related to Security Vulnerabilities</w:t>
      </w:r>
    </w:p>
    <w:p w14:paraId="5C7C6AC3" w14:textId="77777777" w:rsidR="0008009C" w:rsidRDefault="00936FDF">
      <w:pPr>
        <w:spacing w:after="180"/>
      </w:pPr>
      <w:r>
        <w:rPr>
          <w:rFonts w:ascii="Arial" w:eastAsia="宋体" w:hAnsi="Arial" w:cs="Arial"/>
          <w:color w:val="262626"/>
          <w:sz w:val="18"/>
          <w:szCs w:val="18"/>
        </w:rPr>
        <w:t>In June 2017, a Google research team notified us and other companies that it had identified security vulnerabilities (now commonly referre</w:t>
      </w:r>
      <w:r>
        <w:rPr>
          <w:rFonts w:ascii="Arial" w:eastAsia="宋体" w:hAnsi="Arial" w:cs="Arial"/>
          <w:color w:val="262626"/>
          <w:sz w:val="18"/>
          <w:szCs w:val="18"/>
        </w:rPr>
        <w:t>d to as “Spectre” and “Meltdown”) that affect many types of microprocessors, including our products. As is standard when findings like these are presented, we worked together with other companies in the industry to verify the research and develop and valid</w:t>
      </w:r>
      <w:r>
        <w:rPr>
          <w:rFonts w:ascii="Arial" w:eastAsia="宋体" w:hAnsi="Arial" w:cs="Arial"/>
          <w:color w:val="262626"/>
          <w:sz w:val="18"/>
          <w:szCs w:val="18"/>
        </w:rPr>
        <w:t xml:space="preserve">ate software and firmware updates for impacted technologies. On January 3, 2018, information on the security vulnerabilities was publicly reported, before software and firmware updates to address the vulnerabilities were made widely available. </w:t>
      </w:r>
    </w:p>
    <w:p w14:paraId="5C7C6AC4" w14:textId="77777777" w:rsidR="0008009C" w:rsidRDefault="00936FDF">
      <w:pPr>
        <w:spacing w:after="180"/>
      </w:pPr>
      <w:r>
        <w:rPr>
          <w:rFonts w:ascii="Arial" w:eastAsia="宋体" w:hAnsi="Arial" w:cs="Arial"/>
          <w:color w:val="262626"/>
          <w:sz w:val="18"/>
          <w:szCs w:val="18"/>
        </w:rPr>
        <w:t>Numerous la</w:t>
      </w:r>
      <w:r>
        <w:rPr>
          <w:rFonts w:ascii="Arial" w:eastAsia="宋体" w:hAnsi="Arial" w:cs="Arial"/>
          <w:color w:val="262626"/>
          <w:sz w:val="18"/>
          <w:szCs w:val="18"/>
        </w:rPr>
        <w:t>wsuits have been filed against Intel and, in certain cases, our current and former executives and directors, in U.S. federal and state courts and in certain courts in other countries relating to the Spectre and Meltdown security vulnerabilities, as well as</w:t>
      </w:r>
      <w:r>
        <w:rPr>
          <w:rFonts w:ascii="Arial" w:eastAsia="宋体" w:hAnsi="Arial" w:cs="Arial"/>
          <w:color w:val="262626"/>
          <w:sz w:val="18"/>
          <w:szCs w:val="18"/>
        </w:rPr>
        <w:t xml:space="preserve"> other variants of these vulnerabilities that have since been identified.</w:t>
      </w:r>
    </w:p>
    <w:p w14:paraId="5C7C6AC5" w14:textId="77777777" w:rsidR="0008009C" w:rsidRDefault="0008009C">
      <w:pPr>
        <w:spacing w:after="180"/>
      </w:pPr>
    </w:p>
    <w:p w14:paraId="5C7C6AC6" w14:textId="77777777" w:rsidR="0008009C" w:rsidRDefault="0008009C">
      <w:pPr>
        <w:spacing w:after="180"/>
      </w:pPr>
    </w:p>
    <w:p w14:paraId="5C7C6AC7" w14:textId="77777777" w:rsidR="0008009C" w:rsidRDefault="0008009C">
      <w:pPr>
        <w:spacing w:after="180"/>
      </w:pPr>
    </w:p>
    <w:p w14:paraId="5C7C6AC8" w14:textId="77777777" w:rsidR="0008009C" w:rsidRDefault="0008009C">
      <w:pPr>
        <w:spacing w:after="180"/>
      </w:pPr>
    </w:p>
    <w:p w14:paraId="5C7C6AC9" w14:textId="77777777" w:rsidR="0008009C" w:rsidRDefault="0008009C">
      <w:pPr>
        <w:spacing w:after="180"/>
      </w:pPr>
    </w:p>
    <w:p w14:paraId="5C7C6ACA" w14:textId="77777777" w:rsidR="0008009C" w:rsidRDefault="0008009C">
      <w:pPr>
        <w:spacing w:after="180"/>
      </w:pPr>
    </w:p>
    <w:p w14:paraId="5C7C6ACB" w14:textId="77777777" w:rsidR="0008009C" w:rsidRDefault="0008009C">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8009C" w14:paraId="5C7C6AD8" w14:textId="77777777">
        <w:tc>
          <w:tcPr>
            <w:tcW w:w="50" w:type="pct"/>
            <w:shd w:val="clear" w:color="auto" w:fill="auto"/>
            <w:vAlign w:val="bottom"/>
          </w:tcPr>
          <w:p w14:paraId="5C7C6ACC" w14:textId="77777777" w:rsidR="0008009C" w:rsidRDefault="0008009C">
            <w:pPr>
              <w:rPr>
                <w:rFonts w:ascii="宋体"/>
              </w:rPr>
            </w:pPr>
          </w:p>
        </w:tc>
        <w:tc>
          <w:tcPr>
            <w:tcW w:w="238" w:type="pct"/>
            <w:shd w:val="clear" w:color="auto" w:fill="auto"/>
            <w:vAlign w:val="bottom"/>
          </w:tcPr>
          <w:p w14:paraId="5C7C6ACD" w14:textId="77777777" w:rsidR="0008009C" w:rsidRDefault="0008009C">
            <w:pPr>
              <w:rPr>
                <w:rFonts w:ascii="宋体"/>
              </w:rPr>
            </w:pPr>
          </w:p>
        </w:tc>
        <w:tc>
          <w:tcPr>
            <w:tcW w:w="5" w:type="pct"/>
            <w:shd w:val="clear" w:color="auto" w:fill="auto"/>
            <w:vAlign w:val="bottom"/>
          </w:tcPr>
          <w:p w14:paraId="5C7C6ACE" w14:textId="77777777" w:rsidR="0008009C" w:rsidRDefault="0008009C">
            <w:pPr>
              <w:rPr>
                <w:rFonts w:ascii="宋体"/>
              </w:rPr>
            </w:pPr>
          </w:p>
        </w:tc>
        <w:tc>
          <w:tcPr>
            <w:tcW w:w="50" w:type="pct"/>
            <w:shd w:val="clear" w:color="auto" w:fill="auto"/>
            <w:vAlign w:val="bottom"/>
          </w:tcPr>
          <w:p w14:paraId="5C7C6ACF" w14:textId="77777777" w:rsidR="0008009C" w:rsidRDefault="0008009C">
            <w:pPr>
              <w:rPr>
                <w:rFonts w:ascii="宋体"/>
              </w:rPr>
            </w:pPr>
          </w:p>
        </w:tc>
        <w:tc>
          <w:tcPr>
            <w:tcW w:w="983" w:type="pct"/>
            <w:shd w:val="clear" w:color="auto" w:fill="auto"/>
            <w:vAlign w:val="bottom"/>
          </w:tcPr>
          <w:p w14:paraId="5C7C6AD0" w14:textId="77777777" w:rsidR="0008009C" w:rsidRDefault="0008009C">
            <w:pPr>
              <w:rPr>
                <w:rFonts w:ascii="宋体"/>
              </w:rPr>
            </w:pPr>
          </w:p>
        </w:tc>
        <w:tc>
          <w:tcPr>
            <w:tcW w:w="5" w:type="pct"/>
            <w:shd w:val="clear" w:color="auto" w:fill="auto"/>
            <w:vAlign w:val="bottom"/>
          </w:tcPr>
          <w:p w14:paraId="5C7C6AD1" w14:textId="77777777" w:rsidR="0008009C" w:rsidRDefault="0008009C">
            <w:pPr>
              <w:rPr>
                <w:rFonts w:ascii="宋体"/>
              </w:rPr>
            </w:pPr>
          </w:p>
        </w:tc>
        <w:tc>
          <w:tcPr>
            <w:tcW w:w="50" w:type="pct"/>
            <w:shd w:val="clear" w:color="auto" w:fill="auto"/>
            <w:vAlign w:val="bottom"/>
          </w:tcPr>
          <w:p w14:paraId="5C7C6AD2" w14:textId="77777777" w:rsidR="0008009C" w:rsidRDefault="0008009C">
            <w:pPr>
              <w:rPr>
                <w:rFonts w:ascii="宋体"/>
              </w:rPr>
            </w:pPr>
          </w:p>
        </w:tc>
        <w:tc>
          <w:tcPr>
            <w:tcW w:w="2035" w:type="pct"/>
            <w:shd w:val="clear" w:color="auto" w:fill="auto"/>
            <w:vAlign w:val="bottom"/>
          </w:tcPr>
          <w:p w14:paraId="5C7C6AD3" w14:textId="77777777" w:rsidR="0008009C" w:rsidRDefault="0008009C">
            <w:pPr>
              <w:rPr>
                <w:rFonts w:ascii="宋体"/>
              </w:rPr>
            </w:pPr>
          </w:p>
        </w:tc>
        <w:tc>
          <w:tcPr>
            <w:tcW w:w="5" w:type="pct"/>
            <w:shd w:val="clear" w:color="auto" w:fill="auto"/>
            <w:vAlign w:val="bottom"/>
          </w:tcPr>
          <w:p w14:paraId="5C7C6AD4" w14:textId="77777777" w:rsidR="0008009C" w:rsidRDefault="0008009C">
            <w:pPr>
              <w:rPr>
                <w:rFonts w:ascii="宋体"/>
              </w:rPr>
            </w:pPr>
          </w:p>
        </w:tc>
        <w:tc>
          <w:tcPr>
            <w:tcW w:w="50" w:type="pct"/>
            <w:shd w:val="clear" w:color="auto" w:fill="auto"/>
            <w:vAlign w:val="bottom"/>
          </w:tcPr>
          <w:p w14:paraId="5C7C6AD5" w14:textId="77777777" w:rsidR="0008009C" w:rsidRDefault="0008009C">
            <w:pPr>
              <w:rPr>
                <w:rFonts w:ascii="宋体"/>
              </w:rPr>
            </w:pPr>
          </w:p>
        </w:tc>
        <w:tc>
          <w:tcPr>
            <w:tcW w:w="1522" w:type="pct"/>
            <w:shd w:val="clear" w:color="auto" w:fill="auto"/>
            <w:vAlign w:val="bottom"/>
          </w:tcPr>
          <w:p w14:paraId="5C7C6AD6" w14:textId="77777777" w:rsidR="0008009C" w:rsidRDefault="0008009C">
            <w:pPr>
              <w:rPr>
                <w:rFonts w:ascii="宋体"/>
              </w:rPr>
            </w:pPr>
          </w:p>
        </w:tc>
        <w:tc>
          <w:tcPr>
            <w:tcW w:w="5" w:type="pct"/>
            <w:shd w:val="clear" w:color="auto" w:fill="auto"/>
            <w:vAlign w:val="bottom"/>
          </w:tcPr>
          <w:p w14:paraId="5C7C6AD7" w14:textId="77777777" w:rsidR="0008009C" w:rsidRDefault="0008009C">
            <w:pPr>
              <w:rPr>
                <w:rFonts w:ascii="宋体"/>
              </w:rPr>
            </w:pPr>
          </w:p>
        </w:tc>
      </w:tr>
      <w:tr w:rsidR="0008009C" w14:paraId="5C7C6ADD"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6AD9"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20" wp14:editId="5C7C7D21">
                  <wp:extent cx="304800" cy="304800"/>
                  <wp:effectExtent l="0" t="0" r="0" b="0"/>
                  <wp:docPr id="94" name="图片 75"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5"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ADA"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6ADB" w14:textId="77777777" w:rsidR="0008009C" w:rsidRDefault="00936FDF">
            <w:pPr>
              <w:textAlignment w:val="center"/>
            </w:pPr>
            <w:r>
              <w:rPr>
                <w:rFonts w:ascii="Arial" w:eastAsia="宋体" w:hAnsi="Arial" w:cs="Arial"/>
                <w:color w:val="262626"/>
                <w:sz w:val="16"/>
                <w:szCs w:val="16"/>
              </w:rPr>
              <w:t> Notes to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ADC" w14:textId="77777777" w:rsidR="0008009C" w:rsidRDefault="00936FDF">
            <w:pPr>
              <w:jc w:val="right"/>
              <w:textAlignment w:val="center"/>
            </w:pPr>
            <w:r>
              <w:rPr>
                <w:rFonts w:ascii="Arial" w:eastAsia="宋体" w:hAnsi="Arial" w:cs="Arial"/>
                <w:color w:val="262626"/>
                <w:sz w:val="16"/>
                <w:szCs w:val="16"/>
              </w:rPr>
              <w:t>18</w:t>
            </w:r>
          </w:p>
        </w:tc>
      </w:tr>
    </w:tbl>
    <w:p w14:paraId="5C7C6ADE" w14:textId="77777777" w:rsidR="0008009C" w:rsidRDefault="00936FDF">
      <w:r>
        <w:pict w14:anchorId="5C7C7D22">
          <v:rect id="_x0000_i1044" style="width:415.3pt;height:1.5pt" o:hralign="center" o:hrstd="t" o:hr="t" fillcolor="#a0a0a0" stroked="f"/>
        </w:pict>
      </w:r>
    </w:p>
    <w:p w14:paraId="5C7C6ADF" w14:textId="77777777" w:rsidR="0008009C" w:rsidRDefault="00936FDF">
      <w:pPr>
        <w:spacing w:after="180"/>
        <w:jc w:val="right"/>
      </w:pPr>
      <w:hyperlink r:id="rId43" w:anchor="i3a00378f6cc84b1c9cfc83239548ad53_7" w:history="1">
        <w:r>
          <w:rPr>
            <w:rStyle w:val="a5"/>
            <w:rFonts w:ascii="Arial" w:eastAsia="宋体" w:hAnsi="Arial" w:cs="Arial"/>
            <w:b/>
            <w:bCs/>
            <w:sz w:val="16"/>
            <w:szCs w:val="16"/>
          </w:rPr>
          <w:t>Table of Contents</w:t>
        </w:r>
      </w:hyperlink>
    </w:p>
    <w:p w14:paraId="5C7C6AE0" w14:textId="77777777" w:rsidR="0008009C" w:rsidRDefault="0008009C">
      <w:pPr>
        <w:spacing w:after="180"/>
        <w:jc w:val="right"/>
      </w:pPr>
    </w:p>
    <w:p w14:paraId="5C7C6AE1" w14:textId="77777777" w:rsidR="0008009C" w:rsidRDefault="00936FDF">
      <w:pPr>
        <w:spacing w:after="180"/>
      </w:pPr>
      <w:r>
        <w:rPr>
          <w:rFonts w:ascii="Arial" w:eastAsia="宋体" w:hAnsi="Arial" w:cs="Arial"/>
          <w:color w:val="262626"/>
          <w:sz w:val="18"/>
          <w:szCs w:val="18"/>
        </w:rPr>
        <w:t xml:space="preserve">As of April 21, 2021, consumer class action lawsuits relating to the above class of </w:t>
      </w:r>
      <w:r>
        <w:rPr>
          <w:rFonts w:ascii="Arial" w:eastAsia="宋体" w:hAnsi="Arial" w:cs="Arial"/>
          <w:color w:val="262626"/>
          <w:sz w:val="18"/>
          <w:szCs w:val="18"/>
        </w:rPr>
        <w:t>security vulnerabilities publicly disclosed since 2018 were pending in the United States, Canada, and Israel. The plaintiffs, who purport to represent various classes of purchasers of our products, generally claim to have been harmed by Intel's actions and</w:t>
      </w:r>
      <w:r>
        <w:rPr>
          <w:rFonts w:ascii="Arial" w:eastAsia="宋体" w:hAnsi="Arial" w:cs="Arial"/>
          <w:color w:val="262626"/>
          <w:sz w:val="18"/>
          <w:szCs w:val="18"/>
        </w:rPr>
        <w:t>/or omissions in connection with the security vulnerabilities and assert a variety of common law and statutory claims seeking monetary damages and equitable relief. In the United States, numerous individual class action suits filed in various jurisdictions</w:t>
      </w:r>
      <w:r>
        <w:rPr>
          <w:rFonts w:ascii="Arial" w:eastAsia="宋体" w:hAnsi="Arial" w:cs="Arial"/>
          <w:color w:val="262626"/>
          <w:sz w:val="18"/>
          <w:szCs w:val="18"/>
        </w:rPr>
        <w:t xml:space="preserve"> were consolidated in April 2018 for all pretrial proceedings in the U.S. District Court for the District of Oregon. In March 2020, the court granted Intel's motion to dismiss the complaint in that consolidated action but granted plaintiffs leave to amend.</w:t>
      </w:r>
      <w:r>
        <w:rPr>
          <w:rFonts w:ascii="Arial" w:eastAsia="宋体" w:hAnsi="Arial" w:cs="Arial"/>
          <w:color w:val="262626"/>
          <w:sz w:val="18"/>
          <w:szCs w:val="18"/>
        </w:rPr>
        <w:t xml:space="preserve"> In March 2021, the court granted Intel’s motion to dismiss that amended complaint, but granted plaintiffs leave to further amend in part. In Canada, in one case pending in the Superior Court of Justice of Ontario, an initial status conference has not yet </w:t>
      </w:r>
      <w:r>
        <w:rPr>
          <w:rFonts w:ascii="Arial" w:eastAsia="宋体" w:hAnsi="Arial" w:cs="Arial"/>
          <w:color w:val="262626"/>
          <w:sz w:val="18"/>
          <w:szCs w:val="18"/>
        </w:rPr>
        <w:t>been scheduled. In a second case pending in the Superior Court of Justice of Quebec, a stay of the case is in effect until July 2021. In Israel, two consumer class action lawsuits were filed in the District Court of Haifa. In the first case, the District C</w:t>
      </w:r>
      <w:r>
        <w:rPr>
          <w:rFonts w:ascii="Arial" w:eastAsia="宋体" w:hAnsi="Arial" w:cs="Arial"/>
          <w:color w:val="262626"/>
          <w:sz w:val="18"/>
          <w:szCs w:val="18"/>
        </w:rPr>
        <w:t>ourt denied the parties' joint motion to stay filed in January 2019, but to date has deferred Intel's deadline to respond to the complaint. Intel filed a motion to stay the second case pending resolution of the consolidated proceeding in the United States,</w:t>
      </w:r>
      <w:r>
        <w:rPr>
          <w:rFonts w:ascii="Arial" w:eastAsia="宋体" w:hAnsi="Arial" w:cs="Arial"/>
          <w:color w:val="262626"/>
          <w:sz w:val="18"/>
          <w:szCs w:val="18"/>
        </w:rPr>
        <w:t xml:space="preserve"> and a hearing on that motion has been scheduled for October 2021. Additional lawsuits and claims may be asserted seeking monetary damages or other related relief. We dispute the pending claims described above and intend to defend those lawsuits vigorously</w:t>
      </w:r>
      <w:r>
        <w:rPr>
          <w:rFonts w:ascii="Arial" w:eastAsia="宋体" w:hAnsi="Arial" w:cs="Arial"/>
          <w:color w:val="262626"/>
          <w:sz w:val="18"/>
          <w:szCs w:val="18"/>
        </w:rPr>
        <w:t>. Given the procedural posture and the nature of those cases, including that the pending proceedings are in the early stages, that alleged damages have not been specified, that uncertainty exists as to the likelihood of a class or classes being certified o</w:t>
      </w:r>
      <w:r>
        <w:rPr>
          <w:rFonts w:ascii="Arial" w:eastAsia="宋体" w:hAnsi="Arial" w:cs="Arial"/>
          <w:color w:val="262626"/>
          <w:sz w:val="18"/>
          <w:szCs w:val="18"/>
        </w:rPr>
        <w:t>r the ultimate size of any class or classes if certified, and that there are significant factual and legal issues to be resolved, we are unable to make a reasonable estimate of the potential loss or range of losses, if any, that might arise from those matt</w:t>
      </w:r>
      <w:r>
        <w:rPr>
          <w:rFonts w:ascii="Arial" w:eastAsia="宋体" w:hAnsi="Arial" w:cs="Arial"/>
          <w:color w:val="262626"/>
          <w:sz w:val="18"/>
          <w:szCs w:val="18"/>
        </w:rPr>
        <w:t>ers.</w:t>
      </w:r>
    </w:p>
    <w:p w14:paraId="5C7C6AE2" w14:textId="77777777" w:rsidR="0008009C" w:rsidRDefault="00936FDF">
      <w:pPr>
        <w:spacing w:after="180"/>
      </w:pPr>
      <w:r>
        <w:rPr>
          <w:rFonts w:ascii="Arial" w:eastAsia="宋体" w:hAnsi="Arial" w:cs="Arial"/>
          <w:color w:val="262626"/>
          <w:sz w:val="18"/>
          <w:szCs w:val="18"/>
        </w:rPr>
        <w:t>In addition to these lawsuits, Intel stockholders filed multiple shareholder derivative lawsuits since January 2018 against certain current and former members of our Board of Directors and certain current and former officers, alleging that the defenda</w:t>
      </w:r>
      <w:r>
        <w:rPr>
          <w:rFonts w:ascii="Arial" w:eastAsia="宋体" w:hAnsi="Arial" w:cs="Arial"/>
          <w:color w:val="262626"/>
          <w:sz w:val="18"/>
          <w:szCs w:val="18"/>
        </w:rPr>
        <w:t>nts breached their duties to Intel in connection with the disclosure of the security vulnerabilities and the failure to take action in relation to alleged insider trading. The complaints sought to recover damages from the defendants on behalf of Intel. Som</w:t>
      </w:r>
      <w:r>
        <w:rPr>
          <w:rFonts w:ascii="Arial" w:eastAsia="宋体" w:hAnsi="Arial" w:cs="Arial"/>
          <w:color w:val="262626"/>
          <w:sz w:val="18"/>
          <w:szCs w:val="18"/>
        </w:rPr>
        <w:t>e of the derivative actions were filed in the U.S. District Court for the Northern District of California and were consolidated, and the others were filed in the Superior Court of the State of California in San Mateo County and were consolidated. The feder</w:t>
      </w:r>
      <w:r>
        <w:rPr>
          <w:rFonts w:ascii="Arial" w:eastAsia="宋体" w:hAnsi="Arial" w:cs="Arial"/>
          <w:color w:val="262626"/>
          <w:sz w:val="18"/>
          <w:szCs w:val="18"/>
        </w:rPr>
        <w:t xml:space="preserve">al court granted defendants' motion to dismiss in August 2018 on the ground that plaintiffs failed to plead facts sufficient to show they were excused from making a pre-lawsuit demand on the Board. The federal court granted plaintiffs leave to amend their </w:t>
      </w:r>
      <w:r>
        <w:rPr>
          <w:rFonts w:ascii="Arial" w:eastAsia="宋体" w:hAnsi="Arial" w:cs="Arial"/>
          <w:color w:val="262626"/>
          <w:sz w:val="18"/>
          <w:szCs w:val="18"/>
        </w:rPr>
        <w:t xml:space="preserve">complaint, but subsequently dismissed the cases in January 2019 at plaintiffs' request. The California Superior Court entered judgment in defendants' favor in August 2020 after granting defendants' motions to dismiss plaintiffs' consolidated complaint and </w:t>
      </w:r>
      <w:r>
        <w:rPr>
          <w:rFonts w:ascii="Arial" w:eastAsia="宋体" w:hAnsi="Arial" w:cs="Arial"/>
          <w:color w:val="262626"/>
          <w:sz w:val="18"/>
          <w:szCs w:val="18"/>
        </w:rPr>
        <w:t>three successive amended complaints, all for failure to plead facts sufficient to show plaintiffs were excused from making pre-lawsuit demand on the Board. Plaintiffs filed a notice of appeal of the California court's judgment in October 2020.</w:t>
      </w:r>
    </w:p>
    <w:p w14:paraId="5C7C6AE3" w14:textId="77777777" w:rsidR="0008009C" w:rsidRDefault="00936FDF">
      <w:pPr>
        <w:spacing w:after="180"/>
      </w:pPr>
      <w:r>
        <w:rPr>
          <w:rFonts w:ascii="Arial" w:eastAsia="宋体" w:hAnsi="Arial" w:cs="Arial"/>
          <w:color w:val="262626"/>
          <w:sz w:val="18"/>
          <w:szCs w:val="18"/>
        </w:rPr>
        <w:t>In January 2</w:t>
      </w:r>
      <w:r>
        <w:rPr>
          <w:rFonts w:ascii="Arial" w:eastAsia="宋体" w:hAnsi="Arial" w:cs="Arial"/>
          <w:color w:val="262626"/>
          <w:sz w:val="18"/>
          <w:szCs w:val="18"/>
        </w:rPr>
        <w:t>021, another Intel stockholder filed a derivative lawsuit in the Superior Court in San Mateo County against certain current and former officers and members of our Board of Directors. The lawsuit asserts claims similar to those dismissed in August 2020, exc</w:t>
      </w:r>
      <w:r>
        <w:rPr>
          <w:rFonts w:ascii="Arial" w:eastAsia="宋体" w:hAnsi="Arial" w:cs="Arial"/>
          <w:color w:val="262626"/>
          <w:sz w:val="18"/>
          <w:szCs w:val="18"/>
        </w:rPr>
        <w:t xml:space="preserve">ept that it alleges that the stockholder made a pre-lawsuit demand on our Board of Directors and that the demand was wrongfully refused. Defendants moved to dismiss or stay the action in March 2021, because Intel’s bylaws require such claims to be brought </w:t>
      </w:r>
      <w:r>
        <w:rPr>
          <w:rFonts w:ascii="Arial" w:eastAsia="宋体" w:hAnsi="Arial" w:cs="Arial"/>
          <w:color w:val="262626"/>
          <w:sz w:val="18"/>
          <w:szCs w:val="18"/>
        </w:rPr>
        <w:t xml:space="preserve">in Delaware. </w:t>
      </w:r>
    </w:p>
    <w:p w14:paraId="5C7C6AE4" w14:textId="77777777" w:rsidR="0008009C" w:rsidRDefault="00936FDF">
      <w:pPr>
        <w:spacing w:after="120"/>
      </w:pPr>
      <w:r>
        <w:rPr>
          <w:rFonts w:ascii="Arial" w:eastAsia="宋体" w:hAnsi="Arial" w:cs="Arial"/>
          <w:color w:val="0068B5"/>
          <w:sz w:val="20"/>
          <w:szCs w:val="20"/>
        </w:rPr>
        <w:t>Institute of Microelectronics, Chinese Academy of Sciences v. Intel China, Ltd., et al.</w:t>
      </w:r>
    </w:p>
    <w:p w14:paraId="5C7C6AE5" w14:textId="77777777" w:rsidR="0008009C" w:rsidRDefault="00936FDF">
      <w:pPr>
        <w:spacing w:after="180"/>
      </w:pPr>
      <w:r>
        <w:rPr>
          <w:rFonts w:ascii="Arial" w:eastAsia="宋体" w:hAnsi="Arial" w:cs="Arial"/>
          <w:color w:val="262626"/>
          <w:sz w:val="18"/>
          <w:szCs w:val="18"/>
        </w:rPr>
        <w:t>In February 2018, the Institute of Microelectronics of the Chinese Academy of Sciences (IMECAS) sued Intel China, Ltd., Dell China, Ltd. (Dell), and Beiji</w:t>
      </w:r>
      <w:r>
        <w:rPr>
          <w:rFonts w:ascii="Arial" w:eastAsia="宋体" w:hAnsi="Arial" w:cs="Arial"/>
          <w:color w:val="262626"/>
          <w:sz w:val="18"/>
          <w:szCs w:val="18"/>
        </w:rPr>
        <w:t xml:space="preserve">ng JingDong Century Information Technology, Ltd. (JD) for patent infringement in the Beijing High Court. IMECAS alleges that Intel’s Core series processors infringe Chinese patent CN 102956457 (’457 Patent). The complaint demands an injunction and damages </w:t>
      </w:r>
      <w:r>
        <w:rPr>
          <w:rFonts w:ascii="Arial" w:eastAsia="宋体" w:hAnsi="Arial" w:cs="Arial"/>
          <w:color w:val="262626"/>
          <w:sz w:val="18"/>
          <w:szCs w:val="18"/>
        </w:rPr>
        <w:t>of at least RMB 200,000,000 plus the cost of litigation. A trial date is not yet set. In March 2018, Dell tendered indemnity to Intel, which Intel granted in April 2018. JD also tendered indemnity to Intel, which Intel granted in October 2018. In March 201</w:t>
      </w:r>
      <w:r>
        <w:rPr>
          <w:rFonts w:ascii="Arial" w:eastAsia="宋体" w:hAnsi="Arial" w:cs="Arial"/>
          <w:color w:val="262626"/>
          <w:sz w:val="18"/>
          <w:szCs w:val="18"/>
        </w:rPr>
        <w:t>8, Intel filed an invalidation request on the ‘457 patent with the Chinese Patent Review Board (PRB). The PRB held an oral hearing in September 2018 and in February 2019 upheld the validity of the challenged claims. Intel filed a complaint in April 2019 wi</w:t>
      </w:r>
      <w:r>
        <w:rPr>
          <w:rFonts w:ascii="Arial" w:eastAsia="宋体" w:hAnsi="Arial" w:cs="Arial"/>
          <w:color w:val="262626"/>
          <w:sz w:val="18"/>
          <w:szCs w:val="18"/>
        </w:rPr>
        <w:t>th the Beijing Intellectual Property Court challenging the February 2019 PRB ruling. In January 2020, Intel filed a second invalidation request on the ‘457 patent with the PRB, for which the PRB heard oral argument in July 2020 and in November 2020 held th</w:t>
      </w:r>
      <w:r>
        <w:rPr>
          <w:rFonts w:ascii="Arial" w:eastAsia="宋体" w:hAnsi="Arial" w:cs="Arial"/>
          <w:color w:val="262626"/>
          <w:sz w:val="18"/>
          <w:szCs w:val="18"/>
        </w:rPr>
        <w:t>e challenged apparatus claims invalid. IMECAS filed a complaint in February 2021 with the Beijing Intellectual Property Court challenging the November 2020 PRB ruling. In December 2020, Intel filed a third invalidation request on the ’457 patent with the P</w:t>
      </w:r>
      <w:r>
        <w:rPr>
          <w:rFonts w:ascii="Arial" w:eastAsia="宋体" w:hAnsi="Arial" w:cs="Arial"/>
          <w:color w:val="262626"/>
          <w:sz w:val="18"/>
          <w:szCs w:val="18"/>
        </w:rPr>
        <w:t xml:space="preserve">RB.  A hearing on Intel’s third PRB invalidation request on the ’457 patent is scheduled for May 2021. In September 2018 and March 2019, Intel filed petitions with the U. S. Patent &amp; Trademark Office (USPTO) requesting institution of </w:t>
      </w:r>
      <w:r>
        <w:rPr>
          <w:rFonts w:ascii="Arial" w:eastAsia="宋体" w:hAnsi="Arial" w:cs="Arial"/>
          <w:i/>
          <w:iCs/>
          <w:color w:val="262626"/>
          <w:sz w:val="18"/>
          <w:szCs w:val="18"/>
        </w:rPr>
        <w:t>inter partes</w:t>
      </w:r>
      <w:r>
        <w:rPr>
          <w:rFonts w:ascii="Arial" w:eastAsia="宋体" w:hAnsi="Arial" w:cs="Arial"/>
          <w:color w:val="262626"/>
          <w:sz w:val="18"/>
          <w:szCs w:val="18"/>
        </w:rPr>
        <w:t xml:space="preserve"> review (IPR) of U.S. Patent No. 9,070,719, the U.S. counterpart to the ‘457 patent. The USPTO denied institution of Intel’s petitions in March and October 2019, respectively. In April 2019, Intel filed a request for rehearing and a petition for a Preceden</w:t>
      </w:r>
      <w:r>
        <w:rPr>
          <w:rFonts w:ascii="Arial" w:eastAsia="宋体" w:hAnsi="Arial" w:cs="Arial"/>
          <w:color w:val="262626"/>
          <w:sz w:val="18"/>
          <w:szCs w:val="18"/>
        </w:rPr>
        <w:t>tial Opinion Panel (POP) in the USPTO to challenge the denial of its first IPR petition, and in November 2019 Intel filed a request for rehearing on the second IPR petition. In January 2020, the USPTO denied the POP petition on the first IPR petition. In J</w:t>
      </w:r>
      <w:r>
        <w:rPr>
          <w:rFonts w:ascii="Arial" w:eastAsia="宋体" w:hAnsi="Arial" w:cs="Arial"/>
          <w:color w:val="262626"/>
          <w:sz w:val="18"/>
          <w:szCs w:val="18"/>
        </w:rPr>
        <w:t>une 2020, the Patent Trial and Appeal Board denied Intel's rehearing requests on both petitions.</w:t>
      </w:r>
    </w:p>
    <w:p w14:paraId="5C7C6AE6" w14:textId="77777777" w:rsidR="0008009C" w:rsidRDefault="0008009C">
      <w:pPr>
        <w:spacing w:after="180"/>
      </w:pPr>
    </w:p>
    <w:p w14:paraId="5C7C6AE7" w14:textId="77777777" w:rsidR="0008009C" w:rsidRDefault="0008009C">
      <w:pPr>
        <w:spacing w:after="180"/>
      </w:pPr>
    </w:p>
    <w:p w14:paraId="5C7C6AE8" w14:textId="77777777" w:rsidR="0008009C" w:rsidRDefault="0008009C">
      <w:pPr>
        <w:spacing w:after="180"/>
      </w:pPr>
    </w:p>
    <w:p w14:paraId="5C7C6AE9" w14:textId="77777777" w:rsidR="0008009C" w:rsidRDefault="0008009C">
      <w:pPr>
        <w:spacing w:after="180"/>
      </w:pPr>
    </w:p>
    <w:p w14:paraId="5C7C6AEA" w14:textId="77777777" w:rsidR="0008009C" w:rsidRDefault="0008009C">
      <w:pPr>
        <w:spacing w:after="180"/>
      </w:pPr>
    </w:p>
    <w:p w14:paraId="5C7C6AEB" w14:textId="77777777" w:rsidR="0008009C" w:rsidRDefault="0008009C">
      <w:pPr>
        <w:spacing w:after="180"/>
      </w:pPr>
    </w:p>
    <w:p w14:paraId="5C7C6AEC" w14:textId="77777777" w:rsidR="0008009C" w:rsidRDefault="0008009C">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8009C" w14:paraId="5C7C6AF9" w14:textId="77777777">
        <w:tc>
          <w:tcPr>
            <w:tcW w:w="50" w:type="pct"/>
            <w:shd w:val="clear" w:color="auto" w:fill="auto"/>
            <w:vAlign w:val="bottom"/>
          </w:tcPr>
          <w:p w14:paraId="5C7C6AED" w14:textId="77777777" w:rsidR="0008009C" w:rsidRDefault="0008009C">
            <w:pPr>
              <w:rPr>
                <w:rFonts w:ascii="宋体"/>
              </w:rPr>
            </w:pPr>
          </w:p>
        </w:tc>
        <w:tc>
          <w:tcPr>
            <w:tcW w:w="238" w:type="pct"/>
            <w:shd w:val="clear" w:color="auto" w:fill="auto"/>
            <w:vAlign w:val="bottom"/>
          </w:tcPr>
          <w:p w14:paraId="5C7C6AEE" w14:textId="77777777" w:rsidR="0008009C" w:rsidRDefault="0008009C">
            <w:pPr>
              <w:rPr>
                <w:rFonts w:ascii="宋体"/>
              </w:rPr>
            </w:pPr>
          </w:p>
        </w:tc>
        <w:tc>
          <w:tcPr>
            <w:tcW w:w="5" w:type="pct"/>
            <w:shd w:val="clear" w:color="auto" w:fill="auto"/>
            <w:vAlign w:val="bottom"/>
          </w:tcPr>
          <w:p w14:paraId="5C7C6AEF" w14:textId="77777777" w:rsidR="0008009C" w:rsidRDefault="0008009C">
            <w:pPr>
              <w:rPr>
                <w:rFonts w:ascii="宋体"/>
              </w:rPr>
            </w:pPr>
          </w:p>
        </w:tc>
        <w:tc>
          <w:tcPr>
            <w:tcW w:w="50" w:type="pct"/>
            <w:shd w:val="clear" w:color="auto" w:fill="auto"/>
            <w:vAlign w:val="bottom"/>
          </w:tcPr>
          <w:p w14:paraId="5C7C6AF0" w14:textId="77777777" w:rsidR="0008009C" w:rsidRDefault="0008009C">
            <w:pPr>
              <w:rPr>
                <w:rFonts w:ascii="宋体"/>
              </w:rPr>
            </w:pPr>
          </w:p>
        </w:tc>
        <w:tc>
          <w:tcPr>
            <w:tcW w:w="983" w:type="pct"/>
            <w:shd w:val="clear" w:color="auto" w:fill="auto"/>
            <w:vAlign w:val="bottom"/>
          </w:tcPr>
          <w:p w14:paraId="5C7C6AF1" w14:textId="77777777" w:rsidR="0008009C" w:rsidRDefault="0008009C">
            <w:pPr>
              <w:rPr>
                <w:rFonts w:ascii="宋体"/>
              </w:rPr>
            </w:pPr>
          </w:p>
        </w:tc>
        <w:tc>
          <w:tcPr>
            <w:tcW w:w="5" w:type="pct"/>
            <w:shd w:val="clear" w:color="auto" w:fill="auto"/>
            <w:vAlign w:val="bottom"/>
          </w:tcPr>
          <w:p w14:paraId="5C7C6AF2" w14:textId="77777777" w:rsidR="0008009C" w:rsidRDefault="0008009C">
            <w:pPr>
              <w:rPr>
                <w:rFonts w:ascii="宋体"/>
              </w:rPr>
            </w:pPr>
          </w:p>
        </w:tc>
        <w:tc>
          <w:tcPr>
            <w:tcW w:w="50" w:type="pct"/>
            <w:shd w:val="clear" w:color="auto" w:fill="auto"/>
            <w:vAlign w:val="bottom"/>
          </w:tcPr>
          <w:p w14:paraId="5C7C6AF3" w14:textId="77777777" w:rsidR="0008009C" w:rsidRDefault="0008009C">
            <w:pPr>
              <w:rPr>
                <w:rFonts w:ascii="宋体"/>
              </w:rPr>
            </w:pPr>
          </w:p>
        </w:tc>
        <w:tc>
          <w:tcPr>
            <w:tcW w:w="2035" w:type="pct"/>
            <w:shd w:val="clear" w:color="auto" w:fill="auto"/>
            <w:vAlign w:val="bottom"/>
          </w:tcPr>
          <w:p w14:paraId="5C7C6AF4" w14:textId="77777777" w:rsidR="0008009C" w:rsidRDefault="0008009C">
            <w:pPr>
              <w:rPr>
                <w:rFonts w:ascii="宋体"/>
              </w:rPr>
            </w:pPr>
          </w:p>
        </w:tc>
        <w:tc>
          <w:tcPr>
            <w:tcW w:w="5" w:type="pct"/>
            <w:shd w:val="clear" w:color="auto" w:fill="auto"/>
            <w:vAlign w:val="bottom"/>
          </w:tcPr>
          <w:p w14:paraId="5C7C6AF5" w14:textId="77777777" w:rsidR="0008009C" w:rsidRDefault="0008009C">
            <w:pPr>
              <w:rPr>
                <w:rFonts w:ascii="宋体"/>
              </w:rPr>
            </w:pPr>
          </w:p>
        </w:tc>
        <w:tc>
          <w:tcPr>
            <w:tcW w:w="50" w:type="pct"/>
            <w:shd w:val="clear" w:color="auto" w:fill="auto"/>
            <w:vAlign w:val="bottom"/>
          </w:tcPr>
          <w:p w14:paraId="5C7C6AF6" w14:textId="77777777" w:rsidR="0008009C" w:rsidRDefault="0008009C">
            <w:pPr>
              <w:rPr>
                <w:rFonts w:ascii="宋体"/>
              </w:rPr>
            </w:pPr>
          </w:p>
        </w:tc>
        <w:tc>
          <w:tcPr>
            <w:tcW w:w="1522" w:type="pct"/>
            <w:shd w:val="clear" w:color="auto" w:fill="auto"/>
            <w:vAlign w:val="bottom"/>
          </w:tcPr>
          <w:p w14:paraId="5C7C6AF7" w14:textId="77777777" w:rsidR="0008009C" w:rsidRDefault="0008009C">
            <w:pPr>
              <w:rPr>
                <w:rFonts w:ascii="宋体"/>
              </w:rPr>
            </w:pPr>
          </w:p>
        </w:tc>
        <w:tc>
          <w:tcPr>
            <w:tcW w:w="5" w:type="pct"/>
            <w:shd w:val="clear" w:color="auto" w:fill="auto"/>
            <w:vAlign w:val="bottom"/>
          </w:tcPr>
          <w:p w14:paraId="5C7C6AF8" w14:textId="77777777" w:rsidR="0008009C" w:rsidRDefault="0008009C">
            <w:pPr>
              <w:rPr>
                <w:rFonts w:ascii="宋体"/>
              </w:rPr>
            </w:pPr>
          </w:p>
        </w:tc>
      </w:tr>
      <w:tr w:rsidR="0008009C" w14:paraId="5C7C6AFE"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6AFA"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23" wp14:editId="5C7C7D24">
                  <wp:extent cx="304800" cy="304800"/>
                  <wp:effectExtent l="0" t="0" r="0" b="0"/>
                  <wp:docPr id="95" name="图片 77"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77"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AFB"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6AFC" w14:textId="77777777" w:rsidR="0008009C" w:rsidRDefault="00936FDF">
            <w:pPr>
              <w:textAlignment w:val="center"/>
            </w:pPr>
            <w:r>
              <w:rPr>
                <w:rFonts w:ascii="Arial" w:eastAsia="宋体" w:hAnsi="Arial" w:cs="Arial"/>
                <w:color w:val="262626"/>
                <w:sz w:val="16"/>
                <w:szCs w:val="16"/>
              </w:rPr>
              <w:t> Notes to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AFD" w14:textId="77777777" w:rsidR="0008009C" w:rsidRDefault="00936FDF">
            <w:pPr>
              <w:jc w:val="right"/>
              <w:textAlignment w:val="center"/>
            </w:pPr>
            <w:r>
              <w:rPr>
                <w:rFonts w:ascii="Arial" w:eastAsia="宋体" w:hAnsi="Arial" w:cs="Arial"/>
                <w:color w:val="262626"/>
                <w:sz w:val="16"/>
                <w:szCs w:val="16"/>
              </w:rPr>
              <w:t>19</w:t>
            </w:r>
          </w:p>
        </w:tc>
      </w:tr>
    </w:tbl>
    <w:p w14:paraId="5C7C6AFF" w14:textId="77777777" w:rsidR="0008009C" w:rsidRDefault="00936FDF">
      <w:r>
        <w:pict w14:anchorId="5C7C7D25">
          <v:rect id="_x0000_i1045" style="width:415.3pt;height:1.5pt" o:hralign="center" o:hrstd="t" o:hr="t" fillcolor="#a0a0a0" stroked="f"/>
        </w:pict>
      </w:r>
    </w:p>
    <w:p w14:paraId="5C7C6B00" w14:textId="77777777" w:rsidR="0008009C" w:rsidRDefault="00936FDF">
      <w:pPr>
        <w:spacing w:after="180"/>
        <w:jc w:val="right"/>
      </w:pPr>
      <w:hyperlink r:id="rId44" w:anchor="i3a00378f6cc84b1c9cfc83239548ad53_7" w:history="1">
        <w:r>
          <w:rPr>
            <w:rStyle w:val="a5"/>
            <w:rFonts w:ascii="Arial" w:eastAsia="宋体" w:hAnsi="Arial" w:cs="Arial"/>
            <w:b/>
            <w:bCs/>
            <w:sz w:val="16"/>
            <w:szCs w:val="16"/>
          </w:rPr>
          <w:t>Table of Contents</w:t>
        </w:r>
      </w:hyperlink>
    </w:p>
    <w:p w14:paraId="5C7C6B01" w14:textId="77777777" w:rsidR="0008009C" w:rsidRDefault="0008009C">
      <w:pPr>
        <w:spacing w:after="180"/>
        <w:jc w:val="right"/>
      </w:pPr>
    </w:p>
    <w:p w14:paraId="5C7C6B02" w14:textId="77777777" w:rsidR="0008009C" w:rsidRDefault="00936FDF">
      <w:pPr>
        <w:spacing w:after="180"/>
      </w:pPr>
      <w:r>
        <w:rPr>
          <w:rFonts w:ascii="Arial" w:eastAsia="宋体" w:hAnsi="Arial" w:cs="Arial"/>
          <w:color w:val="262626"/>
          <w:sz w:val="18"/>
          <w:szCs w:val="18"/>
        </w:rPr>
        <w:t>In October 2019, IMECAS filed second and third lawsuits, in the Beijing IP Court, al</w:t>
      </w:r>
      <w:r>
        <w:rPr>
          <w:rFonts w:ascii="Arial" w:eastAsia="宋体" w:hAnsi="Arial" w:cs="Arial"/>
          <w:color w:val="262626"/>
          <w:sz w:val="18"/>
          <w:szCs w:val="18"/>
        </w:rPr>
        <w:t>leging infringement of Chinese Patent No. CN 102386226 (‘226 Patent) based on the manufacturing and sale of Intel’s Core i3 microprocessors. Defendants in the second case are Lenovo (Beijing) Co., Ltd. (Lenovo) and Beijing Jiayun Huitong Technology Develop</w:t>
      </w:r>
      <w:r>
        <w:rPr>
          <w:rFonts w:ascii="Arial" w:eastAsia="宋体" w:hAnsi="Arial" w:cs="Arial"/>
          <w:color w:val="262626"/>
          <w:sz w:val="18"/>
          <w:szCs w:val="18"/>
        </w:rPr>
        <w:t>ment Co. Ltd. (BJHT). Defendants in the third case are Intel Corp., Intel China Co., Ltd., the Intel China Beijing Branch, Beijing Digital China Co., Ltd. (Digital China), and JD. Both complaints demand injunctions plus litigation costs and reserve the rig</w:t>
      </w:r>
      <w:r>
        <w:rPr>
          <w:rFonts w:ascii="Arial" w:eastAsia="宋体" w:hAnsi="Arial" w:cs="Arial"/>
          <w:color w:val="262626"/>
          <w:sz w:val="18"/>
          <w:szCs w:val="18"/>
        </w:rPr>
        <w:t>ht to claim damages in unspecified amounts. No proceedings have occurred or are yet scheduled in these lawsuits. In December 2019, Lenovo tendered indemnity to Intel, which Intel granted in March 2020. In July 2020, Intel filed two invalidation requests on</w:t>
      </w:r>
      <w:r>
        <w:rPr>
          <w:rFonts w:ascii="Arial" w:eastAsia="宋体" w:hAnsi="Arial" w:cs="Arial"/>
          <w:color w:val="262626"/>
          <w:sz w:val="18"/>
          <w:szCs w:val="18"/>
        </w:rPr>
        <w:t xml:space="preserve"> the '226 patent with the Chinese PRB. The PRB heard oral argument in December 2020, during which IMECAS proposed amendments to two claims. The PRB ruled in April 2021 on both invalidation requests, finding the two amended claims as well as the unamended c</w:t>
      </w:r>
      <w:r>
        <w:rPr>
          <w:rFonts w:ascii="Arial" w:eastAsia="宋体" w:hAnsi="Arial" w:cs="Arial"/>
          <w:color w:val="262626"/>
          <w:sz w:val="18"/>
          <w:szCs w:val="18"/>
        </w:rPr>
        <w:t>laims not invalid. Given the procedural posture and the nature of these cases, the unspecified nature and extent of damages claimed by IMECAS, and uncertainty regarding the availability of injunctive relief under applicable law, we are unable to make a rea</w:t>
      </w:r>
      <w:r>
        <w:rPr>
          <w:rFonts w:ascii="Arial" w:eastAsia="宋体" w:hAnsi="Arial" w:cs="Arial"/>
          <w:color w:val="262626"/>
          <w:sz w:val="18"/>
          <w:szCs w:val="18"/>
        </w:rPr>
        <w:t>sonable estimate of the potential loss or range of losses, if any, arising from these matters. We dispute IMECAS’s claims and intend to vigorously defend against them.</w:t>
      </w:r>
    </w:p>
    <w:p w14:paraId="5C7C6B03" w14:textId="77777777" w:rsidR="0008009C" w:rsidRDefault="00936FDF">
      <w:pPr>
        <w:spacing w:after="120"/>
      </w:pPr>
      <w:r>
        <w:rPr>
          <w:rFonts w:ascii="Arial" w:eastAsia="宋体" w:hAnsi="Arial" w:cs="Arial"/>
          <w:color w:val="0068B5"/>
          <w:sz w:val="20"/>
          <w:szCs w:val="20"/>
        </w:rPr>
        <w:t>VLSI Technology LLC v. Intel</w:t>
      </w:r>
      <w:r>
        <w:rPr>
          <w:rFonts w:ascii="Arial" w:eastAsia="宋体" w:hAnsi="Arial" w:cs="Arial"/>
          <w:b/>
          <w:bCs/>
          <w:i/>
          <w:iCs/>
          <w:color w:val="262626"/>
          <w:sz w:val="18"/>
          <w:szCs w:val="18"/>
        </w:rPr>
        <w:t xml:space="preserve"> </w:t>
      </w:r>
    </w:p>
    <w:p w14:paraId="5C7C6B04" w14:textId="77777777" w:rsidR="0008009C" w:rsidRDefault="00936FDF">
      <w:pPr>
        <w:spacing w:after="180"/>
      </w:pPr>
      <w:r>
        <w:rPr>
          <w:rFonts w:ascii="Arial" w:eastAsia="宋体" w:hAnsi="Arial" w:cs="Arial"/>
          <w:color w:val="262626"/>
          <w:sz w:val="18"/>
          <w:szCs w:val="18"/>
        </w:rPr>
        <w:t xml:space="preserve">In October 2017, VLSI filed a complaint against Intel in </w:t>
      </w:r>
      <w:r>
        <w:rPr>
          <w:rFonts w:ascii="Arial" w:eastAsia="宋体" w:hAnsi="Arial" w:cs="Arial"/>
          <w:color w:val="262626"/>
          <w:sz w:val="18"/>
          <w:szCs w:val="18"/>
        </w:rPr>
        <w:t>the U.S. District Court for the Northern District of California alleging infringement of eight patents acquired from NXP Semiconductors, N.V. (NXP). The patents, which originated at Freescale Semiconductor, Inc. and NXP B.V., are U.S. Patent Nos. 7,268,588</w:t>
      </w:r>
      <w:r>
        <w:rPr>
          <w:rFonts w:ascii="Arial" w:eastAsia="宋体" w:hAnsi="Arial" w:cs="Arial"/>
          <w:color w:val="262626"/>
          <w:sz w:val="18"/>
          <w:szCs w:val="18"/>
        </w:rPr>
        <w:t>; 7,675,806; 7,706,207; 7,709,303; 8,004,922; 8,020,014; 8,268,672; and 8,566,836. VLSI accuses various FPGA and processor products of infringement. VLSI estimated its damages to be as high as $7.1 billion, and its complaint further sought enhanced damages</w:t>
      </w:r>
      <w:r>
        <w:rPr>
          <w:rFonts w:ascii="Arial" w:eastAsia="宋体" w:hAnsi="Arial" w:cs="Arial"/>
          <w:color w:val="262626"/>
          <w:sz w:val="18"/>
          <w:szCs w:val="18"/>
        </w:rPr>
        <w:t>, future royalties, attorneys’ fees, costs, and interest. In May, June, September, and October 2018, Intel filed IPR petitions challenging the patentability of certain claims in all eight of the patents in-suit. The PTAB instituted review of six patents an</w:t>
      </w:r>
      <w:r>
        <w:rPr>
          <w:rFonts w:ascii="Arial" w:eastAsia="宋体" w:hAnsi="Arial" w:cs="Arial"/>
          <w:color w:val="262626"/>
          <w:sz w:val="18"/>
          <w:szCs w:val="18"/>
        </w:rPr>
        <w:t>d denied institution on two patents. As a result of the institution decisions, the parties stipulated to stay the District Court action in March 2019. In December 2019 and February 2020, the PTAB found all claims of the '588 and '303 patents, and some clai</w:t>
      </w:r>
      <w:r>
        <w:rPr>
          <w:rFonts w:ascii="Arial" w:eastAsia="宋体" w:hAnsi="Arial" w:cs="Arial"/>
          <w:color w:val="262626"/>
          <w:sz w:val="18"/>
          <w:szCs w:val="18"/>
        </w:rPr>
        <w:t>ms of the '922 patent, to be unpatentable. The PTAB found the challenged claims of the '014, '672, and '207 patents to be patentable. Intel moved for a continuation of the stay in March 2020 as it appealed certain rulings by the PTAB. In June 2020, the Dis</w:t>
      </w:r>
      <w:r>
        <w:rPr>
          <w:rFonts w:ascii="Arial" w:eastAsia="宋体" w:hAnsi="Arial" w:cs="Arial"/>
          <w:color w:val="262626"/>
          <w:sz w:val="18"/>
          <w:szCs w:val="18"/>
        </w:rPr>
        <w:t>trict Court issued an order continuing the stay through August 2021 and setting trial for December 2022. The Federal Circuit has thus far affirmed the PTAB’s decisions as to the ‘207 and ‘672 patents.</w:t>
      </w:r>
    </w:p>
    <w:p w14:paraId="5C7C6B05" w14:textId="77777777" w:rsidR="0008009C" w:rsidRDefault="00936FDF">
      <w:pPr>
        <w:spacing w:after="180"/>
      </w:pPr>
      <w:r>
        <w:rPr>
          <w:rFonts w:ascii="Arial" w:eastAsia="宋体" w:hAnsi="Arial" w:cs="Arial"/>
          <w:color w:val="262626"/>
          <w:sz w:val="18"/>
          <w:szCs w:val="18"/>
        </w:rPr>
        <w:t>In June 2018, VLSI filed a second suit against Intel, i</w:t>
      </w:r>
      <w:r>
        <w:rPr>
          <w:rFonts w:ascii="Arial" w:eastAsia="宋体" w:hAnsi="Arial" w:cs="Arial"/>
          <w:color w:val="262626"/>
          <w:sz w:val="18"/>
          <w:szCs w:val="18"/>
        </w:rPr>
        <w:t>n U.S. District Court for the District of Delaware, alleging infringement by various Intel processors of five additional patents acquired from NXP: U.S. Patent Nos. 6,212,663; 7,246,027; 7,247,552; 7,523,331; and 8,081,026. VLSI accused Intel of willful in</w:t>
      </w:r>
      <w:r>
        <w:rPr>
          <w:rFonts w:ascii="Arial" w:eastAsia="宋体" w:hAnsi="Arial" w:cs="Arial"/>
          <w:color w:val="262626"/>
          <w:sz w:val="18"/>
          <w:szCs w:val="18"/>
        </w:rPr>
        <w:t>fringement and seeks an injunction or, in the alternative, ongoing royalties, enhanced damages, attorneys’ fees and costs, and interest. In March 2019, the District Court dismissed VLSI’s claims for willful infringement as to all the patents-in-suit except</w:t>
      </w:r>
      <w:r>
        <w:rPr>
          <w:rFonts w:ascii="Arial" w:eastAsia="宋体" w:hAnsi="Arial" w:cs="Arial"/>
          <w:color w:val="262626"/>
          <w:sz w:val="18"/>
          <w:szCs w:val="18"/>
        </w:rPr>
        <w:t xml:space="preserve"> the ‘027 patent, and also dismissed VLSI’s allegations of indirect infringement as to the ‘633, ‘331, and ‘026 patents. In June 2019, Intel filed requests for </w:t>
      </w:r>
      <w:r>
        <w:rPr>
          <w:rFonts w:ascii="Arial" w:eastAsia="宋体" w:hAnsi="Arial" w:cs="Arial"/>
          <w:i/>
          <w:iCs/>
          <w:color w:val="262626"/>
          <w:sz w:val="18"/>
          <w:szCs w:val="18"/>
        </w:rPr>
        <w:t>inter partes</w:t>
      </w:r>
      <w:r>
        <w:rPr>
          <w:rFonts w:ascii="Arial" w:eastAsia="宋体" w:hAnsi="Arial" w:cs="Arial"/>
          <w:color w:val="262626"/>
          <w:sz w:val="18"/>
          <w:szCs w:val="18"/>
        </w:rPr>
        <w:t xml:space="preserve"> review of the patentability of claims in all five patents-in-suit. In January 2020,</w:t>
      </w:r>
      <w:r>
        <w:rPr>
          <w:rFonts w:ascii="Arial" w:eastAsia="宋体" w:hAnsi="Arial" w:cs="Arial"/>
          <w:color w:val="262626"/>
          <w:sz w:val="18"/>
          <w:szCs w:val="18"/>
        </w:rPr>
        <w:t xml:space="preserve"> the District Court vacated the November 2020 trial date based on agreement of the parties; no trial date is currently set. In January and February 2020, the PTAB instituted review of the '552, '633, '331, and '026 patents and as a result Intel moved for s</w:t>
      </w:r>
      <w:r>
        <w:rPr>
          <w:rFonts w:ascii="Arial" w:eastAsia="宋体" w:hAnsi="Arial" w:cs="Arial"/>
          <w:color w:val="262626"/>
          <w:sz w:val="18"/>
          <w:szCs w:val="18"/>
        </w:rPr>
        <w:t>tay of the District Court proceedings. In May 2020, the District Court stayed the case as to the '026 and '552 patents but allowed the case to proceed on the '027 and '331 patents. In January 2021, the PTAB invalidated certain asserted claims of the ‘026 p</w:t>
      </w:r>
      <w:r>
        <w:rPr>
          <w:rFonts w:ascii="Arial" w:eastAsia="宋体" w:hAnsi="Arial" w:cs="Arial"/>
          <w:color w:val="262626"/>
          <w:sz w:val="18"/>
          <w:szCs w:val="18"/>
        </w:rPr>
        <w:t>atent, and in February the PTAB invalidated all asserted claims of the ‘552 patent. Intel filed a notice of appeal regarding the PTAB’s decision as to the ‘026 patent in March 2021, and the case remains stayed as to that patent. For the '027 and '331 paten</w:t>
      </w:r>
      <w:r>
        <w:rPr>
          <w:rFonts w:ascii="Arial" w:eastAsia="宋体" w:hAnsi="Arial" w:cs="Arial"/>
          <w:color w:val="262626"/>
          <w:sz w:val="18"/>
          <w:szCs w:val="18"/>
        </w:rPr>
        <w:t xml:space="preserve">ts, VLSI is seeking damages of approximately $4.13 billion plus enhanced damages for the '027 patent. VLSI is no longer asserting claims from the '633 patent. </w:t>
      </w:r>
    </w:p>
    <w:p w14:paraId="5C7C6B06" w14:textId="77777777" w:rsidR="0008009C" w:rsidRDefault="00936FDF">
      <w:pPr>
        <w:spacing w:after="180"/>
      </w:pPr>
      <w:r>
        <w:rPr>
          <w:rFonts w:ascii="Arial" w:eastAsia="宋体" w:hAnsi="Arial" w:cs="Arial"/>
          <w:color w:val="262626"/>
          <w:sz w:val="18"/>
          <w:szCs w:val="18"/>
        </w:rPr>
        <w:t>In March 2019, VLSI filed a third suit against Intel, also in U.S. District Court for the Distri</w:t>
      </w:r>
      <w:r>
        <w:rPr>
          <w:rFonts w:ascii="Arial" w:eastAsia="宋体" w:hAnsi="Arial" w:cs="Arial"/>
          <w:color w:val="262626"/>
          <w:sz w:val="18"/>
          <w:szCs w:val="18"/>
        </w:rPr>
        <w:t>ct of Delaware, alleging infringement of six more patents acquired from NXP: U.S. Patent Nos. 6,366,522; 6,663,187; 7,292,485; 7,606,983; 7,725,759; and 7,793,025. In April 2019, VLSI voluntarily dismissed this Delaware case without prejudice. In April 201</w:t>
      </w:r>
      <w:r>
        <w:rPr>
          <w:rFonts w:ascii="Arial" w:eastAsia="宋体" w:hAnsi="Arial" w:cs="Arial"/>
          <w:color w:val="262626"/>
          <w:sz w:val="18"/>
          <w:szCs w:val="18"/>
        </w:rPr>
        <w:t>9, VLSI filed three new infringement suits against Intel in the U.S. District Court for the Western District of Texas (WDTX) accusing various Intel processors of infringement. The three suits collectively assert the same six patents from the voluntarily di</w:t>
      </w:r>
      <w:r>
        <w:rPr>
          <w:rFonts w:ascii="Arial" w:eastAsia="宋体" w:hAnsi="Arial" w:cs="Arial"/>
          <w:color w:val="262626"/>
          <w:sz w:val="18"/>
          <w:szCs w:val="18"/>
        </w:rPr>
        <w:t>smissed Delaware case plus two additional patents acquired from NXP, U.S. Patent Nos. 7,523,373 and 8,156,357. VLSI accuses Intel of willful infringement and seeks an injunction or, in the alternative, ongoing royalties, enhanced damages, attorneys’ fees a</w:t>
      </w:r>
      <w:r>
        <w:rPr>
          <w:rFonts w:ascii="Arial" w:eastAsia="宋体" w:hAnsi="Arial" w:cs="Arial"/>
          <w:color w:val="262626"/>
          <w:sz w:val="18"/>
          <w:szCs w:val="18"/>
        </w:rPr>
        <w:t>nd costs, and interest. In the first Texas case, VLSI asserted the ‘373 and ‘759 patents (in December 2020 the Court granted Intel summary judgment of non-infringement on the ‘357 patent, which had also been asserted in the first Texas case). That case wen</w:t>
      </w:r>
      <w:r>
        <w:rPr>
          <w:rFonts w:ascii="Arial" w:eastAsia="宋体" w:hAnsi="Arial" w:cs="Arial"/>
          <w:color w:val="262626"/>
          <w:sz w:val="18"/>
          <w:szCs w:val="18"/>
        </w:rPr>
        <w:t>t to trial in February 2021, and the jury awarded a “lump sum” to VLSI of $1.5 billion for literal infringement of the ‘373 patent and $675 million for infringement under the doctrine of equivalents of the ‘759 patent. The jury found that Intel had not wil</w:t>
      </w:r>
      <w:r>
        <w:rPr>
          <w:rFonts w:ascii="Arial" w:eastAsia="宋体" w:hAnsi="Arial" w:cs="Arial"/>
          <w:color w:val="262626"/>
          <w:sz w:val="18"/>
          <w:szCs w:val="18"/>
        </w:rPr>
        <w:t>lfully infringed either patent. Intel plans to challenge the verdict in post-trial motions and on appeal. The second Texas case went to trial in April 2021, and the jury found that Intel does not infringe the ‘522 and ‘187 patents. The third case is schedu</w:t>
      </w:r>
      <w:r>
        <w:rPr>
          <w:rFonts w:ascii="Arial" w:eastAsia="宋体" w:hAnsi="Arial" w:cs="Arial"/>
          <w:color w:val="262626"/>
          <w:sz w:val="18"/>
          <w:szCs w:val="18"/>
        </w:rPr>
        <w:t>led for trial on June 7, 2021, and VLSI seeks over $1.9 billion for alleged infringement of the ‘983, ‘025 and ‘485 patents, plus enhanced damages for willful infringement. In October and November 2019, and in February 2020, Intel filed IPR petitions on ce</w:t>
      </w:r>
      <w:r>
        <w:rPr>
          <w:rFonts w:ascii="Arial" w:eastAsia="宋体" w:hAnsi="Arial" w:cs="Arial"/>
          <w:color w:val="262626"/>
          <w:sz w:val="18"/>
          <w:szCs w:val="18"/>
        </w:rPr>
        <w:t>rtain asserted claims across six of the patents-in-suit in WDTX. Between May and October 2020, the PTAB denied all of these requests. Intel requested a rehearing and review from the POP as to all petitions. All requests for POP review were denied in Octobe</w:t>
      </w:r>
      <w:r>
        <w:rPr>
          <w:rFonts w:ascii="Arial" w:eastAsia="宋体" w:hAnsi="Arial" w:cs="Arial"/>
          <w:color w:val="262626"/>
          <w:sz w:val="18"/>
          <w:szCs w:val="18"/>
        </w:rPr>
        <w:t>r and December 2020, and all requests for rehearing were denied as to all petitions between December 2020 and February 2021. Intel filed notices of appeal regarding the discretionary denials for all petitions in February and March of 2021, and VLSI moved t</w:t>
      </w:r>
      <w:r>
        <w:rPr>
          <w:rFonts w:ascii="Arial" w:eastAsia="宋体" w:hAnsi="Arial" w:cs="Arial"/>
          <w:color w:val="262626"/>
          <w:sz w:val="18"/>
          <w:szCs w:val="18"/>
        </w:rPr>
        <w:t>o dismiss those appeals in March 2021. The Federal Circuit has consolidated the 12 appeals into five separate sets. In each of the first three of the consolidated appeals, the Director of the USPTO has intervened in support of VLSI’s motions to dismiss, an</w:t>
      </w:r>
      <w:r>
        <w:rPr>
          <w:rFonts w:ascii="Arial" w:eastAsia="宋体" w:hAnsi="Arial" w:cs="Arial"/>
          <w:color w:val="262626"/>
          <w:sz w:val="18"/>
          <w:szCs w:val="18"/>
        </w:rPr>
        <w:t>d the Director has indicated an intent to intervene in the remaining two. The Federal Circuit has not yet ruled on these issues.</w:t>
      </w:r>
    </w:p>
    <w:p w14:paraId="5C7C6B07" w14:textId="77777777" w:rsidR="0008009C" w:rsidRDefault="0008009C">
      <w:pPr>
        <w:spacing w:after="180"/>
      </w:pPr>
    </w:p>
    <w:p w14:paraId="5C7C6B08" w14:textId="77777777" w:rsidR="0008009C" w:rsidRDefault="0008009C">
      <w:pPr>
        <w:spacing w:after="180"/>
      </w:pPr>
    </w:p>
    <w:p w14:paraId="5C7C6B09" w14:textId="77777777" w:rsidR="0008009C" w:rsidRDefault="0008009C">
      <w:pPr>
        <w:spacing w:after="180"/>
      </w:pPr>
    </w:p>
    <w:p w14:paraId="5C7C6B0A" w14:textId="77777777" w:rsidR="0008009C" w:rsidRDefault="0008009C">
      <w:pPr>
        <w:spacing w:after="180"/>
      </w:pPr>
    </w:p>
    <w:p w14:paraId="5C7C6B0B" w14:textId="77777777" w:rsidR="0008009C" w:rsidRDefault="0008009C">
      <w:pPr>
        <w:spacing w:after="180"/>
      </w:pPr>
    </w:p>
    <w:p w14:paraId="5C7C6B0C" w14:textId="77777777" w:rsidR="0008009C" w:rsidRDefault="0008009C">
      <w:pPr>
        <w:spacing w:after="180"/>
      </w:pPr>
    </w:p>
    <w:p w14:paraId="5C7C6B0D" w14:textId="77777777" w:rsidR="0008009C" w:rsidRDefault="0008009C">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8009C" w14:paraId="5C7C6B1A" w14:textId="77777777">
        <w:tc>
          <w:tcPr>
            <w:tcW w:w="50" w:type="pct"/>
            <w:shd w:val="clear" w:color="auto" w:fill="auto"/>
            <w:vAlign w:val="bottom"/>
          </w:tcPr>
          <w:p w14:paraId="5C7C6B0E" w14:textId="77777777" w:rsidR="0008009C" w:rsidRDefault="0008009C">
            <w:pPr>
              <w:rPr>
                <w:rFonts w:ascii="宋体"/>
              </w:rPr>
            </w:pPr>
          </w:p>
        </w:tc>
        <w:tc>
          <w:tcPr>
            <w:tcW w:w="238" w:type="pct"/>
            <w:shd w:val="clear" w:color="auto" w:fill="auto"/>
            <w:vAlign w:val="bottom"/>
          </w:tcPr>
          <w:p w14:paraId="5C7C6B0F" w14:textId="77777777" w:rsidR="0008009C" w:rsidRDefault="0008009C">
            <w:pPr>
              <w:rPr>
                <w:rFonts w:ascii="宋体"/>
              </w:rPr>
            </w:pPr>
          </w:p>
        </w:tc>
        <w:tc>
          <w:tcPr>
            <w:tcW w:w="5" w:type="pct"/>
            <w:shd w:val="clear" w:color="auto" w:fill="auto"/>
            <w:vAlign w:val="bottom"/>
          </w:tcPr>
          <w:p w14:paraId="5C7C6B10" w14:textId="77777777" w:rsidR="0008009C" w:rsidRDefault="0008009C">
            <w:pPr>
              <w:rPr>
                <w:rFonts w:ascii="宋体"/>
              </w:rPr>
            </w:pPr>
          </w:p>
        </w:tc>
        <w:tc>
          <w:tcPr>
            <w:tcW w:w="50" w:type="pct"/>
            <w:shd w:val="clear" w:color="auto" w:fill="auto"/>
            <w:vAlign w:val="bottom"/>
          </w:tcPr>
          <w:p w14:paraId="5C7C6B11" w14:textId="77777777" w:rsidR="0008009C" w:rsidRDefault="0008009C">
            <w:pPr>
              <w:rPr>
                <w:rFonts w:ascii="宋体"/>
              </w:rPr>
            </w:pPr>
          </w:p>
        </w:tc>
        <w:tc>
          <w:tcPr>
            <w:tcW w:w="983" w:type="pct"/>
            <w:shd w:val="clear" w:color="auto" w:fill="auto"/>
            <w:vAlign w:val="bottom"/>
          </w:tcPr>
          <w:p w14:paraId="5C7C6B12" w14:textId="77777777" w:rsidR="0008009C" w:rsidRDefault="0008009C">
            <w:pPr>
              <w:rPr>
                <w:rFonts w:ascii="宋体"/>
              </w:rPr>
            </w:pPr>
          </w:p>
        </w:tc>
        <w:tc>
          <w:tcPr>
            <w:tcW w:w="5" w:type="pct"/>
            <w:shd w:val="clear" w:color="auto" w:fill="auto"/>
            <w:vAlign w:val="bottom"/>
          </w:tcPr>
          <w:p w14:paraId="5C7C6B13" w14:textId="77777777" w:rsidR="0008009C" w:rsidRDefault="0008009C">
            <w:pPr>
              <w:rPr>
                <w:rFonts w:ascii="宋体"/>
              </w:rPr>
            </w:pPr>
          </w:p>
        </w:tc>
        <w:tc>
          <w:tcPr>
            <w:tcW w:w="50" w:type="pct"/>
            <w:shd w:val="clear" w:color="auto" w:fill="auto"/>
            <w:vAlign w:val="bottom"/>
          </w:tcPr>
          <w:p w14:paraId="5C7C6B14" w14:textId="77777777" w:rsidR="0008009C" w:rsidRDefault="0008009C">
            <w:pPr>
              <w:rPr>
                <w:rFonts w:ascii="宋体"/>
              </w:rPr>
            </w:pPr>
          </w:p>
        </w:tc>
        <w:tc>
          <w:tcPr>
            <w:tcW w:w="2035" w:type="pct"/>
            <w:shd w:val="clear" w:color="auto" w:fill="auto"/>
            <w:vAlign w:val="bottom"/>
          </w:tcPr>
          <w:p w14:paraId="5C7C6B15" w14:textId="77777777" w:rsidR="0008009C" w:rsidRDefault="0008009C">
            <w:pPr>
              <w:rPr>
                <w:rFonts w:ascii="宋体"/>
              </w:rPr>
            </w:pPr>
          </w:p>
        </w:tc>
        <w:tc>
          <w:tcPr>
            <w:tcW w:w="5" w:type="pct"/>
            <w:shd w:val="clear" w:color="auto" w:fill="auto"/>
            <w:vAlign w:val="bottom"/>
          </w:tcPr>
          <w:p w14:paraId="5C7C6B16" w14:textId="77777777" w:rsidR="0008009C" w:rsidRDefault="0008009C">
            <w:pPr>
              <w:rPr>
                <w:rFonts w:ascii="宋体"/>
              </w:rPr>
            </w:pPr>
          </w:p>
        </w:tc>
        <w:tc>
          <w:tcPr>
            <w:tcW w:w="50" w:type="pct"/>
            <w:shd w:val="clear" w:color="auto" w:fill="auto"/>
            <w:vAlign w:val="bottom"/>
          </w:tcPr>
          <w:p w14:paraId="5C7C6B17" w14:textId="77777777" w:rsidR="0008009C" w:rsidRDefault="0008009C">
            <w:pPr>
              <w:rPr>
                <w:rFonts w:ascii="宋体"/>
              </w:rPr>
            </w:pPr>
          </w:p>
        </w:tc>
        <w:tc>
          <w:tcPr>
            <w:tcW w:w="1522" w:type="pct"/>
            <w:shd w:val="clear" w:color="auto" w:fill="auto"/>
            <w:vAlign w:val="bottom"/>
          </w:tcPr>
          <w:p w14:paraId="5C7C6B18" w14:textId="77777777" w:rsidR="0008009C" w:rsidRDefault="0008009C">
            <w:pPr>
              <w:rPr>
                <w:rFonts w:ascii="宋体"/>
              </w:rPr>
            </w:pPr>
          </w:p>
        </w:tc>
        <w:tc>
          <w:tcPr>
            <w:tcW w:w="5" w:type="pct"/>
            <w:shd w:val="clear" w:color="auto" w:fill="auto"/>
            <w:vAlign w:val="bottom"/>
          </w:tcPr>
          <w:p w14:paraId="5C7C6B19" w14:textId="77777777" w:rsidR="0008009C" w:rsidRDefault="0008009C">
            <w:pPr>
              <w:rPr>
                <w:rFonts w:ascii="宋体"/>
              </w:rPr>
            </w:pPr>
          </w:p>
        </w:tc>
      </w:tr>
      <w:tr w:rsidR="0008009C" w14:paraId="5C7C6B1F"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6B1B"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26" wp14:editId="5C7C7D27">
                  <wp:extent cx="304800" cy="304800"/>
                  <wp:effectExtent l="0" t="0" r="0" b="0"/>
                  <wp:docPr id="87" name="图片 79"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9"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B1C"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6B1D" w14:textId="77777777" w:rsidR="0008009C" w:rsidRDefault="00936FDF">
            <w:pPr>
              <w:textAlignment w:val="center"/>
            </w:pPr>
            <w:r>
              <w:rPr>
                <w:rFonts w:ascii="Arial" w:eastAsia="宋体" w:hAnsi="Arial" w:cs="Arial"/>
                <w:color w:val="262626"/>
                <w:sz w:val="16"/>
                <w:szCs w:val="16"/>
              </w:rPr>
              <w:t> Notes to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B1E" w14:textId="77777777" w:rsidR="0008009C" w:rsidRDefault="00936FDF">
            <w:pPr>
              <w:jc w:val="right"/>
              <w:textAlignment w:val="center"/>
            </w:pPr>
            <w:r>
              <w:rPr>
                <w:rFonts w:ascii="Arial" w:eastAsia="宋体" w:hAnsi="Arial" w:cs="Arial"/>
                <w:color w:val="262626"/>
                <w:sz w:val="16"/>
                <w:szCs w:val="16"/>
              </w:rPr>
              <w:t>20</w:t>
            </w:r>
          </w:p>
        </w:tc>
      </w:tr>
    </w:tbl>
    <w:p w14:paraId="5C7C6B20" w14:textId="77777777" w:rsidR="0008009C" w:rsidRDefault="00936FDF">
      <w:r>
        <w:pict w14:anchorId="5C7C7D28">
          <v:rect id="_x0000_i1046" style="width:415.3pt;height:1.5pt" o:hralign="center" o:hrstd="t" o:hr="t" fillcolor="#a0a0a0" stroked="f"/>
        </w:pict>
      </w:r>
    </w:p>
    <w:p w14:paraId="5C7C6B21" w14:textId="77777777" w:rsidR="0008009C" w:rsidRDefault="00936FDF">
      <w:pPr>
        <w:spacing w:after="180"/>
        <w:jc w:val="right"/>
      </w:pPr>
      <w:hyperlink r:id="rId45" w:anchor="i3a00378f6cc84b1c9cfc83239548ad53_7" w:history="1">
        <w:r>
          <w:rPr>
            <w:rStyle w:val="a5"/>
            <w:rFonts w:ascii="Arial" w:eastAsia="宋体" w:hAnsi="Arial" w:cs="Arial"/>
            <w:b/>
            <w:bCs/>
            <w:sz w:val="16"/>
            <w:szCs w:val="16"/>
          </w:rPr>
          <w:t>Table of Contents</w:t>
        </w:r>
      </w:hyperlink>
    </w:p>
    <w:p w14:paraId="5C7C6B22" w14:textId="77777777" w:rsidR="0008009C" w:rsidRDefault="0008009C">
      <w:pPr>
        <w:spacing w:after="180"/>
        <w:jc w:val="right"/>
      </w:pPr>
    </w:p>
    <w:p w14:paraId="5C7C6B23" w14:textId="77777777" w:rsidR="0008009C" w:rsidRDefault="00936FDF">
      <w:pPr>
        <w:spacing w:after="180"/>
      </w:pPr>
      <w:r>
        <w:rPr>
          <w:rFonts w:ascii="Arial" w:eastAsia="宋体" w:hAnsi="Arial" w:cs="Arial"/>
          <w:color w:val="262626"/>
          <w:sz w:val="18"/>
          <w:szCs w:val="18"/>
        </w:rPr>
        <w:t xml:space="preserve">In May 2019, VLSI filed a case in Shenzhen Intermediate People’s Court </w:t>
      </w:r>
      <w:r>
        <w:rPr>
          <w:rFonts w:ascii="Arial" w:eastAsia="宋体" w:hAnsi="Arial" w:cs="Arial"/>
          <w:color w:val="262626"/>
          <w:sz w:val="18"/>
          <w:szCs w:val="18"/>
        </w:rPr>
        <w:t>against Intel, Intel (China) Co., Ltd., Intel Trading (Shanghai) Co., Ltd., and Intel Products (Chengdu) Co., Ltd. VLSI asserts Chinese Patent 201410094015.9 accusing certain Intel Core processors of infringement. VLSI requests an injunction as well as RMB</w:t>
      </w:r>
      <w:r>
        <w:rPr>
          <w:rFonts w:ascii="Arial" w:eastAsia="宋体" w:hAnsi="Arial" w:cs="Arial"/>
          <w:color w:val="262626"/>
          <w:sz w:val="18"/>
          <w:szCs w:val="18"/>
        </w:rPr>
        <w:t xml:space="preserve"> 1.3 million in damages. Defendants filed an invalidation petition in October 2019 with the PRB, but no hearing date has been set. In May 2020, defendants filed a motion to stay the trial court proceedings pending a determination on invalidity. The court h</w:t>
      </w:r>
      <w:r>
        <w:rPr>
          <w:rFonts w:ascii="Arial" w:eastAsia="宋体" w:hAnsi="Arial" w:cs="Arial"/>
          <w:color w:val="262626"/>
          <w:sz w:val="18"/>
          <w:szCs w:val="18"/>
        </w:rPr>
        <w:t>as not yet ruled on the motion to stay. The court held the first evidentiary hearing in November 2020.</w:t>
      </w:r>
    </w:p>
    <w:p w14:paraId="5C7C6B24" w14:textId="77777777" w:rsidR="0008009C" w:rsidRDefault="00936FDF">
      <w:pPr>
        <w:spacing w:after="180"/>
      </w:pPr>
      <w:r>
        <w:rPr>
          <w:rFonts w:ascii="Arial" w:eastAsia="宋体" w:hAnsi="Arial" w:cs="Arial"/>
          <w:color w:val="262626"/>
          <w:sz w:val="18"/>
          <w:szCs w:val="18"/>
        </w:rPr>
        <w:t>In May 2019, VLSI filed a second case in Shanghai Intellectual Property Court against Intel (China) Co., Ltd., Intel Trading (Shanghai) Co., Ltd., and In</w:t>
      </w:r>
      <w:r>
        <w:rPr>
          <w:rFonts w:ascii="Arial" w:eastAsia="宋体" w:hAnsi="Arial" w:cs="Arial"/>
          <w:color w:val="262626"/>
          <w:sz w:val="18"/>
          <w:szCs w:val="18"/>
        </w:rPr>
        <w:t>tel Products (Chengdu) Co., Ltd. VLSI asserts Chinese Patent 201080024173.7. VLSI accuses certain Intel core processors and seeks an injunction. Defendants filed with the PRB an invalidation petition in October 2019. No hearing date has been set. In June 2</w:t>
      </w:r>
      <w:r>
        <w:rPr>
          <w:rFonts w:ascii="Arial" w:eastAsia="宋体" w:hAnsi="Arial" w:cs="Arial"/>
          <w:color w:val="262626"/>
          <w:sz w:val="18"/>
          <w:szCs w:val="18"/>
        </w:rPr>
        <w:t>020, defendants filed a motion to stay the trial court proceedings pending a determination on invalidity. The court held its first evidentiary hearing in September 2020. The court held a second evidentiary hearing in December 2020. The court stayed the cas</w:t>
      </w:r>
      <w:r>
        <w:rPr>
          <w:rFonts w:ascii="Arial" w:eastAsia="宋体" w:hAnsi="Arial" w:cs="Arial"/>
          <w:color w:val="262626"/>
          <w:sz w:val="18"/>
          <w:szCs w:val="18"/>
        </w:rPr>
        <w:t>e in December 2020 pending a determination on invalidity by the PRB.</w:t>
      </w:r>
    </w:p>
    <w:p w14:paraId="5C7C6B25" w14:textId="77777777" w:rsidR="0008009C" w:rsidRDefault="00936FDF">
      <w:pPr>
        <w:spacing w:after="180"/>
      </w:pPr>
      <w:r>
        <w:rPr>
          <w:rFonts w:ascii="Arial" w:eastAsia="宋体" w:hAnsi="Arial" w:cs="Arial"/>
          <w:color w:val="262626"/>
          <w:sz w:val="18"/>
          <w:szCs w:val="18"/>
        </w:rPr>
        <w:t>In November 2019, Intel, along with Apple Inc., filed a complaint against Fortress Investment Group LLC, Fortress Credit Co. LLC, Uniloc 2017 LLC, Uniloc USA, Inc., Uniloc Luxembourg S.A.</w:t>
      </w:r>
      <w:r>
        <w:rPr>
          <w:rFonts w:ascii="Arial" w:eastAsia="宋体" w:hAnsi="Arial" w:cs="Arial"/>
          <w:color w:val="262626"/>
          <w:sz w:val="18"/>
          <w:szCs w:val="18"/>
        </w:rPr>
        <w:t>R.L., VLSI, INVT SPE LLC, Inventergy Global, Inc., DSS Technology Management, Inc., IXI IP, LLC, and Seven Networks, LLC. Plaintiffs allege violations of Section 1 of the Sherman Act by certain defendants, Section 7 of the Clayton Act by certain defendants</w:t>
      </w:r>
      <w:r>
        <w:rPr>
          <w:rFonts w:ascii="Arial" w:eastAsia="宋体" w:hAnsi="Arial" w:cs="Arial"/>
          <w:color w:val="262626"/>
          <w:sz w:val="18"/>
          <w:szCs w:val="18"/>
        </w:rPr>
        <w:t xml:space="preserve">, and California Business and Professions Code section 17200 by all defendants based on defendants' unlawful aggregation of patents. In February 2020, defendants moved to dismiss plaintiffs' complaint. In July 2020, the court granted defendants’ motion to </w:t>
      </w:r>
      <w:r>
        <w:rPr>
          <w:rFonts w:ascii="Arial" w:eastAsia="宋体" w:hAnsi="Arial" w:cs="Arial"/>
          <w:color w:val="262626"/>
          <w:sz w:val="18"/>
          <w:szCs w:val="18"/>
        </w:rPr>
        <w:t xml:space="preserve">dismiss with leave to amend. The court dismissed antitrust claims related to two DSS patents with prejudice. The plaintiffs filed an amended complaint in August 2020, and defendants moved to dismiss in September 2020. The court heard defendants' motion to </w:t>
      </w:r>
      <w:r>
        <w:rPr>
          <w:rFonts w:ascii="Arial" w:eastAsia="宋体" w:hAnsi="Arial" w:cs="Arial"/>
          <w:color w:val="262626"/>
          <w:sz w:val="18"/>
          <w:szCs w:val="18"/>
        </w:rPr>
        <w:t>dismiss the amended complaint in December 2020 and dismissed plaintiffs’ amended complaint in January 2021, with leave to further amend. In December 2020, the court granted a joint motion by Apple and Seven Networks to dismiss with prejudice Apple’s claims</w:t>
      </w:r>
      <w:r>
        <w:rPr>
          <w:rFonts w:ascii="Arial" w:eastAsia="宋体" w:hAnsi="Arial" w:cs="Arial"/>
          <w:color w:val="262626"/>
          <w:sz w:val="18"/>
          <w:szCs w:val="18"/>
        </w:rPr>
        <w:t xml:space="preserve"> against Seven Networks. Plaintiffs filed a second amended complaint in March 2021.</w:t>
      </w:r>
    </w:p>
    <w:p w14:paraId="5C7C6B26" w14:textId="77777777" w:rsidR="0008009C" w:rsidRDefault="00936FDF">
      <w:pPr>
        <w:spacing w:after="180"/>
      </w:pPr>
      <w:r>
        <w:rPr>
          <w:rFonts w:ascii="Arial" w:eastAsia="宋体" w:hAnsi="Arial" w:cs="Arial"/>
          <w:color w:val="262626"/>
          <w:sz w:val="18"/>
          <w:szCs w:val="18"/>
        </w:rPr>
        <w:t>In June 2020, affiliates controlled by Fortress Investment Group, which also controls VLSI, acquired Finjan Holdings, Inc. Intel had signed a “Settlement, Release and Paten</w:t>
      </w:r>
      <w:r>
        <w:rPr>
          <w:rFonts w:ascii="Arial" w:eastAsia="宋体" w:hAnsi="Arial" w:cs="Arial"/>
          <w:color w:val="262626"/>
          <w:sz w:val="18"/>
          <w:szCs w:val="18"/>
        </w:rPr>
        <w:t>t License Agreement” with Finjan in 2012, acquiring a license to the patents of Finjan and its affiliates, current or future, through a capture period of November 20, 2022. The agreement also contains covenants wherein Finjan agrees to cause its affiliates</w:t>
      </w:r>
      <w:r>
        <w:rPr>
          <w:rFonts w:ascii="Arial" w:eastAsia="宋体" w:hAnsi="Arial" w:cs="Arial"/>
          <w:color w:val="262626"/>
          <w:sz w:val="18"/>
          <w:szCs w:val="18"/>
        </w:rPr>
        <w:t xml:space="preserve"> to comply with the agreement. As such, Intel maintains that it now has a license to the patents of VLSI, which has become a Finjan affiliate, and that Finjan must cause VLSI to dismiss its suits against Intel. In August 2020, Intel started dispute resolut</w:t>
      </w:r>
      <w:r>
        <w:rPr>
          <w:rFonts w:ascii="Arial" w:eastAsia="宋体" w:hAnsi="Arial" w:cs="Arial"/>
          <w:color w:val="262626"/>
          <w:sz w:val="18"/>
          <w:szCs w:val="18"/>
        </w:rPr>
        <w:t>ion proceedings under the agreement. As a part of this dispute resolution process, Intel and Finjan held a mediation in December 2020, but failed to resolve their differences. Intel filed suit to enforce its rights under the License Agreement with Finjan i</w:t>
      </w:r>
      <w:r>
        <w:rPr>
          <w:rFonts w:ascii="Arial" w:eastAsia="宋体" w:hAnsi="Arial" w:cs="Arial"/>
          <w:color w:val="262626"/>
          <w:sz w:val="18"/>
          <w:szCs w:val="18"/>
        </w:rPr>
        <w:t>n January 2021 in Delaware Chancery Court. In March 2021, defendants filed motions to dismiss the Chancery Court proceedings. In September 2020, Intel filed motions to stay the Texas, Delaware, and Shanghai matters pending resolution of its dispute with Fi</w:t>
      </w:r>
      <w:r>
        <w:rPr>
          <w:rFonts w:ascii="Arial" w:eastAsia="宋体" w:hAnsi="Arial" w:cs="Arial"/>
          <w:color w:val="262626"/>
          <w:sz w:val="18"/>
          <w:szCs w:val="18"/>
        </w:rPr>
        <w:t>njan. In November 2020, Intel filed a motion to stay the Shenzhen matter pending resolution of its dispute with Finjan. In November 2020, the Delaware Court denied Intel’s motion to stay. The other stay motions remain pending. Finally, Intel filed a motion</w:t>
      </w:r>
      <w:r>
        <w:rPr>
          <w:rFonts w:ascii="Arial" w:eastAsia="宋体" w:hAnsi="Arial" w:cs="Arial"/>
          <w:color w:val="262626"/>
          <w:sz w:val="18"/>
          <w:szCs w:val="18"/>
        </w:rPr>
        <w:t xml:space="preserve"> to amend its answer in the Texas matters to add a license defense in November 2020, and filed a motion to amend its answer in the Delaware matter to add a license defense in February 2021. The courts have yet to rule on these motions.</w:t>
      </w:r>
    </w:p>
    <w:p w14:paraId="5C7C6B27" w14:textId="77777777" w:rsidR="0008009C" w:rsidRDefault="00936FDF">
      <w:pPr>
        <w:spacing w:after="180"/>
      </w:pPr>
      <w:r>
        <w:rPr>
          <w:rFonts w:ascii="Arial" w:eastAsia="宋体" w:hAnsi="Arial" w:cs="Arial"/>
          <w:color w:val="262626"/>
          <w:sz w:val="18"/>
          <w:szCs w:val="18"/>
        </w:rPr>
        <w:t xml:space="preserve">After consideration </w:t>
      </w:r>
      <w:r>
        <w:rPr>
          <w:rFonts w:ascii="Arial" w:eastAsia="宋体" w:hAnsi="Arial" w:cs="Arial"/>
          <w:color w:val="262626"/>
          <w:sz w:val="18"/>
          <w:szCs w:val="18"/>
        </w:rPr>
        <w:t>of the verdicts in the WDTX cases and the additional pending lawsuits filed by VLSI, Intel accrued a charge of $2.2 billion in the first quarter of 2021. We dispute VLSI’s claims and intend to vigorously defend against them.</w:t>
      </w:r>
    </w:p>
    <w:p w14:paraId="5C7C6B28" w14:textId="77777777" w:rsidR="0008009C" w:rsidRDefault="00936FDF">
      <w:pPr>
        <w:spacing w:after="120"/>
      </w:pPr>
      <w:r>
        <w:rPr>
          <w:rFonts w:ascii="Arial" w:eastAsia="宋体" w:hAnsi="Arial" w:cs="Arial"/>
          <w:color w:val="0068B5"/>
          <w:sz w:val="20"/>
          <w:szCs w:val="20"/>
        </w:rPr>
        <w:t>Litigation Related to 7nm Produ</w:t>
      </w:r>
      <w:r>
        <w:rPr>
          <w:rFonts w:ascii="Arial" w:eastAsia="宋体" w:hAnsi="Arial" w:cs="Arial"/>
          <w:color w:val="0068B5"/>
          <w:sz w:val="20"/>
          <w:szCs w:val="20"/>
        </w:rPr>
        <w:t>ct Delay Announcement</w:t>
      </w:r>
    </w:p>
    <w:p w14:paraId="5C7C6B29" w14:textId="77777777" w:rsidR="0008009C" w:rsidRDefault="00936FDF">
      <w:pPr>
        <w:spacing w:after="180"/>
      </w:pPr>
      <w:r>
        <w:rPr>
          <w:rFonts w:ascii="Arial" w:eastAsia="宋体" w:hAnsi="Arial" w:cs="Arial"/>
          <w:color w:val="262626"/>
          <w:sz w:val="18"/>
          <w:szCs w:val="18"/>
        </w:rPr>
        <w:t>Starting in July 2020, five securities class action lawsuits were filed in the U.S. District Court for the Northern District of California against Intel and certain current and former officers based on Intel’s July 2020 announcement o</w:t>
      </w:r>
      <w:r>
        <w:rPr>
          <w:rFonts w:ascii="Arial" w:eastAsia="宋体" w:hAnsi="Arial" w:cs="Arial"/>
          <w:color w:val="262626"/>
          <w:sz w:val="18"/>
          <w:szCs w:val="18"/>
        </w:rPr>
        <w:t>f 7nm product delays. The plaintiffs, who purport to represent classes of acquirers of Intel stock between October 2019 and July 2020, generally allege that the defendants violated securities laws by making false or misleading statements about the timeline</w:t>
      </w:r>
      <w:r>
        <w:rPr>
          <w:rFonts w:ascii="Arial" w:eastAsia="宋体" w:hAnsi="Arial" w:cs="Arial"/>
          <w:color w:val="262626"/>
          <w:sz w:val="18"/>
          <w:szCs w:val="18"/>
        </w:rPr>
        <w:t xml:space="preserve"> for 7nm products in light of subsequently announced delays. In October 2020, the court consolidated the lawsuits and appointed lead plaintiffs, and in January 2021 the lead plaintiffs filed a consolidated complaint. Defendants moved to dismiss the consoli</w:t>
      </w:r>
      <w:r>
        <w:rPr>
          <w:rFonts w:ascii="Arial" w:eastAsia="宋体" w:hAnsi="Arial" w:cs="Arial"/>
          <w:color w:val="262626"/>
          <w:sz w:val="18"/>
          <w:szCs w:val="18"/>
        </w:rPr>
        <w:t>dated complaint in March 2021. We dispute the claims described above and intend to defend the lawsuits vigorously. Given the procedural posture and the nature of those cases, including that the pending proceedings are in the early stages, that alleged dama</w:t>
      </w:r>
      <w:r>
        <w:rPr>
          <w:rFonts w:ascii="Arial" w:eastAsia="宋体" w:hAnsi="Arial" w:cs="Arial"/>
          <w:color w:val="262626"/>
          <w:sz w:val="18"/>
          <w:szCs w:val="18"/>
        </w:rPr>
        <w:t>ges have not been specified, that uncertainty exists as to the likelihood of a class or classes being certified or the ultimate size of any class or classes if certified, and that there are significant factual and legal issues to be resolved, we are unable</w:t>
      </w:r>
      <w:r>
        <w:rPr>
          <w:rFonts w:ascii="Arial" w:eastAsia="宋体" w:hAnsi="Arial" w:cs="Arial"/>
          <w:color w:val="262626"/>
          <w:sz w:val="18"/>
          <w:szCs w:val="18"/>
        </w:rPr>
        <w:t xml:space="preserve"> to make a reasonable estimate of the potential loss or range of losses, if any, that might arise from those matters.</w:t>
      </w:r>
    </w:p>
    <w:p w14:paraId="5C7C6B2A" w14:textId="77777777" w:rsidR="0008009C" w:rsidRDefault="00936FDF">
      <w:pPr>
        <w:spacing w:after="180"/>
      </w:pPr>
      <w:r>
        <w:rPr>
          <w:rFonts w:ascii="Arial" w:eastAsia="宋体" w:hAnsi="Arial" w:cs="Arial"/>
          <w:color w:val="262626"/>
          <w:sz w:val="18"/>
          <w:szCs w:val="18"/>
        </w:rPr>
        <w:t xml:space="preserve">In addition to the securities lawsuits, several Intel stockholders filed derivative lawsuits against certain members of our Board of </w:t>
      </w:r>
      <w:r>
        <w:rPr>
          <w:rFonts w:ascii="Arial" w:eastAsia="宋体" w:hAnsi="Arial" w:cs="Arial"/>
          <w:color w:val="262626"/>
          <w:sz w:val="18"/>
          <w:szCs w:val="18"/>
        </w:rPr>
        <w:t>Directors and certain current and former officers based on Intel’s July 2020 announcement of 7nm product delays. The complaints, which were filed in the U.S. District Court for the District of Delaware in December 2020, alleged that defendants breached the</w:t>
      </w:r>
      <w:r>
        <w:rPr>
          <w:rFonts w:ascii="Arial" w:eastAsia="宋体" w:hAnsi="Arial" w:cs="Arial"/>
          <w:color w:val="262626"/>
          <w:sz w:val="18"/>
          <w:szCs w:val="18"/>
        </w:rPr>
        <w:t>ir fiduciary duties to Intel by either making or allowing the company to make alleged misstatements about the timeline for 7nm products during the class period alleged in the securities litigation. Certain of the complaints also alleged claims under Sectio</w:t>
      </w:r>
      <w:r>
        <w:rPr>
          <w:rFonts w:ascii="Arial" w:eastAsia="宋体" w:hAnsi="Arial" w:cs="Arial"/>
          <w:color w:val="262626"/>
          <w:sz w:val="18"/>
          <w:szCs w:val="18"/>
        </w:rPr>
        <w:t>n 14(a) of the Securities Exchange Act of 1934. The court consolidated the cases in January 2021, and ordered plaintiffs to file a consolidated complaint by mid-April 2021. In early April 2021, plaintiffs voluntarily dismissed the action.</w:t>
      </w:r>
    </w:p>
    <w:p w14:paraId="5C7C6B2B" w14:textId="77777777" w:rsidR="0008009C" w:rsidRDefault="0008009C">
      <w:pPr>
        <w:spacing w:after="180"/>
      </w:pPr>
    </w:p>
    <w:p w14:paraId="5C7C6B2C" w14:textId="77777777" w:rsidR="0008009C" w:rsidRDefault="0008009C">
      <w:pPr>
        <w:spacing w:after="180"/>
      </w:pPr>
    </w:p>
    <w:p w14:paraId="5C7C6B2D" w14:textId="77777777" w:rsidR="0008009C" w:rsidRDefault="0008009C">
      <w:pPr>
        <w:spacing w:after="180"/>
      </w:pPr>
    </w:p>
    <w:p w14:paraId="5C7C6B2E" w14:textId="77777777" w:rsidR="0008009C" w:rsidRDefault="0008009C">
      <w:pPr>
        <w:spacing w:after="180"/>
      </w:pPr>
    </w:p>
    <w:p w14:paraId="5C7C6B2F" w14:textId="77777777" w:rsidR="0008009C" w:rsidRDefault="0008009C">
      <w:pPr>
        <w:spacing w:after="180"/>
      </w:pPr>
    </w:p>
    <w:p w14:paraId="5C7C6B30" w14:textId="77777777" w:rsidR="0008009C" w:rsidRDefault="0008009C">
      <w:pPr>
        <w:spacing w:after="180"/>
      </w:pPr>
    </w:p>
    <w:p w14:paraId="5C7C6B31" w14:textId="77777777" w:rsidR="0008009C" w:rsidRDefault="0008009C">
      <w:pPr>
        <w:spacing w:after="180"/>
      </w:pPr>
    </w:p>
    <w:p w14:paraId="5C7C6B32" w14:textId="77777777" w:rsidR="0008009C" w:rsidRDefault="0008009C">
      <w:pPr>
        <w:spacing w:after="180"/>
      </w:pPr>
    </w:p>
    <w:p w14:paraId="5C7C6B33" w14:textId="77777777" w:rsidR="0008009C" w:rsidRDefault="0008009C">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8009C" w14:paraId="5C7C6B40" w14:textId="77777777">
        <w:tc>
          <w:tcPr>
            <w:tcW w:w="50" w:type="pct"/>
            <w:shd w:val="clear" w:color="auto" w:fill="auto"/>
            <w:vAlign w:val="bottom"/>
          </w:tcPr>
          <w:p w14:paraId="5C7C6B34" w14:textId="77777777" w:rsidR="0008009C" w:rsidRDefault="0008009C">
            <w:pPr>
              <w:rPr>
                <w:rFonts w:ascii="宋体"/>
              </w:rPr>
            </w:pPr>
          </w:p>
        </w:tc>
        <w:tc>
          <w:tcPr>
            <w:tcW w:w="238" w:type="pct"/>
            <w:shd w:val="clear" w:color="auto" w:fill="auto"/>
            <w:vAlign w:val="bottom"/>
          </w:tcPr>
          <w:p w14:paraId="5C7C6B35" w14:textId="77777777" w:rsidR="0008009C" w:rsidRDefault="0008009C">
            <w:pPr>
              <w:rPr>
                <w:rFonts w:ascii="宋体"/>
              </w:rPr>
            </w:pPr>
          </w:p>
        </w:tc>
        <w:tc>
          <w:tcPr>
            <w:tcW w:w="5" w:type="pct"/>
            <w:shd w:val="clear" w:color="auto" w:fill="auto"/>
            <w:vAlign w:val="bottom"/>
          </w:tcPr>
          <w:p w14:paraId="5C7C6B36" w14:textId="77777777" w:rsidR="0008009C" w:rsidRDefault="0008009C">
            <w:pPr>
              <w:rPr>
                <w:rFonts w:ascii="宋体"/>
              </w:rPr>
            </w:pPr>
          </w:p>
        </w:tc>
        <w:tc>
          <w:tcPr>
            <w:tcW w:w="50" w:type="pct"/>
            <w:shd w:val="clear" w:color="auto" w:fill="auto"/>
            <w:vAlign w:val="bottom"/>
          </w:tcPr>
          <w:p w14:paraId="5C7C6B37" w14:textId="77777777" w:rsidR="0008009C" w:rsidRDefault="0008009C">
            <w:pPr>
              <w:rPr>
                <w:rFonts w:ascii="宋体"/>
              </w:rPr>
            </w:pPr>
          </w:p>
        </w:tc>
        <w:tc>
          <w:tcPr>
            <w:tcW w:w="983" w:type="pct"/>
            <w:shd w:val="clear" w:color="auto" w:fill="auto"/>
            <w:vAlign w:val="bottom"/>
          </w:tcPr>
          <w:p w14:paraId="5C7C6B38" w14:textId="77777777" w:rsidR="0008009C" w:rsidRDefault="0008009C">
            <w:pPr>
              <w:rPr>
                <w:rFonts w:ascii="宋体"/>
              </w:rPr>
            </w:pPr>
          </w:p>
        </w:tc>
        <w:tc>
          <w:tcPr>
            <w:tcW w:w="5" w:type="pct"/>
            <w:shd w:val="clear" w:color="auto" w:fill="auto"/>
            <w:vAlign w:val="bottom"/>
          </w:tcPr>
          <w:p w14:paraId="5C7C6B39" w14:textId="77777777" w:rsidR="0008009C" w:rsidRDefault="0008009C">
            <w:pPr>
              <w:rPr>
                <w:rFonts w:ascii="宋体"/>
              </w:rPr>
            </w:pPr>
          </w:p>
        </w:tc>
        <w:tc>
          <w:tcPr>
            <w:tcW w:w="50" w:type="pct"/>
            <w:shd w:val="clear" w:color="auto" w:fill="auto"/>
            <w:vAlign w:val="bottom"/>
          </w:tcPr>
          <w:p w14:paraId="5C7C6B3A" w14:textId="77777777" w:rsidR="0008009C" w:rsidRDefault="0008009C">
            <w:pPr>
              <w:rPr>
                <w:rFonts w:ascii="宋体"/>
              </w:rPr>
            </w:pPr>
          </w:p>
        </w:tc>
        <w:tc>
          <w:tcPr>
            <w:tcW w:w="2035" w:type="pct"/>
            <w:shd w:val="clear" w:color="auto" w:fill="auto"/>
            <w:vAlign w:val="bottom"/>
          </w:tcPr>
          <w:p w14:paraId="5C7C6B3B" w14:textId="77777777" w:rsidR="0008009C" w:rsidRDefault="0008009C">
            <w:pPr>
              <w:rPr>
                <w:rFonts w:ascii="宋体"/>
              </w:rPr>
            </w:pPr>
          </w:p>
        </w:tc>
        <w:tc>
          <w:tcPr>
            <w:tcW w:w="5" w:type="pct"/>
            <w:shd w:val="clear" w:color="auto" w:fill="auto"/>
            <w:vAlign w:val="bottom"/>
          </w:tcPr>
          <w:p w14:paraId="5C7C6B3C" w14:textId="77777777" w:rsidR="0008009C" w:rsidRDefault="0008009C">
            <w:pPr>
              <w:rPr>
                <w:rFonts w:ascii="宋体"/>
              </w:rPr>
            </w:pPr>
          </w:p>
        </w:tc>
        <w:tc>
          <w:tcPr>
            <w:tcW w:w="50" w:type="pct"/>
            <w:shd w:val="clear" w:color="auto" w:fill="auto"/>
            <w:vAlign w:val="bottom"/>
          </w:tcPr>
          <w:p w14:paraId="5C7C6B3D" w14:textId="77777777" w:rsidR="0008009C" w:rsidRDefault="0008009C">
            <w:pPr>
              <w:rPr>
                <w:rFonts w:ascii="宋体"/>
              </w:rPr>
            </w:pPr>
          </w:p>
        </w:tc>
        <w:tc>
          <w:tcPr>
            <w:tcW w:w="1522" w:type="pct"/>
            <w:shd w:val="clear" w:color="auto" w:fill="auto"/>
            <w:vAlign w:val="bottom"/>
          </w:tcPr>
          <w:p w14:paraId="5C7C6B3E" w14:textId="77777777" w:rsidR="0008009C" w:rsidRDefault="0008009C">
            <w:pPr>
              <w:rPr>
                <w:rFonts w:ascii="宋体"/>
              </w:rPr>
            </w:pPr>
          </w:p>
        </w:tc>
        <w:tc>
          <w:tcPr>
            <w:tcW w:w="5" w:type="pct"/>
            <w:shd w:val="clear" w:color="auto" w:fill="auto"/>
            <w:vAlign w:val="bottom"/>
          </w:tcPr>
          <w:p w14:paraId="5C7C6B3F" w14:textId="77777777" w:rsidR="0008009C" w:rsidRDefault="0008009C">
            <w:pPr>
              <w:rPr>
                <w:rFonts w:ascii="宋体"/>
              </w:rPr>
            </w:pPr>
          </w:p>
        </w:tc>
      </w:tr>
      <w:tr w:rsidR="0008009C" w14:paraId="5C7C6B45"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6B41"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29" wp14:editId="5C7C7D2A">
                  <wp:extent cx="304800" cy="304800"/>
                  <wp:effectExtent l="0" t="0" r="0" b="0"/>
                  <wp:docPr id="40" name="图片 81"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1"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B42"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6B43" w14:textId="77777777" w:rsidR="0008009C" w:rsidRDefault="00936FDF">
            <w:pPr>
              <w:textAlignment w:val="center"/>
            </w:pPr>
            <w:r>
              <w:rPr>
                <w:rFonts w:ascii="Arial" w:eastAsia="宋体" w:hAnsi="Arial" w:cs="Arial"/>
                <w:color w:val="262626"/>
                <w:sz w:val="16"/>
                <w:szCs w:val="16"/>
              </w:rPr>
              <w:t> Notes to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B44" w14:textId="77777777" w:rsidR="0008009C" w:rsidRDefault="00936FDF">
            <w:pPr>
              <w:jc w:val="right"/>
              <w:textAlignment w:val="center"/>
            </w:pPr>
            <w:r>
              <w:rPr>
                <w:rFonts w:ascii="Arial" w:eastAsia="宋体" w:hAnsi="Arial" w:cs="Arial"/>
                <w:color w:val="262626"/>
                <w:sz w:val="16"/>
                <w:szCs w:val="16"/>
              </w:rPr>
              <w:t>21</w:t>
            </w:r>
          </w:p>
        </w:tc>
      </w:tr>
    </w:tbl>
    <w:p w14:paraId="5C7C6B46" w14:textId="77777777" w:rsidR="0008009C" w:rsidRDefault="00936FDF">
      <w:r>
        <w:pict w14:anchorId="5C7C7D2B">
          <v:rect id="_x0000_i1047" style="width:415.3pt;height:1.5pt" o:hralign="center" o:hrstd="t" o:hr="t" fillcolor="#a0a0a0" stroked="f"/>
        </w:pict>
      </w:r>
    </w:p>
    <w:p w14:paraId="5C7C6B47" w14:textId="77777777" w:rsidR="0008009C" w:rsidRDefault="00936FDF">
      <w:pPr>
        <w:spacing w:after="180"/>
        <w:jc w:val="right"/>
      </w:pPr>
      <w:hyperlink r:id="rId46" w:anchor="i3a00378f6cc84b1c9cfc83239548ad53_7" w:history="1">
        <w:r>
          <w:rPr>
            <w:rStyle w:val="a5"/>
            <w:rFonts w:ascii="Arial" w:eastAsia="宋体" w:hAnsi="Arial" w:cs="Arial"/>
            <w:b/>
            <w:bCs/>
            <w:sz w:val="16"/>
            <w:szCs w:val="16"/>
          </w:rPr>
          <w:t>Table of Contents</w:t>
        </w:r>
      </w:hyperlink>
    </w:p>
    <w:p w14:paraId="5C7C6B48" w14:textId="77777777" w:rsidR="0008009C" w:rsidRDefault="0008009C">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8009C" w14:paraId="5C7C6B4F" w14:textId="77777777">
        <w:tc>
          <w:tcPr>
            <w:tcW w:w="50" w:type="pct"/>
            <w:shd w:val="clear" w:color="auto" w:fill="auto"/>
          </w:tcPr>
          <w:p w14:paraId="5C7C6B49" w14:textId="77777777" w:rsidR="0008009C" w:rsidRDefault="0008009C">
            <w:pPr>
              <w:rPr>
                <w:rFonts w:ascii="宋体"/>
              </w:rPr>
            </w:pPr>
          </w:p>
        </w:tc>
        <w:tc>
          <w:tcPr>
            <w:tcW w:w="4870" w:type="pct"/>
            <w:shd w:val="clear" w:color="auto" w:fill="auto"/>
          </w:tcPr>
          <w:p w14:paraId="5C7C6B4A" w14:textId="77777777" w:rsidR="0008009C" w:rsidRDefault="0008009C">
            <w:pPr>
              <w:rPr>
                <w:rFonts w:ascii="宋体"/>
              </w:rPr>
            </w:pPr>
          </w:p>
        </w:tc>
        <w:tc>
          <w:tcPr>
            <w:tcW w:w="5" w:type="pct"/>
            <w:shd w:val="clear" w:color="auto" w:fill="auto"/>
          </w:tcPr>
          <w:p w14:paraId="5C7C6B4B" w14:textId="77777777" w:rsidR="0008009C" w:rsidRDefault="0008009C">
            <w:pPr>
              <w:rPr>
                <w:rFonts w:ascii="宋体"/>
              </w:rPr>
            </w:pPr>
          </w:p>
        </w:tc>
        <w:tc>
          <w:tcPr>
            <w:tcW w:w="5" w:type="pct"/>
            <w:shd w:val="clear" w:color="auto" w:fill="auto"/>
          </w:tcPr>
          <w:p w14:paraId="5C7C6B4C" w14:textId="77777777" w:rsidR="0008009C" w:rsidRDefault="0008009C">
            <w:pPr>
              <w:rPr>
                <w:rFonts w:ascii="宋体"/>
              </w:rPr>
            </w:pPr>
          </w:p>
        </w:tc>
        <w:tc>
          <w:tcPr>
            <w:tcW w:w="64" w:type="pct"/>
            <w:shd w:val="clear" w:color="auto" w:fill="auto"/>
          </w:tcPr>
          <w:p w14:paraId="5C7C6B4D" w14:textId="77777777" w:rsidR="0008009C" w:rsidRDefault="0008009C">
            <w:pPr>
              <w:rPr>
                <w:rFonts w:ascii="宋体"/>
              </w:rPr>
            </w:pPr>
          </w:p>
        </w:tc>
        <w:tc>
          <w:tcPr>
            <w:tcW w:w="5" w:type="pct"/>
            <w:shd w:val="clear" w:color="auto" w:fill="auto"/>
          </w:tcPr>
          <w:p w14:paraId="5C7C6B4E" w14:textId="77777777" w:rsidR="0008009C" w:rsidRDefault="0008009C">
            <w:pPr>
              <w:rPr>
                <w:rFonts w:ascii="宋体"/>
              </w:rPr>
            </w:pPr>
          </w:p>
        </w:tc>
      </w:tr>
      <w:tr w:rsidR="0008009C" w14:paraId="5C7C6B52" w14:textId="77777777">
        <w:tc>
          <w:tcPr>
            <w:tcW w:w="0" w:type="auto"/>
            <w:gridSpan w:val="3"/>
            <w:shd w:val="clear" w:color="auto" w:fill="004A86"/>
            <w:tcMar>
              <w:top w:w="40" w:type="dxa"/>
              <w:left w:w="20" w:type="dxa"/>
              <w:bottom w:w="40" w:type="dxa"/>
              <w:right w:w="20" w:type="dxa"/>
            </w:tcMar>
            <w:vAlign w:val="center"/>
          </w:tcPr>
          <w:p w14:paraId="5C7C6B50" w14:textId="77777777" w:rsidR="0008009C" w:rsidRDefault="00936FDF">
            <w:pPr>
              <w:textAlignment w:val="center"/>
            </w:pPr>
            <w:r>
              <w:rPr>
                <w:rFonts w:ascii="Arial" w:eastAsia="宋体" w:hAnsi="Arial" w:cs="Arial"/>
                <w:color w:val="FFFFFF"/>
                <w:sz w:val="36"/>
                <w:szCs w:val="36"/>
              </w:rPr>
              <w:t>Key Terms</w:t>
            </w:r>
          </w:p>
        </w:tc>
        <w:tc>
          <w:tcPr>
            <w:tcW w:w="0" w:type="auto"/>
            <w:gridSpan w:val="3"/>
            <w:shd w:val="clear" w:color="auto" w:fill="auto"/>
            <w:tcMar>
              <w:top w:w="0" w:type="dxa"/>
              <w:left w:w="20" w:type="dxa"/>
              <w:bottom w:w="0" w:type="dxa"/>
              <w:right w:w="20" w:type="dxa"/>
            </w:tcMar>
          </w:tcPr>
          <w:p w14:paraId="5C7C6B51" w14:textId="77777777" w:rsidR="0008009C" w:rsidRDefault="0008009C">
            <w:pPr>
              <w:rPr>
                <w:rFonts w:ascii="宋体"/>
              </w:rPr>
            </w:pPr>
          </w:p>
        </w:tc>
      </w:tr>
      <w:tr w:rsidR="0008009C" w14:paraId="5C7C6B55" w14:textId="77777777">
        <w:trPr>
          <w:trHeight w:val="160"/>
        </w:trPr>
        <w:tc>
          <w:tcPr>
            <w:tcW w:w="0" w:type="auto"/>
            <w:gridSpan w:val="3"/>
            <w:shd w:val="clear" w:color="auto" w:fill="auto"/>
            <w:tcMar>
              <w:top w:w="0" w:type="dxa"/>
              <w:left w:w="20" w:type="dxa"/>
              <w:bottom w:w="0" w:type="dxa"/>
              <w:right w:w="20" w:type="dxa"/>
            </w:tcMar>
          </w:tcPr>
          <w:p w14:paraId="5C7C6B53" w14:textId="77777777" w:rsidR="0008009C" w:rsidRDefault="0008009C">
            <w:pPr>
              <w:rPr>
                <w:rFonts w:ascii="宋体"/>
              </w:rPr>
            </w:pPr>
          </w:p>
        </w:tc>
        <w:tc>
          <w:tcPr>
            <w:tcW w:w="0" w:type="auto"/>
            <w:gridSpan w:val="3"/>
            <w:shd w:val="clear" w:color="auto" w:fill="00A3F6"/>
            <w:tcMar>
              <w:top w:w="0" w:type="dxa"/>
              <w:left w:w="20" w:type="dxa"/>
              <w:bottom w:w="0" w:type="dxa"/>
              <w:right w:w="20" w:type="dxa"/>
            </w:tcMar>
          </w:tcPr>
          <w:p w14:paraId="5C7C6B54" w14:textId="77777777" w:rsidR="0008009C" w:rsidRDefault="0008009C">
            <w:pPr>
              <w:rPr>
                <w:rFonts w:ascii="宋体"/>
              </w:rPr>
            </w:pPr>
          </w:p>
        </w:tc>
      </w:tr>
    </w:tbl>
    <w:p w14:paraId="5C7C6B56" w14:textId="77777777" w:rsidR="0008009C" w:rsidRDefault="00936FDF">
      <w:pPr>
        <w:spacing w:before="180"/>
      </w:pPr>
      <w:r>
        <w:rPr>
          <w:rFonts w:ascii="Arial" w:eastAsia="宋体" w:hAnsi="Arial" w:cs="Arial"/>
          <w:color w:val="262626"/>
          <w:sz w:val="18"/>
          <w:szCs w:val="18"/>
        </w:rPr>
        <w:t xml:space="preserve">We use terms throughout our document that are specific to Intel or that are abbreviations that may not be commonly known or used. Below is a list of these terms used in our document. </w:t>
      </w:r>
    </w:p>
    <w:tbl>
      <w:tblPr>
        <w:tblW w:w="5000" w:type="pct"/>
        <w:tblCellMar>
          <w:top w:w="15" w:type="dxa"/>
          <w:left w:w="15" w:type="dxa"/>
          <w:bottom w:w="15" w:type="dxa"/>
          <w:right w:w="15" w:type="dxa"/>
        </w:tblCellMar>
        <w:tblLook w:val="04A0" w:firstRow="1" w:lastRow="0" w:firstColumn="1" w:lastColumn="0" w:noHBand="0" w:noVBand="1"/>
      </w:tblPr>
      <w:tblGrid>
        <w:gridCol w:w="54"/>
        <w:gridCol w:w="1390"/>
        <w:gridCol w:w="36"/>
        <w:gridCol w:w="36"/>
        <w:gridCol w:w="36"/>
        <w:gridCol w:w="36"/>
        <w:gridCol w:w="53"/>
        <w:gridCol w:w="6655"/>
        <w:gridCol w:w="40"/>
      </w:tblGrid>
      <w:tr w:rsidR="0008009C" w14:paraId="5C7C6B60" w14:textId="77777777">
        <w:tc>
          <w:tcPr>
            <w:tcW w:w="50" w:type="pct"/>
            <w:shd w:val="clear" w:color="auto" w:fill="auto"/>
          </w:tcPr>
          <w:p w14:paraId="5C7C6B57" w14:textId="77777777" w:rsidR="0008009C" w:rsidRDefault="0008009C">
            <w:pPr>
              <w:rPr>
                <w:rFonts w:ascii="宋体"/>
              </w:rPr>
            </w:pPr>
          </w:p>
        </w:tc>
        <w:tc>
          <w:tcPr>
            <w:tcW w:w="853" w:type="pct"/>
            <w:shd w:val="clear" w:color="auto" w:fill="auto"/>
          </w:tcPr>
          <w:p w14:paraId="5C7C6B58" w14:textId="77777777" w:rsidR="0008009C" w:rsidRDefault="0008009C">
            <w:pPr>
              <w:rPr>
                <w:rFonts w:ascii="宋体"/>
              </w:rPr>
            </w:pPr>
          </w:p>
        </w:tc>
        <w:tc>
          <w:tcPr>
            <w:tcW w:w="5" w:type="pct"/>
            <w:shd w:val="clear" w:color="auto" w:fill="auto"/>
          </w:tcPr>
          <w:p w14:paraId="5C7C6B59" w14:textId="77777777" w:rsidR="0008009C" w:rsidRDefault="0008009C">
            <w:pPr>
              <w:rPr>
                <w:rFonts w:ascii="宋体"/>
              </w:rPr>
            </w:pPr>
          </w:p>
        </w:tc>
        <w:tc>
          <w:tcPr>
            <w:tcW w:w="5" w:type="pct"/>
            <w:shd w:val="clear" w:color="auto" w:fill="auto"/>
          </w:tcPr>
          <w:p w14:paraId="5C7C6B5A" w14:textId="77777777" w:rsidR="0008009C" w:rsidRDefault="0008009C">
            <w:pPr>
              <w:rPr>
                <w:rFonts w:ascii="宋体"/>
              </w:rPr>
            </w:pPr>
          </w:p>
        </w:tc>
        <w:tc>
          <w:tcPr>
            <w:tcW w:w="17" w:type="pct"/>
            <w:shd w:val="clear" w:color="auto" w:fill="auto"/>
          </w:tcPr>
          <w:p w14:paraId="5C7C6B5B" w14:textId="77777777" w:rsidR="0008009C" w:rsidRDefault="0008009C">
            <w:pPr>
              <w:rPr>
                <w:rFonts w:ascii="宋体"/>
              </w:rPr>
            </w:pPr>
          </w:p>
        </w:tc>
        <w:tc>
          <w:tcPr>
            <w:tcW w:w="5" w:type="pct"/>
            <w:shd w:val="clear" w:color="auto" w:fill="auto"/>
          </w:tcPr>
          <w:p w14:paraId="5C7C6B5C" w14:textId="77777777" w:rsidR="0008009C" w:rsidRDefault="0008009C">
            <w:pPr>
              <w:rPr>
                <w:rFonts w:ascii="宋体"/>
              </w:rPr>
            </w:pPr>
          </w:p>
        </w:tc>
        <w:tc>
          <w:tcPr>
            <w:tcW w:w="50" w:type="pct"/>
            <w:shd w:val="clear" w:color="auto" w:fill="auto"/>
          </w:tcPr>
          <w:p w14:paraId="5C7C6B5D" w14:textId="77777777" w:rsidR="0008009C" w:rsidRDefault="0008009C">
            <w:pPr>
              <w:rPr>
                <w:rFonts w:ascii="宋体"/>
              </w:rPr>
            </w:pPr>
          </w:p>
        </w:tc>
        <w:tc>
          <w:tcPr>
            <w:tcW w:w="4009" w:type="pct"/>
            <w:shd w:val="clear" w:color="auto" w:fill="auto"/>
          </w:tcPr>
          <w:p w14:paraId="5C7C6B5E" w14:textId="77777777" w:rsidR="0008009C" w:rsidRDefault="0008009C">
            <w:pPr>
              <w:rPr>
                <w:rFonts w:ascii="宋体"/>
              </w:rPr>
            </w:pPr>
          </w:p>
        </w:tc>
        <w:tc>
          <w:tcPr>
            <w:tcW w:w="5" w:type="pct"/>
            <w:shd w:val="clear" w:color="auto" w:fill="auto"/>
          </w:tcPr>
          <w:p w14:paraId="5C7C6B5F" w14:textId="77777777" w:rsidR="0008009C" w:rsidRDefault="0008009C">
            <w:pPr>
              <w:rPr>
                <w:rFonts w:ascii="宋体"/>
              </w:rPr>
            </w:pPr>
          </w:p>
        </w:tc>
      </w:tr>
      <w:tr w:rsidR="0008009C" w14:paraId="5C7C6B64" w14:textId="77777777">
        <w:tc>
          <w:tcPr>
            <w:tcW w:w="0" w:type="auto"/>
            <w:gridSpan w:val="3"/>
            <w:shd w:val="clear" w:color="auto" w:fill="auto"/>
            <w:tcMar>
              <w:top w:w="40" w:type="dxa"/>
              <w:left w:w="20" w:type="dxa"/>
              <w:bottom w:w="40" w:type="dxa"/>
              <w:right w:w="20" w:type="dxa"/>
            </w:tcMar>
          </w:tcPr>
          <w:p w14:paraId="5C7C6B61" w14:textId="77777777" w:rsidR="0008009C" w:rsidRDefault="00936FDF">
            <w:pPr>
              <w:jc w:val="center"/>
              <w:textAlignment w:val="top"/>
            </w:pPr>
            <w:r>
              <w:rPr>
                <w:rFonts w:ascii="Arial" w:eastAsia="宋体" w:hAnsi="Arial" w:cs="Arial"/>
                <w:color w:val="0068B5"/>
                <w:sz w:val="18"/>
                <w:szCs w:val="18"/>
              </w:rPr>
              <w:t>Term</w:t>
            </w:r>
          </w:p>
        </w:tc>
        <w:tc>
          <w:tcPr>
            <w:tcW w:w="0" w:type="auto"/>
            <w:gridSpan w:val="3"/>
            <w:shd w:val="clear" w:color="auto" w:fill="auto"/>
            <w:tcMar>
              <w:top w:w="0" w:type="dxa"/>
              <w:left w:w="20" w:type="dxa"/>
              <w:bottom w:w="0" w:type="dxa"/>
              <w:right w:w="20" w:type="dxa"/>
            </w:tcMar>
          </w:tcPr>
          <w:p w14:paraId="5C7C6B62"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B63" w14:textId="77777777" w:rsidR="0008009C" w:rsidRDefault="00936FDF">
            <w:pPr>
              <w:jc w:val="center"/>
              <w:textAlignment w:val="top"/>
            </w:pPr>
            <w:r>
              <w:rPr>
                <w:rFonts w:ascii="Arial" w:eastAsia="宋体" w:hAnsi="Arial" w:cs="Arial"/>
                <w:color w:val="0068B5"/>
                <w:sz w:val="18"/>
                <w:szCs w:val="18"/>
              </w:rPr>
              <w:t>Definition</w:t>
            </w:r>
          </w:p>
        </w:tc>
      </w:tr>
      <w:tr w:rsidR="0008009C" w14:paraId="5C7C6B68" w14:textId="77777777">
        <w:trPr>
          <w:hidden/>
        </w:trPr>
        <w:tc>
          <w:tcPr>
            <w:tcW w:w="0" w:type="auto"/>
            <w:gridSpan w:val="3"/>
            <w:shd w:val="clear" w:color="auto" w:fill="auto"/>
          </w:tcPr>
          <w:p w14:paraId="5C7C6B65" w14:textId="77777777" w:rsidR="0008009C" w:rsidRDefault="0008009C">
            <w:pPr>
              <w:rPr>
                <w:rFonts w:ascii="宋体"/>
                <w:vanish/>
              </w:rPr>
            </w:pPr>
          </w:p>
        </w:tc>
        <w:tc>
          <w:tcPr>
            <w:tcW w:w="0" w:type="auto"/>
            <w:gridSpan w:val="3"/>
            <w:shd w:val="clear" w:color="auto" w:fill="auto"/>
          </w:tcPr>
          <w:p w14:paraId="5C7C6B66" w14:textId="77777777" w:rsidR="0008009C" w:rsidRDefault="0008009C">
            <w:pPr>
              <w:rPr>
                <w:rFonts w:ascii="宋体"/>
                <w:vanish/>
              </w:rPr>
            </w:pPr>
          </w:p>
        </w:tc>
        <w:tc>
          <w:tcPr>
            <w:tcW w:w="0" w:type="auto"/>
            <w:gridSpan w:val="3"/>
            <w:shd w:val="clear" w:color="auto" w:fill="auto"/>
          </w:tcPr>
          <w:p w14:paraId="5C7C6B67" w14:textId="77777777" w:rsidR="0008009C" w:rsidRDefault="0008009C">
            <w:pPr>
              <w:rPr>
                <w:rFonts w:ascii="宋体"/>
                <w:vanish/>
              </w:rPr>
            </w:pPr>
          </w:p>
        </w:tc>
      </w:tr>
      <w:tr w:rsidR="0008009C" w14:paraId="5C7C6B6C" w14:textId="77777777">
        <w:trPr>
          <w:hidden/>
        </w:trPr>
        <w:tc>
          <w:tcPr>
            <w:tcW w:w="0" w:type="auto"/>
            <w:gridSpan w:val="3"/>
            <w:shd w:val="clear" w:color="auto" w:fill="auto"/>
          </w:tcPr>
          <w:p w14:paraId="5C7C6B69" w14:textId="77777777" w:rsidR="0008009C" w:rsidRDefault="0008009C">
            <w:pPr>
              <w:rPr>
                <w:rFonts w:ascii="宋体"/>
                <w:vanish/>
              </w:rPr>
            </w:pPr>
          </w:p>
        </w:tc>
        <w:tc>
          <w:tcPr>
            <w:tcW w:w="0" w:type="auto"/>
            <w:gridSpan w:val="3"/>
            <w:shd w:val="clear" w:color="auto" w:fill="auto"/>
          </w:tcPr>
          <w:p w14:paraId="5C7C6B6A" w14:textId="77777777" w:rsidR="0008009C" w:rsidRDefault="0008009C">
            <w:pPr>
              <w:rPr>
                <w:rFonts w:ascii="宋体"/>
                <w:vanish/>
              </w:rPr>
            </w:pPr>
          </w:p>
        </w:tc>
        <w:tc>
          <w:tcPr>
            <w:tcW w:w="0" w:type="auto"/>
            <w:gridSpan w:val="3"/>
            <w:shd w:val="clear" w:color="auto" w:fill="auto"/>
          </w:tcPr>
          <w:p w14:paraId="5C7C6B6B" w14:textId="77777777" w:rsidR="0008009C" w:rsidRDefault="0008009C">
            <w:pPr>
              <w:rPr>
                <w:rFonts w:ascii="宋体"/>
                <w:vanish/>
              </w:rPr>
            </w:pPr>
          </w:p>
        </w:tc>
      </w:tr>
      <w:tr w:rsidR="0008009C" w14:paraId="5C7C6B70" w14:textId="77777777">
        <w:trPr>
          <w:hidden/>
        </w:trPr>
        <w:tc>
          <w:tcPr>
            <w:tcW w:w="0" w:type="auto"/>
            <w:gridSpan w:val="3"/>
            <w:shd w:val="clear" w:color="auto" w:fill="auto"/>
          </w:tcPr>
          <w:p w14:paraId="5C7C6B6D" w14:textId="77777777" w:rsidR="0008009C" w:rsidRDefault="0008009C">
            <w:pPr>
              <w:rPr>
                <w:rFonts w:ascii="宋体"/>
                <w:vanish/>
              </w:rPr>
            </w:pPr>
          </w:p>
        </w:tc>
        <w:tc>
          <w:tcPr>
            <w:tcW w:w="0" w:type="auto"/>
            <w:gridSpan w:val="3"/>
            <w:shd w:val="clear" w:color="auto" w:fill="auto"/>
          </w:tcPr>
          <w:p w14:paraId="5C7C6B6E" w14:textId="77777777" w:rsidR="0008009C" w:rsidRDefault="0008009C">
            <w:pPr>
              <w:rPr>
                <w:rFonts w:ascii="宋体"/>
                <w:vanish/>
              </w:rPr>
            </w:pPr>
          </w:p>
        </w:tc>
        <w:tc>
          <w:tcPr>
            <w:tcW w:w="0" w:type="auto"/>
            <w:gridSpan w:val="3"/>
            <w:shd w:val="clear" w:color="auto" w:fill="auto"/>
          </w:tcPr>
          <w:p w14:paraId="5C7C6B6F" w14:textId="77777777" w:rsidR="0008009C" w:rsidRDefault="0008009C">
            <w:pPr>
              <w:rPr>
                <w:rFonts w:ascii="宋体"/>
                <w:vanish/>
              </w:rPr>
            </w:pPr>
          </w:p>
        </w:tc>
      </w:tr>
      <w:tr w:rsidR="0008009C" w14:paraId="5C7C6B74"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6B71" w14:textId="77777777" w:rsidR="0008009C" w:rsidRDefault="00936FDF">
            <w:pPr>
              <w:textAlignment w:val="top"/>
            </w:pPr>
            <w:r>
              <w:rPr>
                <w:rFonts w:ascii="Arial" w:eastAsia="宋体" w:hAnsi="Arial" w:cs="Arial"/>
                <w:color w:val="0068B5"/>
                <w:sz w:val="18"/>
                <w:szCs w:val="18"/>
              </w:rPr>
              <w:t>2009 Debentures</w:t>
            </w:r>
          </w:p>
        </w:tc>
        <w:tc>
          <w:tcPr>
            <w:tcW w:w="0" w:type="auto"/>
            <w:gridSpan w:val="3"/>
            <w:tcBorders>
              <w:top w:val="single" w:sz="8" w:space="0" w:color="0068B5"/>
            </w:tcBorders>
            <w:shd w:val="clear" w:color="auto" w:fill="auto"/>
            <w:tcMar>
              <w:top w:w="0" w:type="dxa"/>
              <w:left w:w="20" w:type="dxa"/>
              <w:bottom w:w="0" w:type="dxa"/>
              <w:right w:w="20" w:type="dxa"/>
            </w:tcMar>
          </w:tcPr>
          <w:p w14:paraId="5C7C6B72"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5C7C6B73" w14:textId="77777777" w:rsidR="0008009C" w:rsidRDefault="00936FDF">
            <w:pPr>
              <w:textAlignment w:val="top"/>
            </w:pPr>
            <w:r>
              <w:rPr>
                <w:rFonts w:ascii="Arial" w:eastAsia="宋体" w:hAnsi="Arial" w:cs="Arial"/>
                <w:color w:val="262626"/>
                <w:sz w:val="18"/>
                <w:szCs w:val="18"/>
              </w:rPr>
              <w:t xml:space="preserve">3.25% </w:t>
            </w:r>
            <w:r>
              <w:rPr>
                <w:rFonts w:ascii="Arial" w:eastAsia="宋体" w:hAnsi="Arial" w:cs="Arial"/>
                <w:color w:val="262626"/>
                <w:sz w:val="18"/>
                <w:szCs w:val="18"/>
              </w:rPr>
              <w:t>junior subordinated convertible debentures due 2039</w:t>
            </w:r>
          </w:p>
        </w:tc>
      </w:tr>
      <w:tr w:rsidR="0008009C" w14:paraId="5C7C6B78" w14:textId="77777777">
        <w:trPr>
          <w:hidden/>
        </w:trPr>
        <w:tc>
          <w:tcPr>
            <w:tcW w:w="0" w:type="auto"/>
            <w:gridSpan w:val="3"/>
            <w:shd w:val="clear" w:color="auto" w:fill="auto"/>
          </w:tcPr>
          <w:p w14:paraId="5C7C6B75" w14:textId="77777777" w:rsidR="0008009C" w:rsidRDefault="0008009C">
            <w:pPr>
              <w:rPr>
                <w:rFonts w:ascii="宋体"/>
                <w:vanish/>
              </w:rPr>
            </w:pPr>
          </w:p>
        </w:tc>
        <w:tc>
          <w:tcPr>
            <w:tcW w:w="0" w:type="auto"/>
            <w:gridSpan w:val="3"/>
            <w:shd w:val="clear" w:color="auto" w:fill="auto"/>
          </w:tcPr>
          <w:p w14:paraId="5C7C6B76" w14:textId="77777777" w:rsidR="0008009C" w:rsidRDefault="0008009C">
            <w:pPr>
              <w:rPr>
                <w:rFonts w:ascii="宋体"/>
                <w:vanish/>
              </w:rPr>
            </w:pPr>
          </w:p>
        </w:tc>
        <w:tc>
          <w:tcPr>
            <w:tcW w:w="0" w:type="auto"/>
            <w:gridSpan w:val="3"/>
            <w:shd w:val="clear" w:color="auto" w:fill="auto"/>
          </w:tcPr>
          <w:p w14:paraId="5C7C6B77" w14:textId="77777777" w:rsidR="0008009C" w:rsidRDefault="0008009C">
            <w:pPr>
              <w:rPr>
                <w:rFonts w:ascii="宋体"/>
                <w:vanish/>
              </w:rPr>
            </w:pPr>
          </w:p>
        </w:tc>
      </w:tr>
      <w:tr w:rsidR="0008009C" w14:paraId="5C7C6B7C" w14:textId="77777777">
        <w:trPr>
          <w:hidden/>
        </w:trPr>
        <w:tc>
          <w:tcPr>
            <w:tcW w:w="0" w:type="auto"/>
            <w:gridSpan w:val="3"/>
            <w:shd w:val="clear" w:color="auto" w:fill="auto"/>
          </w:tcPr>
          <w:p w14:paraId="5C7C6B79" w14:textId="77777777" w:rsidR="0008009C" w:rsidRDefault="0008009C">
            <w:pPr>
              <w:rPr>
                <w:rFonts w:ascii="宋体"/>
                <w:vanish/>
              </w:rPr>
            </w:pPr>
          </w:p>
        </w:tc>
        <w:tc>
          <w:tcPr>
            <w:tcW w:w="0" w:type="auto"/>
            <w:gridSpan w:val="3"/>
            <w:shd w:val="clear" w:color="auto" w:fill="auto"/>
          </w:tcPr>
          <w:p w14:paraId="5C7C6B7A" w14:textId="77777777" w:rsidR="0008009C" w:rsidRDefault="0008009C">
            <w:pPr>
              <w:rPr>
                <w:rFonts w:ascii="宋体"/>
                <w:vanish/>
              </w:rPr>
            </w:pPr>
          </w:p>
        </w:tc>
        <w:tc>
          <w:tcPr>
            <w:tcW w:w="0" w:type="auto"/>
            <w:gridSpan w:val="3"/>
            <w:shd w:val="clear" w:color="auto" w:fill="auto"/>
          </w:tcPr>
          <w:p w14:paraId="5C7C6B7B" w14:textId="77777777" w:rsidR="0008009C" w:rsidRDefault="0008009C">
            <w:pPr>
              <w:rPr>
                <w:rFonts w:ascii="宋体"/>
                <w:vanish/>
              </w:rPr>
            </w:pPr>
          </w:p>
        </w:tc>
      </w:tr>
      <w:tr w:rsidR="0008009C" w14:paraId="5C7C6B80" w14:textId="77777777">
        <w:trPr>
          <w:hidden/>
        </w:trPr>
        <w:tc>
          <w:tcPr>
            <w:tcW w:w="0" w:type="auto"/>
            <w:gridSpan w:val="3"/>
            <w:shd w:val="clear" w:color="auto" w:fill="auto"/>
          </w:tcPr>
          <w:p w14:paraId="5C7C6B7D" w14:textId="77777777" w:rsidR="0008009C" w:rsidRDefault="0008009C">
            <w:pPr>
              <w:rPr>
                <w:rFonts w:ascii="宋体"/>
                <w:vanish/>
              </w:rPr>
            </w:pPr>
          </w:p>
        </w:tc>
        <w:tc>
          <w:tcPr>
            <w:tcW w:w="0" w:type="auto"/>
            <w:gridSpan w:val="3"/>
            <w:shd w:val="clear" w:color="auto" w:fill="auto"/>
          </w:tcPr>
          <w:p w14:paraId="5C7C6B7E" w14:textId="77777777" w:rsidR="0008009C" w:rsidRDefault="0008009C">
            <w:pPr>
              <w:rPr>
                <w:rFonts w:ascii="宋体"/>
                <w:vanish/>
              </w:rPr>
            </w:pPr>
          </w:p>
        </w:tc>
        <w:tc>
          <w:tcPr>
            <w:tcW w:w="0" w:type="auto"/>
            <w:gridSpan w:val="3"/>
            <w:shd w:val="clear" w:color="auto" w:fill="auto"/>
          </w:tcPr>
          <w:p w14:paraId="5C7C6B7F" w14:textId="77777777" w:rsidR="0008009C" w:rsidRDefault="0008009C">
            <w:pPr>
              <w:rPr>
                <w:rFonts w:ascii="宋体"/>
                <w:vanish/>
              </w:rPr>
            </w:pPr>
          </w:p>
        </w:tc>
      </w:tr>
      <w:tr w:rsidR="0008009C" w14:paraId="5C7C6B84" w14:textId="77777777">
        <w:trPr>
          <w:hidden/>
        </w:trPr>
        <w:tc>
          <w:tcPr>
            <w:tcW w:w="0" w:type="auto"/>
            <w:gridSpan w:val="3"/>
            <w:shd w:val="clear" w:color="auto" w:fill="auto"/>
          </w:tcPr>
          <w:p w14:paraId="5C7C6B81" w14:textId="77777777" w:rsidR="0008009C" w:rsidRDefault="0008009C">
            <w:pPr>
              <w:rPr>
                <w:rFonts w:ascii="宋体"/>
                <w:vanish/>
              </w:rPr>
            </w:pPr>
          </w:p>
        </w:tc>
        <w:tc>
          <w:tcPr>
            <w:tcW w:w="0" w:type="auto"/>
            <w:gridSpan w:val="3"/>
            <w:shd w:val="clear" w:color="auto" w:fill="auto"/>
          </w:tcPr>
          <w:p w14:paraId="5C7C6B82" w14:textId="77777777" w:rsidR="0008009C" w:rsidRDefault="0008009C">
            <w:pPr>
              <w:rPr>
                <w:rFonts w:ascii="宋体"/>
                <w:vanish/>
              </w:rPr>
            </w:pPr>
          </w:p>
        </w:tc>
        <w:tc>
          <w:tcPr>
            <w:tcW w:w="0" w:type="auto"/>
            <w:gridSpan w:val="3"/>
            <w:shd w:val="clear" w:color="auto" w:fill="auto"/>
          </w:tcPr>
          <w:p w14:paraId="5C7C6B83" w14:textId="77777777" w:rsidR="0008009C" w:rsidRDefault="0008009C">
            <w:pPr>
              <w:rPr>
                <w:rFonts w:ascii="宋体"/>
                <w:vanish/>
              </w:rPr>
            </w:pPr>
          </w:p>
        </w:tc>
      </w:tr>
      <w:tr w:rsidR="0008009C" w14:paraId="5C7C6B88" w14:textId="77777777">
        <w:trPr>
          <w:hidden/>
        </w:trPr>
        <w:tc>
          <w:tcPr>
            <w:tcW w:w="0" w:type="auto"/>
            <w:gridSpan w:val="3"/>
            <w:shd w:val="clear" w:color="auto" w:fill="auto"/>
          </w:tcPr>
          <w:p w14:paraId="5C7C6B85" w14:textId="77777777" w:rsidR="0008009C" w:rsidRDefault="0008009C">
            <w:pPr>
              <w:rPr>
                <w:rFonts w:ascii="宋体"/>
                <w:vanish/>
              </w:rPr>
            </w:pPr>
          </w:p>
        </w:tc>
        <w:tc>
          <w:tcPr>
            <w:tcW w:w="0" w:type="auto"/>
            <w:gridSpan w:val="3"/>
            <w:shd w:val="clear" w:color="auto" w:fill="auto"/>
          </w:tcPr>
          <w:p w14:paraId="5C7C6B86" w14:textId="77777777" w:rsidR="0008009C" w:rsidRDefault="0008009C">
            <w:pPr>
              <w:rPr>
                <w:rFonts w:ascii="宋体"/>
                <w:vanish/>
              </w:rPr>
            </w:pPr>
          </w:p>
        </w:tc>
        <w:tc>
          <w:tcPr>
            <w:tcW w:w="0" w:type="auto"/>
            <w:gridSpan w:val="3"/>
            <w:shd w:val="clear" w:color="auto" w:fill="auto"/>
          </w:tcPr>
          <w:p w14:paraId="5C7C6B87" w14:textId="77777777" w:rsidR="0008009C" w:rsidRDefault="0008009C">
            <w:pPr>
              <w:rPr>
                <w:rFonts w:ascii="宋体"/>
                <w:vanish/>
              </w:rPr>
            </w:pPr>
          </w:p>
        </w:tc>
      </w:tr>
      <w:tr w:rsidR="0008009C" w14:paraId="5C7C6B8C" w14:textId="77777777">
        <w:tc>
          <w:tcPr>
            <w:tcW w:w="0" w:type="auto"/>
            <w:gridSpan w:val="3"/>
            <w:shd w:val="clear" w:color="auto" w:fill="auto"/>
            <w:tcMar>
              <w:top w:w="40" w:type="dxa"/>
              <w:left w:w="20" w:type="dxa"/>
              <w:bottom w:w="40" w:type="dxa"/>
              <w:right w:w="20" w:type="dxa"/>
            </w:tcMar>
          </w:tcPr>
          <w:p w14:paraId="5C7C6B89" w14:textId="77777777" w:rsidR="0008009C" w:rsidRDefault="00936FDF">
            <w:pPr>
              <w:textAlignment w:val="top"/>
            </w:pPr>
            <w:r>
              <w:rPr>
                <w:rFonts w:ascii="Arial" w:eastAsia="宋体" w:hAnsi="Arial" w:cs="Arial"/>
                <w:color w:val="0068B5"/>
                <w:sz w:val="18"/>
                <w:szCs w:val="18"/>
              </w:rPr>
              <w:t>Form 10-K</w:t>
            </w:r>
          </w:p>
        </w:tc>
        <w:tc>
          <w:tcPr>
            <w:tcW w:w="0" w:type="auto"/>
            <w:gridSpan w:val="3"/>
            <w:shd w:val="clear" w:color="auto" w:fill="auto"/>
            <w:tcMar>
              <w:top w:w="0" w:type="dxa"/>
              <w:left w:w="20" w:type="dxa"/>
              <w:bottom w:w="0" w:type="dxa"/>
              <w:right w:w="20" w:type="dxa"/>
            </w:tcMar>
          </w:tcPr>
          <w:p w14:paraId="5C7C6B8A"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B8B" w14:textId="77777777" w:rsidR="0008009C" w:rsidRDefault="00936FDF">
            <w:pPr>
              <w:textAlignment w:val="top"/>
            </w:pPr>
            <w:r>
              <w:rPr>
                <w:rFonts w:ascii="Arial" w:eastAsia="宋体" w:hAnsi="Arial" w:cs="Arial"/>
                <w:color w:val="262626"/>
                <w:sz w:val="18"/>
                <w:szCs w:val="18"/>
              </w:rPr>
              <w:t>Annual Report on Form 10-K</w:t>
            </w:r>
          </w:p>
        </w:tc>
      </w:tr>
      <w:tr w:rsidR="0008009C" w14:paraId="5C7C6B90" w14:textId="77777777">
        <w:tc>
          <w:tcPr>
            <w:tcW w:w="0" w:type="auto"/>
            <w:gridSpan w:val="3"/>
            <w:shd w:val="clear" w:color="auto" w:fill="auto"/>
            <w:tcMar>
              <w:top w:w="40" w:type="dxa"/>
              <w:left w:w="20" w:type="dxa"/>
              <w:bottom w:w="40" w:type="dxa"/>
              <w:right w:w="20" w:type="dxa"/>
            </w:tcMar>
          </w:tcPr>
          <w:p w14:paraId="5C7C6B8D" w14:textId="77777777" w:rsidR="0008009C" w:rsidRDefault="00936FDF">
            <w:pPr>
              <w:textAlignment w:val="top"/>
            </w:pPr>
            <w:r>
              <w:rPr>
                <w:rFonts w:ascii="Arial" w:eastAsia="宋体" w:hAnsi="Arial" w:cs="Arial"/>
                <w:color w:val="0068B5"/>
                <w:sz w:val="18"/>
                <w:szCs w:val="18"/>
              </w:rPr>
              <w:t>5G</w:t>
            </w:r>
          </w:p>
        </w:tc>
        <w:tc>
          <w:tcPr>
            <w:tcW w:w="0" w:type="auto"/>
            <w:gridSpan w:val="3"/>
            <w:shd w:val="clear" w:color="auto" w:fill="auto"/>
            <w:tcMar>
              <w:top w:w="0" w:type="dxa"/>
              <w:left w:w="20" w:type="dxa"/>
              <w:bottom w:w="0" w:type="dxa"/>
              <w:right w:w="20" w:type="dxa"/>
            </w:tcMar>
          </w:tcPr>
          <w:p w14:paraId="5C7C6B8E"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B8F" w14:textId="77777777" w:rsidR="0008009C" w:rsidRDefault="00936FDF">
            <w:pPr>
              <w:textAlignment w:val="top"/>
            </w:pPr>
            <w:r>
              <w:rPr>
                <w:rFonts w:ascii="Arial" w:eastAsia="宋体" w:hAnsi="Arial" w:cs="Arial"/>
                <w:color w:val="262626"/>
                <w:sz w:val="18"/>
                <w:szCs w:val="18"/>
              </w:rPr>
              <w:t>The fifth-generation mobile network, which is expected to bring dramatic improvements in network speeds and latency, and which we view as a</w:t>
            </w:r>
            <w:r>
              <w:rPr>
                <w:rFonts w:ascii="Arial" w:eastAsia="宋体" w:hAnsi="Arial" w:cs="Arial"/>
                <w:color w:val="262626"/>
                <w:sz w:val="18"/>
                <w:szCs w:val="18"/>
              </w:rPr>
              <w:t xml:space="preserve"> transformative technology and opportunity for many industries</w:t>
            </w:r>
          </w:p>
        </w:tc>
      </w:tr>
      <w:tr w:rsidR="0008009C" w14:paraId="5C7C6B94" w14:textId="77777777">
        <w:trPr>
          <w:hidden/>
        </w:trPr>
        <w:tc>
          <w:tcPr>
            <w:tcW w:w="0" w:type="auto"/>
            <w:gridSpan w:val="3"/>
            <w:shd w:val="clear" w:color="auto" w:fill="auto"/>
          </w:tcPr>
          <w:p w14:paraId="5C7C6B91" w14:textId="77777777" w:rsidR="0008009C" w:rsidRDefault="0008009C">
            <w:pPr>
              <w:rPr>
                <w:rFonts w:ascii="宋体"/>
                <w:vanish/>
              </w:rPr>
            </w:pPr>
          </w:p>
        </w:tc>
        <w:tc>
          <w:tcPr>
            <w:tcW w:w="0" w:type="auto"/>
            <w:gridSpan w:val="3"/>
            <w:shd w:val="clear" w:color="auto" w:fill="auto"/>
          </w:tcPr>
          <w:p w14:paraId="5C7C6B92" w14:textId="77777777" w:rsidR="0008009C" w:rsidRDefault="0008009C">
            <w:pPr>
              <w:rPr>
                <w:rFonts w:ascii="宋体"/>
                <w:vanish/>
              </w:rPr>
            </w:pPr>
          </w:p>
        </w:tc>
        <w:tc>
          <w:tcPr>
            <w:tcW w:w="0" w:type="auto"/>
            <w:gridSpan w:val="3"/>
            <w:shd w:val="clear" w:color="auto" w:fill="auto"/>
          </w:tcPr>
          <w:p w14:paraId="5C7C6B93" w14:textId="77777777" w:rsidR="0008009C" w:rsidRDefault="0008009C">
            <w:pPr>
              <w:rPr>
                <w:rFonts w:ascii="宋体"/>
                <w:vanish/>
              </w:rPr>
            </w:pPr>
          </w:p>
        </w:tc>
      </w:tr>
      <w:tr w:rsidR="0008009C" w14:paraId="5C7C6B98" w14:textId="77777777">
        <w:tc>
          <w:tcPr>
            <w:tcW w:w="0" w:type="auto"/>
            <w:gridSpan w:val="3"/>
            <w:shd w:val="clear" w:color="auto" w:fill="auto"/>
            <w:tcMar>
              <w:top w:w="40" w:type="dxa"/>
              <w:left w:w="20" w:type="dxa"/>
              <w:bottom w:w="40" w:type="dxa"/>
              <w:right w:w="20" w:type="dxa"/>
            </w:tcMar>
          </w:tcPr>
          <w:p w14:paraId="5C7C6B95" w14:textId="77777777" w:rsidR="0008009C" w:rsidRDefault="00936FDF">
            <w:pPr>
              <w:textAlignment w:val="top"/>
            </w:pPr>
            <w:r>
              <w:rPr>
                <w:rFonts w:ascii="Arial" w:eastAsia="宋体" w:hAnsi="Arial" w:cs="Arial"/>
                <w:color w:val="0068B5"/>
                <w:sz w:val="18"/>
                <w:szCs w:val="18"/>
              </w:rPr>
              <w:t>ADAS</w:t>
            </w:r>
          </w:p>
        </w:tc>
        <w:tc>
          <w:tcPr>
            <w:tcW w:w="0" w:type="auto"/>
            <w:gridSpan w:val="3"/>
            <w:shd w:val="clear" w:color="auto" w:fill="auto"/>
            <w:tcMar>
              <w:top w:w="0" w:type="dxa"/>
              <w:left w:w="20" w:type="dxa"/>
              <w:bottom w:w="0" w:type="dxa"/>
              <w:right w:w="20" w:type="dxa"/>
            </w:tcMar>
          </w:tcPr>
          <w:p w14:paraId="5C7C6B96"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B97" w14:textId="77777777" w:rsidR="0008009C" w:rsidRDefault="00936FDF">
            <w:pPr>
              <w:textAlignment w:val="top"/>
            </w:pPr>
            <w:r>
              <w:rPr>
                <w:rFonts w:ascii="Arial" w:eastAsia="宋体" w:hAnsi="Arial" w:cs="Arial"/>
                <w:color w:val="262626"/>
                <w:sz w:val="18"/>
                <w:szCs w:val="18"/>
              </w:rPr>
              <w:t>Advanced driver-assistance systems</w:t>
            </w:r>
          </w:p>
        </w:tc>
      </w:tr>
      <w:tr w:rsidR="0008009C" w14:paraId="5C7C6B9C" w14:textId="77777777">
        <w:tc>
          <w:tcPr>
            <w:tcW w:w="0" w:type="auto"/>
            <w:gridSpan w:val="3"/>
            <w:shd w:val="clear" w:color="auto" w:fill="auto"/>
            <w:tcMar>
              <w:top w:w="40" w:type="dxa"/>
              <w:left w:w="20" w:type="dxa"/>
              <w:bottom w:w="40" w:type="dxa"/>
              <w:right w:w="20" w:type="dxa"/>
            </w:tcMar>
          </w:tcPr>
          <w:p w14:paraId="5C7C6B99" w14:textId="77777777" w:rsidR="0008009C" w:rsidRDefault="00936FDF">
            <w:pPr>
              <w:textAlignment w:val="top"/>
            </w:pPr>
            <w:r>
              <w:rPr>
                <w:rFonts w:ascii="Arial" w:eastAsia="宋体" w:hAnsi="Arial" w:cs="Arial"/>
                <w:color w:val="0068B5"/>
                <w:sz w:val="18"/>
                <w:szCs w:val="18"/>
              </w:rPr>
              <w:t>Adjacent products</w:t>
            </w:r>
          </w:p>
        </w:tc>
        <w:tc>
          <w:tcPr>
            <w:tcW w:w="0" w:type="auto"/>
            <w:gridSpan w:val="3"/>
            <w:shd w:val="clear" w:color="auto" w:fill="auto"/>
            <w:tcMar>
              <w:top w:w="0" w:type="dxa"/>
              <w:left w:w="20" w:type="dxa"/>
              <w:bottom w:w="0" w:type="dxa"/>
              <w:right w:w="20" w:type="dxa"/>
            </w:tcMar>
          </w:tcPr>
          <w:p w14:paraId="5C7C6B9A"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B9B" w14:textId="77777777" w:rsidR="0008009C" w:rsidRDefault="00936FDF">
            <w:pPr>
              <w:textAlignment w:val="top"/>
            </w:pPr>
            <w:r>
              <w:rPr>
                <w:rFonts w:ascii="Arial" w:eastAsia="宋体" w:hAnsi="Arial" w:cs="Arial"/>
                <w:color w:val="262626"/>
                <w:sz w:val="18"/>
                <w:szCs w:val="18"/>
              </w:rPr>
              <w:t xml:space="preserve">All of our non-platform products for CCG, DCG, and IOTG, such as modem, Ethernet and silicon photonics, as well as </w:t>
            </w:r>
            <w:r>
              <w:rPr>
                <w:rFonts w:ascii="Arial" w:eastAsia="宋体" w:hAnsi="Arial" w:cs="Arial"/>
                <w:color w:val="262626"/>
                <w:sz w:val="18"/>
                <w:szCs w:val="18"/>
              </w:rPr>
              <w:t>Mobileye, NSG, and PSG products. Combined with our platform products, adjacent products form comprehensive platform solutions to meet customer needs</w:t>
            </w:r>
          </w:p>
        </w:tc>
      </w:tr>
      <w:tr w:rsidR="0008009C" w14:paraId="5C7C6BA0" w14:textId="77777777">
        <w:trPr>
          <w:hidden/>
        </w:trPr>
        <w:tc>
          <w:tcPr>
            <w:tcW w:w="0" w:type="auto"/>
            <w:gridSpan w:val="3"/>
            <w:shd w:val="clear" w:color="auto" w:fill="auto"/>
          </w:tcPr>
          <w:p w14:paraId="5C7C6B9D" w14:textId="77777777" w:rsidR="0008009C" w:rsidRDefault="0008009C">
            <w:pPr>
              <w:rPr>
                <w:rFonts w:ascii="宋体"/>
                <w:vanish/>
              </w:rPr>
            </w:pPr>
          </w:p>
        </w:tc>
        <w:tc>
          <w:tcPr>
            <w:tcW w:w="0" w:type="auto"/>
            <w:gridSpan w:val="3"/>
            <w:shd w:val="clear" w:color="auto" w:fill="auto"/>
          </w:tcPr>
          <w:p w14:paraId="5C7C6B9E" w14:textId="77777777" w:rsidR="0008009C" w:rsidRDefault="0008009C">
            <w:pPr>
              <w:rPr>
                <w:rFonts w:ascii="宋体"/>
                <w:vanish/>
              </w:rPr>
            </w:pPr>
          </w:p>
        </w:tc>
        <w:tc>
          <w:tcPr>
            <w:tcW w:w="0" w:type="auto"/>
            <w:gridSpan w:val="3"/>
            <w:shd w:val="clear" w:color="auto" w:fill="auto"/>
          </w:tcPr>
          <w:p w14:paraId="5C7C6B9F" w14:textId="77777777" w:rsidR="0008009C" w:rsidRDefault="0008009C">
            <w:pPr>
              <w:rPr>
                <w:rFonts w:ascii="宋体"/>
                <w:vanish/>
              </w:rPr>
            </w:pPr>
          </w:p>
        </w:tc>
      </w:tr>
      <w:tr w:rsidR="0008009C" w14:paraId="5C7C6BA4" w14:textId="77777777">
        <w:trPr>
          <w:hidden/>
        </w:trPr>
        <w:tc>
          <w:tcPr>
            <w:tcW w:w="0" w:type="auto"/>
            <w:gridSpan w:val="3"/>
            <w:shd w:val="clear" w:color="auto" w:fill="auto"/>
          </w:tcPr>
          <w:p w14:paraId="5C7C6BA1" w14:textId="77777777" w:rsidR="0008009C" w:rsidRDefault="0008009C">
            <w:pPr>
              <w:rPr>
                <w:rFonts w:ascii="宋体"/>
                <w:vanish/>
              </w:rPr>
            </w:pPr>
          </w:p>
        </w:tc>
        <w:tc>
          <w:tcPr>
            <w:tcW w:w="0" w:type="auto"/>
            <w:gridSpan w:val="3"/>
            <w:shd w:val="clear" w:color="auto" w:fill="auto"/>
          </w:tcPr>
          <w:p w14:paraId="5C7C6BA2" w14:textId="77777777" w:rsidR="0008009C" w:rsidRDefault="0008009C">
            <w:pPr>
              <w:rPr>
                <w:rFonts w:ascii="宋体"/>
                <w:vanish/>
              </w:rPr>
            </w:pPr>
          </w:p>
        </w:tc>
        <w:tc>
          <w:tcPr>
            <w:tcW w:w="0" w:type="auto"/>
            <w:gridSpan w:val="3"/>
            <w:shd w:val="clear" w:color="auto" w:fill="auto"/>
          </w:tcPr>
          <w:p w14:paraId="5C7C6BA3" w14:textId="77777777" w:rsidR="0008009C" w:rsidRDefault="0008009C">
            <w:pPr>
              <w:rPr>
                <w:rFonts w:ascii="宋体"/>
                <w:vanish/>
              </w:rPr>
            </w:pPr>
          </w:p>
        </w:tc>
      </w:tr>
      <w:tr w:rsidR="0008009C" w14:paraId="5C7C6BA8" w14:textId="77777777">
        <w:tc>
          <w:tcPr>
            <w:tcW w:w="0" w:type="auto"/>
            <w:gridSpan w:val="3"/>
            <w:shd w:val="clear" w:color="auto" w:fill="auto"/>
            <w:tcMar>
              <w:top w:w="40" w:type="dxa"/>
              <w:left w:w="20" w:type="dxa"/>
              <w:bottom w:w="40" w:type="dxa"/>
              <w:right w:w="20" w:type="dxa"/>
            </w:tcMar>
          </w:tcPr>
          <w:p w14:paraId="5C7C6BA5" w14:textId="77777777" w:rsidR="0008009C" w:rsidRDefault="00936FDF">
            <w:pPr>
              <w:textAlignment w:val="top"/>
            </w:pPr>
            <w:r>
              <w:rPr>
                <w:rFonts w:ascii="Arial" w:eastAsia="宋体" w:hAnsi="Arial" w:cs="Arial"/>
                <w:color w:val="0068B5"/>
                <w:sz w:val="18"/>
                <w:szCs w:val="18"/>
              </w:rPr>
              <w:t>ASIC</w:t>
            </w:r>
          </w:p>
        </w:tc>
        <w:tc>
          <w:tcPr>
            <w:tcW w:w="0" w:type="auto"/>
            <w:gridSpan w:val="3"/>
            <w:shd w:val="clear" w:color="auto" w:fill="auto"/>
            <w:tcMar>
              <w:top w:w="0" w:type="dxa"/>
              <w:left w:w="20" w:type="dxa"/>
              <w:bottom w:w="0" w:type="dxa"/>
              <w:right w:w="20" w:type="dxa"/>
            </w:tcMar>
          </w:tcPr>
          <w:p w14:paraId="5C7C6BA6"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BA7" w14:textId="77777777" w:rsidR="0008009C" w:rsidRDefault="00936FDF">
            <w:pPr>
              <w:textAlignment w:val="top"/>
            </w:pPr>
            <w:r>
              <w:rPr>
                <w:rFonts w:ascii="Arial" w:eastAsia="宋体" w:hAnsi="Arial" w:cs="Arial"/>
                <w:color w:val="262626"/>
                <w:sz w:val="18"/>
                <w:szCs w:val="18"/>
              </w:rPr>
              <w:t>Application-specific integrated circuit</w:t>
            </w:r>
          </w:p>
        </w:tc>
      </w:tr>
      <w:tr w:rsidR="0008009C" w14:paraId="5C7C6BAC" w14:textId="77777777">
        <w:tc>
          <w:tcPr>
            <w:tcW w:w="0" w:type="auto"/>
            <w:gridSpan w:val="3"/>
            <w:shd w:val="clear" w:color="auto" w:fill="auto"/>
            <w:tcMar>
              <w:top w:w="40" w:type="dxa"/>
              <w:left w:w="20" w:type="dxa"/>
              <w:bottom w:w="40" w:type="dxa"/>
              <w:right w:w="20" w:type="dxa"/>
            </w:tcMar>
          </w:tcPr>
          <w:p w14:paraId="5C7C6BA9" w14:textId="77777777" w:rsidR="0008009C" w:rsidRDefault="00936FDF">
            <w:pPr>
              <w:textAlignment w:val="top"/>
            </w:pPr>
            <w:r>
              <w:rPr>
                <w:rFonts w:ascii="Arial" w:eastAsia="宋体" w:hAnsi="Arial" w:cs="Arial"/>
                <w:color w:val="0068B5"/>
                <w:sz w:val="18"/>
                <w:szCs w:val="18"/>
              </w:rPr>
              <w:t>ASP</w:t>
            </w:r>
          </w:p>
        </w:tc>
        <w:tc>
          <w:tcPr>
            <w:tcW w:w="0" w:type="auto"/>
            <w:gridSpan w:val="3"/>
            <w:shd w:val="clear" w:color="auto" w:fill="auto"/>
            <w:tcMar>
              <w:top w:w="0" w:type="dxa"/>
              <w:left w:w="20" w:type="dxa"/>
              <w:bottom w:w="0" w:type="dxa"/>
              <w:right w:w="20" w:type="dxa"/>
            </w:tcMar>
          </w:tcPr>
          <w:p w14:paraId="5C7C6BAA"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BAB" w14:textId="77777777" w:rsidR="0008009C" w:rsidRDefault="00936FDF">
            <w:pPr>
              <w:textAlignment w:val="bottom"/>
            </w:pPr>
            <w:r>
              <w:rPr>
                <w:rFonts w:ascii="Arial" w:eastAsia="宋体" w:hAnsi="Arial" w:cs="Arial"/>
                <w:color w:val="262626"/>
                <w:sz w:val="18"/>
                <w:szCs w:val="18"/>
              </w:rPr>
              <w:t>Average selling price</w:t>
            </w:r>
          </w:p>
        </w:tc>
      </w:tr>
      <w:tr w:rsidR="0008009C" w14:paraId="5C7C6BB0" w14:textId="77777777">
        <w:trPr>
          <w:hidden/>
        </w:trPr>
        <w:tc>
          <w:tcPr>
            <w:tcW w:w="0" w:type="auto"/>
            <w:gridSpan w:val="3"/>
            <w:shd w:val="clear" w:color="auto" w:fill="auto"/>
          </w:tcPr>
          <w:p w14:paraId="5C7C6BAD" w14:textId="77777777" w:rsidR="0008009C" w:rsidRDefault="0008009C">
            <w:pPr>
              <w:rPr>
                <w:rFonts w:ascii="宋体"/>
                <w:vanish/>
              </w:rPr>
            </w:pPr>
          </w:p>
        </w:tc>
        <w:tc>
          <w:tcPr>
            <w:tcW w:w="0" w:type="auto"/>
            <w:gridSpan w:val="3"/>
            <w:shd w:val="clear" w:color="auto" w:fill="auto"/>
          </w:tcPr>
          <w:p w14:paraId="5C7C6BAE" w14:textId="77777777" w:rsidR="0008009C" w:rsidRDefault="0008009C">
            <w:pPr>
              <w:rPr>
                <w:rFonts w:ascii="宋体"/>
                <w:vanish/>
              </w:rPr>
            </w:pPr>
          </w:p>
        </w:tc>
        <w:tc>
          <w:tcPr>
            <w:tcW w:w="0" w:type="auto"/>
            <w:gridSpan w:val="3"/>
            <w:shd w:val="clear" w:color="auto" w:fill="auto"/>
          </w:tcPr>
          <w:p w14:paraId="5C7C6BAF" w14:textId="77777777" w:rsidR="0008009C" w:rsidRDefault="0008009C">
            <w:pPr>
              <w:rPr>
                <w:rFonts w:ascii="宋体"/>
                <w:vanish/>
              </w:rPr>
            </w:pPr>
          </w:p>
        </w:tc>
      </w:tr>
      <w:tr w:rsidR="0008009C" w14:paraId="5C7C6BB4" w14:textId="77777777">
        <w:tc>
          <w:tcPr>
            <w:tcW w:w="0" w:type="auto"/>
            <w:gridSpan w:val="3"/>
            <w:shd w:val="clear" w:color="auto" w:fill="auto"/>
            <w:tcMar>
              <w:top w:w="40" w:type="dxa"/>
              <w:left w:w="20" w:type="dxa"/>
              <w:bottom w:w="40" w:type="dxa"/>
              <w:right w:w="20" w:type="dxa"/>
            </w:tcMar>
          </w:tcPr>
          <w:p w14:paraId="5C7C6BB1" w14:textId="77777777" w:rsidR="0008009C" w:rsidRDefault="00936FDF">
            <w:pPr>
              <w:textAlignment w:val="top"/>
            </w:pPr>
            <w:r>
              <w:rPr>
                <w:rFonts w:ascii="Arial" w:eastAsia="宋体" w:hAnsi="Arial" w:cs="Arial"/>
                <w:color w:val="0068B5"/>
                <w:sz w:val="18"/>
                <w:szCs w:val="18"/>
              </w:rPr>
              <w:t>AV</w:t>
            </w:r>
          </w:p>
        </w:tc>
        <w:tc>
          <w:tcPr>
            <w:tcW w:w="0" w:type="auto"/>
            <w:gridSpan w:val="3"/>
            <w:shd w:val="clear" w:color="auto" w:fill="auto"/>
            <w:tcMar>
              <w:top w:w="0" w:type="dxa"/>
              <w:left w:w="20" w:type="dxa"/>
              <w:bottom w:w="0" w:type="dxa"/>
              <w:right w:w="20" w:type="dxa"/>
            </w:tcMar>
          </w:tcPr>
          <w:p w14:paraId="5C7C6BB2"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BB3" w14:textId="77777777" w:rsidR="0008009C" w:rsidRDefault="00936FDF">
            <w:pPr>
              <w:textAlignment w:val="bottom"/>
            </w:pPr>
            <w:r>
              <w:rPr>
                <w:rFonts w:ascii="Arial" w:eastAsia="宋体" w:hAnsi="Arial" w:cs="Arial"/>
                <w:color w:val="262626"/>
                <w:sz w:val="18"/>
                <w:szCs w:val="18"/>
              </w:rPr>
              <w:t>Autonomous vehicle</w:t>
            </w:r>
          </w:p>
        </w:tc>
      </w:tr>
      <w:tr w:rsidR="0008009C" w14:paraId="5C7C6BB8" w14:textId="77777777">
        <w:trPr>
          <w:hidden/>
        </w:trPr>
        <w:tc>
          <w:tcPr>
            <w:tcW w:w="0" w:type="auto"/>
            <w:gridSpan w:val="3"/>
            <w:shd w:val="clear" w:color="auto" w:fill="auto"/>
          </w:tcPr>
          <w:p w14:paraId="5C7C6BB5" w14:textId="77777777" w:rsidR="0008009C" w:rsidRDefault="0008009C">
            <w:pPr>
              <w:rPr>
                <w:rFonts w:ascii="宋体"/>
                <w:vanish/>
              </w:rPr>
            </w:pPr>
          </w:p>
        </w:tc>
        <w:tc>
          <w:tcPr>
            <w:tcW w:w="0" w:type="auto"/>
            <w:gridSpan w:val="3"/>
            <w:shd w:val="clear" w:color="auto" w:fill="auto"/>
          </w:tcPr>
          <w:p w14:paraId="5C7C6BB6" w14:textId="77777777" w:rsidR="0008009C" w:rsidRDefault="0008009C">
            <w:pPr>
              <w:rPr>
                <w:rFonts w:ascii="宋体"/>
                <w:vanish/>
              </w:rPr>
            </w:pPr>
          </w:p>
        </w:tc>
        <w:tc>
          <w:tcPr>
            <w:tcW w:w="0" w:type="auto"/>
            <w:gridSpan w:val="3"/>
            <w:shd w:val="clear" w:color="auto" w:fill="auto"/>
          </w:tcPr>
          <w:p w14:paraId="5C7C6BB7" w14:textId="77777777" w:rsidR="0008009C" w:rsidRDefault="0008009C">
            <w:pPr>
              <w:rPr>
                <w:rFonts w:ascii="宋体"/>
                <w:vanish/>
              </w:rPr>
            </w:pPr>
          </w:p>
        </w:tc>
      </w:tr>
      <w:tr w:rsidR="0008009C" w14:paraId="5C7C6BBC" w14:textId="77777777">
        <w:trPr>
          <w:hidden/>
        </w:trPr>
        <w:tc>
          <w:tcPr>
            <w:tcW w:w="0" w:type="auto"/>
            <w:gridSpan w:val="3"/>
            <w:shd w:val="clear" w:color="auto" w:fill="auto"/>
          </w:tcPr>
          <w:p w14:paraId="5C7C6BB9" w14:textId="77777777" w:rsidR="0008009C" w:rsidRDefault="0008009C">
            <w:pPr>
              <w:rPr>
                <w:rFonts w:ascii="宋体"/>
                <w:vanish/>
              </w:rPr>
            </w:pPr>
          </w:p>
        </w:tc>
        <w:tc>
          <w:tcPr>
            <w:tcW w:w="0" w:type="auto"/>
            <w:gridSpan w:val="3"/>
            <w:shd w:val="clear" w:color="auto" w:fill="auto"/>
          </w:tcPr>
          <w:p w14:paraId="5C7C6BBA" w14:textId="77777777" w:rsidR="0008009C" w:rsidRDefault="0008009C">
            <w:pPr>
              <w:rPr>
                <w:rFonts w:ascii="宋体"/>
                <w:vanish/>
              </w:rPr>
            </w:pPr>
          </w:p>
        </w:tc>
        <w:tc>
          <w:tcPr>
            <w:tcW w:w="0" w:type="auto"/>
            <w:gridSpan w:val="3"/>
            <w:shd w:val="clear" w:color="auto" w:fill="auto"/>
          </w:tcPr>
          <w:p w14:paraId="5C7C6BBB" w14:textId="77777777" w:rsidR="0008009C" w:rsidRDefault="0008009C">
            <w:pPr>
              <w:rPr>
                <w:rFonts w:ascii="宋体"/>
                <w:vanish/>
              </w:rPr>
            </w:pPr>
          </w:p>
        </w:tc>
      </w:tr>
      <w:tr w:rsidR="0008009C" w14:paraId="5C7C6BC0" w14:textId="77777777">
        <w:tc>
          <w:tcPr>
            <w:tcW w:w="0" w:type="auto"/>
            <w:gridSpan w:val="3"/>
            <w:shd w:val="clear" w:color="auto" w:fill="auto"/>
            <w:tcMar>
              <w:top w:w="40" w:type="dxa"/>
              <w:left w:w="20" w:type="dxa"/>
              <w:bottom w:w="40" w:type="dxa"/>
              <w:right w:w="20" w:type="dxa"/>
            </w:tcMar>
          </w:tcPr>
          <w:p w14:paraId="5C7C6BBD" w14:textId="77777777" w:rsidR="0008009C" w:rsidRDefault="00936FDF">
            <w:pPr>
              <w:textAlignment w:val="top"/>
            </w:pPr>
            <w:r>
              <w:rPr>
                <w:rFonts w:ascii="Arial" w:eastAsia="宋体" w:hAnsi="Arial" w:cs="Arial"/>
                <w:color w:val="0068B5"/>
                <w:sz w:val="18"/>
                <w:szCs w:val="18"/>
              </w:rPr>
              <w:t>CCG</w:t>
            </w:r>
          </w:p>
        </w:tc>
        <w:tc>
          <w:tcPr>
            <w:tcW w:w="0" w:type="auto"/>
            <w:gridSpan w:val="3"/>
            <w:shd w:val="clear" w:color="auto" w:fill="auto"/>
            <w:tcMar>
              <w:top w:w="0" w:type="dxa"/>
              <w:left w:w="20" w:type="dxa"/>
              <w:bottom w:w="0" w:type="dxa"/>
              <w:right w:w="20" w:type="dxa"/>
            </w:tcMar>
          </w:tcPr>
          <w:p w14:paraId="5C7C6BBE"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BBF" w14:textId="77777777" w:rsidR="0008009C" w:rsidRDefault="00936FDF">
            <w:pPr>
              <w:textAlignment w:val="top"/>
            </w:pPr>
            <w:r>
              <w:rPr>
                <w:rFonts w:ascii="Arial" w:eastAsia="宋体" w:hAnsi="Arial" w:cs="Arial"/>
                <w:color w:val="262626"/>
                <w:sz w:val="18"/>
                <w:szCs w:val="18"/>
              </w:rPr>
              <w:t>Client Computing Group operating segment</w:t>
            </w:r>
          </w:p>
        </w:tc>
      </w:tr>
      <w:tr w:rsidR="0008009C" w14:paraId="5C7C6BC4" w14:textId="77777777">
        <w:trPr>
          <w:hidden/>
        </w:trPr>
        <w:tc>
          <w:tcPr>
            <w:tcW w:w="0" w:type="auto"/>
            <w:gridSpan w:val="3"/>
            <w:shd w:val="clear" w:color="auto" w:fill="auto"/>
          </w:tcPr>
          <w:p w14:paraId="5C7C6BC1" w14:textId="77777777" w:rsidR="0008009C" w:rsidRDefault="0008009C">
            <w:pPr>
              <w:rPr>
                <w:rFonts w:ascii="宋体"/>
                <w:vanish/>
              </w:rPr>
            </w:pPr>
          </w:p>
        </w:tc>
        <w:tc>
          <w:tcPr>
            <w:tcW w:w="0" w:type="auto"/>
            <w:gridSpan w:val="3"/>
            <w:shd w:val="clear" w:color="auto" w:fill="auto"/>
          </w:tcPr>
          <w:p w14:paraId="5C7C6BC2" w14:textId="77777777" w:rsidR="0008009C" w:rsidRDefault="0008009C">
            <w:pPr>
              <w:rPr>
                <w:rFonts w:ascii="宋体"/>
                <w:vanish/>
              </w:rPr>
            </w:pPr>
          </w:p>
        </w:tc>
        <w:tc>
          <w:tcPr>
            <w:tcW w:w="0" w:type="auto"/>
            <w:gridSpan w:val="3"/>
            <w:shd w:val="clear" w:color="auto" w:fill="auto"/>
          </w:tcPr>
          <w:p w14:paraId="5C7C6BC3" w14:textId="77777777" w:rsidR="0008009C" w:rsidRDefault="0008009C">
            <w:pPr>
              <w:rPr>
                <w:rFonts w:ascii="宋体"/>
                <w:vanish/>
              </w:rPr>
            </w:pPr>
          </w:p>
        </w:tc>
      </w:tr>
      <w:tr w:rsidR="0008009C" w14:paraId="5C7C6BC8" w14:textId="77777777">
        <w:trPr>
          <w:hidden/>
        </w:trPr>
        <w:tc>
          <w:tcPr>
            <w:tcW w:w="0" w:type="auto"/>
            <w:gridSpan w:val="3"/>
            <w:shd w:val="clear" w:color="auto" w:fill="auto"/>
          </w:tcPr>
          <w:p w14:paraId="5C7C6BC5" w14:textId="77777777" w:rsidR="0008009C" w:rsidRDefault="0008009C">
            <w:pPr>
              <w:rPr>
                <w:rFonts w:ascii="宋体"/>
                <w:vanish/>
              </w:rPr>
            </w:pPr>
          </w:p>
        </w:tc>
        <w:tc>
          <w:tcPr>
            <w:tcW w:w="0" w:type="auto"/>
            <w:gridSpan w:val="3"/>
            <w:shd w:val="clear" w:color="auto" w:fill="auto"/>
          </w:tcPr>
          <w:p w14:paraId="5C7C6BC6" w14:textId="77777777" w:rsidR="0008009C" w:rsidRDefault="0008009C">
            <w:pPr>
              <w:rPr>
                <w:rFonts w:ascii="宋体"/>
                <w:vanish/>
              </w:rPr>
            </w:pPr>
          </w:p>
        </w:tc>
        <w:tc>
          <w:tcPr>
            <w:tcW w:w="0" w:type="auto"/>
            <w:gridSpan w:val="3"/>
            <w:shd w:val="clear" w:color="auto" w:fill="auto"/>
          </w:tcPr>
          <w:p w14:paraId="5C7C6BC7" w14:textId="77777777" w:rsidR="0008009C" w:rsidRDefault="0008009C">
            <w:pPr>
              <w:rPr>
                <w:rFonts w:ascii="宋体"/>
                <w:vanish/>
              </w:rPr>
            </w:pPr>
          </w:p>
        </w:tc>
      </w:tr>
      <w:tr w:rsidR="0008009C" w14:paraId="5C7C6BCC" w14:textId="77777777">
        <w:trPr>
          <w:hidden/>
        </w:trPr>
        <w:tc>
          <w:tcPr>
            <w:tcW w:w="0" w:type="auto"/>
            <w:gridSpan w:val="3"/>
            <w:shd w:val="clear" w:color="auto" w:fill="auto"/>
          </w:tcPr>
          <w:p w14:paraId="5C7C6BC9" w14:textId="77777777" w:rsidR="0008009C" w:rsidRDefault="0008009C">
            <w:pPr>
              <w:rPr>
                <w:rFonts w:ascii="宋体"/>
                <w:vanish/>
              </w:rPr>
            </w:pPr>
          </w:p>
        </w:tc>
        <w:tc>
          <w:tcPr>
            <w:tcW w:w="0" w:type="auto"/>
            <w:gridSpan w:val="3"/>
            <w:shd w:val="clear" w:color="auto" w:fill="auto"/>
          </w:tcPr>
          <w:p w14:paraId="5C7C6BCA" w14:textId="77777777" w:rsidR="0008009C" w:rsidRDefault="0008009C">
            <w:pPr>
              <w:rPr>
                <w:rFonts w:ascii="宋体"/>
                <w:vanish/>
              </w:rPr>
            </w:pPr>
          </w:p>
        </w:tc>
        <w:tc>
          <w:tcPr>
            <w:tcW w:w="0" w:type="auto"/>
            <w:gridSpan w:val="3"/>
            <w:shd w:val="clear" w:color="auto" w:fill="auto"/>
          </w:tcPr>
          <w:p w14:paraId="5C7C6BCB" w14:textId="77777777" w:rsidR="0008009C" w:rsidRDefault="0008009C">
            <w:pPr>
              <w:rPr>
                <w:rFonts w:ascii="宋体"/>
                <w:vanish/>
              </w:rPr>
            </w:pPr>
          </w:p>
        </w:tc>
      </w:tr>
      <w:tr w:rsidR="0008009C" w14:paraId="5C7C6BD0" w14:textId="77777777">
        <w:tc>
          <w:tcPr>
            <w:tcW w:w="0" w:type="auto"/>
            <w:gridSpan w:val="3"/>
            <w:shd w:val="clear" w:color="auto" w:fill="auto"/>
            <w:tcMar>
              <w:top w:w="40" w:type="dxa"/>
              <w:left w:w="20" w:type="dxa"/>
              <w:bottom w:w="40" w:type="dxa"/>
              <w:right w:w="20" w:type="dxa"/>
            </w:tcMar>
          </w:tcPr>
          <w:p w14:paraId="5C7C6BCD" w14:textId="77777777" w:rsidR="0008009C" w:rsidRDefault="00936FDF">
            <w:pPr>
              <w:textAlignment w:val="top"/>
            </w:pPr>
            <w:r>
              <w:rPr>
                <w:rFonts w:ascii="Arial" w:eastAsia="宋体" w:hAnsi="Arial" w:cs="Arial"/>
                <w:color w:val="0068B5"/>
                <w:sz w:val="18"/>
                <w:szCs w:val="18"/>
              </w:rPr>
              <w:t>CODM</w:t>
            </w:r>
          </w:p>
        </w:tc>
        <w:tc>
          <w:tcPr>
            <w:tcW w:w="0" w:type="auto"/>
            <w:gridSpan w:val="3"/>
            <w:shd w:val="clear" w:color="auto" w:fill="auto"/>
            <w:tcMar>
              <w:top w:w="0" w:type="dxa"/>
              <w:left w:w="20" w:type="dxa"/>
              <w:bottom w:w="0" w:type="dxa"/>
              <w:right w:w="20" w:type="dxa"/>
            </w:tcMar>
          </w:tcPr>
          <w:p w14:paraId="5C7C6BCE"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BCF" w14:textId="77777777" w:rsidR="0008009C" w:rsidRDefault="00936FDF">
            <w:pPr>
              <w:textAlignment w:val="top"/>
            </w:pPr>
            <w:r>
              <w:rPr>
                <w:rFonts w:ascii="Arial" w:eastAsia="宋体" w:hAnsi="Arial" w:cs="Arial"/>
                <w:color w:val="262626"/>
                <w:sz w:val="18"/>
                <w:szCs w:val="18"/>
              </w:rPr>
              <w:t>Chief operating decision maker</w:t>
            </w:r>
          </w:p>
        </w:tc>
      </w:tr>
      <w:tr w:rsidR="0008009C" w14:paraId="5C7C6BD4" w14:textId="77777777">
        <w:trPr>
          <w:hidden/>
        </w:trPr>
        <w:tc>
          <w:tcPr>
            <w:tcW w:w="0" w:type="auto"/>
            <w:gridSpan w:val="3"/>
            <w:shd w:val="clear" w:color="auto" w:fill="auto"/>
          </w:tcPr>
          <w:p w14:paraId="5C7C6BD1" w14:textId="77777777" w:rsidR="0008009C" w:rsidRDefault="0008009C">
            <w:pPr>
              <w:rPr>
                <w:rFonts w:ascii="宋体"/>
                <w:vanish/>
              </w:rPr>
            </w:pPr>
          </w:p>
        </w:tc>
        <w:tc>
          <w:tcPr>
            <w:tcW w:w="0" w:type="auto"/>
            <w:gridSpan w:val="3"/>
            <w:shd w:val="clear" w:color="auto" w:fill="auto"/>
          </w:tcPr>
          <w:p w14:paraId="5C7C6BD2" w14:textId="77777777" w:rsidR="0008009C" w:rsidRDefault="0008009C">
            <w:pPr>
              <w:rPr>
                <w:rFonts w:ascii="宋体"/>
                <w:vanish/>
              </w:rPr>
            </w:pPr>
          </w:p>
        </w:tc>
        <w:tc>
          <w:tcPr>
            <w:tcW w:w="0" w:type="auto"/>
            <w:gridSpan w:val="3"/>
            <w:shd w:val="clear" w:color="auto" w:fill="auto"/>
          </w:tcPr>
          <w:p w14:paraId="5C7C6BD3" w14:textId="77777777" w:rsidR="0008009C" w:rsidRDefault="0008009C">
            <w:pPr>
              <w:rPr>
                <w:rFonts w:ascii="宋体"/>
                <w:vanish/>
              </w:rPr>
            </w:pPr>
          </w:p>
        </w:tc>
      </w:tr>
      <w:tr w:rsidR="0008009C" w14:paraId="5C7C6BD8" w14:textId="77777777">
        <w:tc>
          <w:tcPr>
            <w:tcW w:w="0" w:type="auto"/>
            <w:gridSpan w:val="3"/>
            <w:shd w:val="clear" w:color="auto" w:fill="auto"/>
            <w:tcMar>
              <w:top w:w="40" w:type="dxa"/>
              <w:left w:w="20" w:type="dxa"/>
              <w:bottom w:w="40" w:type="dxa"/>
              <w:right w:w="20" w:type="dxa"/>
            </w:tcMar>
          </w:tcPr>
          <w:p w14:paraId="5C7C6BD5" w14:textId="77777777" w:rsidR="0008009C" w:rsidRDefault="00936FDF">
            <w:pPr>
              <w:textAlignment w:val="top"/>
            </w:pPr>
            <w:r>
              <w:rPr>
                <w:rFonts w:ascii="Arial" w:eastAsia="宋体" w:hAnsi="Arial" w:cs="Arial"/>
                <w:color w:val="0068B5"/>
                <w:sz w:val="18"/>
                <w:szCs w:val="18"/>
              </w:rPr>
              <w:t>COVID-19</w:t>
            </w:r>
          </w:p>
        </w:tc>
        <w:tc>
          <w:tcPr>
            <w:tcW w:w="0" w:type="auto"/>
            <w:gridSpan w:val="3"/>
            <w:shd w:val="clear" w:color="auto" w:fill="auto"/>
            <w:tcMar>
              <w:top w:w="0" w:type="dxa"/>
              <w:left w:w="20" w:type="dxa"/>
              <w:bottom w:w="0" w:type="dxa"/>
              <w:right w:w="20" w:type="dxa"/>
            </w:tcMar>
          </w:tcPr>
          <w:p w14:paraId="5C7C6BD6"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BD7" w14:textId="77777777" w:rsidR="0008009C" w:rsidRDefault="00936FDF">
            <w:pPr>
              <w:textAlignment w:val="top"/>
            </w:pPr>
            <w:r>
              <w:rPr>
                <w:rFonts w:ascii="Arial" w:eastAsia="宋体" w:hAnsi="Arial" w:cs="Arial"/>
                <w:color w:val="262626"/>
                <w:sz w:val="18"/>
                <w:szCs w:val="18"/>
              </w:rPr>
              <w:t xml:space="preserve">The infectious disease caused by the most recently discovered coronavirus (aka SARS-CoV-2), which was </w:t>
            </w:r>
            <w:r>
              <w:rPr>
                <w:rFonts w:ascii="Arial" w:eastAsia="宋体" w:hAnsi="Arial" w:cs="Arial"/>
                <w:color w:val="262626"/>
                <w:sz w:val="18"/>
                <w:szCs w:val="18"/>
              </w:rPr>
              <w:t>declared a global pandemic by the World Health Organization</w:t>
            </w:r>
          </w:p>
        </w:tc>
      </w:tr>
      <w:tr w:rsidR="0008009C" w14:paraId="5C7C6BDC" w14:textId="77777777">
        <w:tc>
          <w:tcPr>
            <w:tcW w:w="0" w:type="auto"/>
            <w:gridSpan w:val="3"/>
            <w:shd w:val="clear" w:color="auto" w:fill="auto"/>
            <w:tcMar>
              <w:top w:w="40" w:type="dxa"/>
              <w:left w:w="20" w:type="dxa"/>
              <w:bottom w:w="40" w:type="dxa"/>
              <w:right w:w="20" w:type="dxa"/>
            </w:tcMar>
          </w:tcPr>
          <w:p w14:paraId="5C7C6BD9" w14:textId="77777777" w:rsidR="0008009C" w:rsidRDefault="00936FDF">
            <w:pPr>
              <w:textAlignment w:val="top"/>
            </w:pPr>
            <w:r>
              <w:rPr>
                <w:rFonts w:ascii="Arial" w:eastAsia="宋体" w:hAnsi="Arial" w:cs="Arial"/>
                <w:color w:val="0068B5"/>
                <w:sz w:val="18"/>
                <w:szCs w:val="18"/>
              </w:rPr>
              <w:t>CPU</w:t>
            </w:r>
          </w:p>
        </w:tc>
        <w:tc>
          <w:tcPr>
            <w:tcW w:w="0" w:type="auto"/>
            <w:gridSpan w:val="3"/>
            <w:shd w:val="clear" w:color="auto" w:fill="auto"/>
            <w:tcMar>
              <w:top w:w="0" w:type="dxa"/>
              <w:left w:w="20" w:type="dxa"/>
              <w:bottom w:w="0" w:type="dxa"/>
              <w:right w:w="20" w:type="dxa"/>
            </w:tcMar>
          </w:tcPr>
          <w:p w14:paraId="5C7C6BDA"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BDB" w14:textId="77777777" w:rsidR="0008009C" w:rsidRDefault="00936FDF">
            <w:pPr>
              <w:textAlignment w:val="top"/>
            </w:pPr>
            <w:r>
              <w:rPr>
                <w:rFonts w:ascii="Arial" w:eastAsia="宋体" w:hAnsi="Arial" w:cs="Arial"/>
                <w:color w:val="262626"/>
                <w:sz w:val="18"/>
                <w:szCs w:val="18"/>
              </w:rPr>
              <w:t>Processor or central processing unit</w:t>
            </w:r>
          </w:p>
        </w:tc>
      </w:tr>
      <w:tr w:rsidR="0008009C" w14:paraId="5C7C6BE0" w14:textId="77777777">
        <w:trPr>
          <w:hidden/>
        </w:trPr>
        <w:tc>
          <w:tcPr>
            <w:tcW w:w="0" w:type="auto"/>
            <w:gridSpan w:val="3"/>
            <w:shd w:val="clear" w:color="auto" w:fill="auto"/>
          </w:tcPr>
          <w:p w14:paraId="5C7C6BDD" w14:textId="77777777" w:rsidR="0008009C" w:rsidRDefault="0008009C">
            <w:pPr>
              <w:rPr>
                <w:rFonts w:ascii="宋体"/>
                <w:vanish/>
              </w:rPr>
            </w:pPr>
          </w:p>
        </w:tc>
        <w:tc>
          <w:tcPr>
            <w:tcW w:w="0" w:type="auto"/>
            <w:gridSpan w:val="3"/>
            <w:shd w:val="clear" w:color="auto" w:fill="auto"/>
          </w:tcPr>
          <w:p w14:paraId="5C7C6BDE" w14:textId="77777777" w:rsidR="0008009C" w:rsidRDefault="0008009C">
            <w:pPr>
              <w:rPr>
                <w:rFonts w:ascii="宋体"/>
                <w:vanish/>
              </w:rPr>
            </w:pPr>
          </w:p>
        </w:tc>
        <w:tc>
          <w:tcPr>
            <w:tcW w:w="0" w:type="auto"/>
            <w:gridSpan w:val="3"/>
            <w:shd w:val="clear" w:color="auto" w:fill="auto"/>
          </w:tcPr>
          <w:p w14:paraId="5C7C6BDF" w14:textId="77777777" w:rsidR="0008009C" w:rsidRDefault="0008009C">
            <w:pPr>
              <w:rPr>
                <w:rFonts w:ascii="宋体"/>
                <w:vanish/>
              </w:rPr>
            </w:pPr>
          </w:p>
        </w:tc>
      </w:tr>
      <w:tr w:rsidR="0008009C" w14:paraId="5C7C6BE4" w14:textId="77777777">
        <w:trPr>
          <w:hidden/>
        </w:trPr>
        <w:tc>
          <w:tcPr>
            <w:tcW w:w="0" w:type="auto"/>
            <w:gridSpan w:val="3"/>
            <w:shd w:val="clear" w:color="auto" w:fill="auto"/>
          </w:tcPr>
          <w:p w14:paraId="5C7C6BE1" w14:textId="77777777" w:rsidR="0008009C" w:rsidRDefault="0008009C">
            <w:pPr>
              <w:rPr>
                <w:rFonts w:ascii="宋体"/>
                <w:vanish/>
              </w:rPr>
            </w:pPr>
          </w:p>
        </w:tc>
        <w:tc>
          <w:tcPr>
            <w:tcW w:w="0" w:type="auto"/>
            <w:gridSpan w:val="3"/>
            <w:shd w:val="clear" w:color="auto" w:fill="auto"/>
          </w:tcPr>
          <w:p w14:paraId="5C7C6BE2" w14:textId="77777777" w:rsidR="0008009C" w:rsidRDefault="0008009C">
            <w:pPr>
              <w:rPr>
                <w:rFonts w:ascii="宋体"/>
                <w:vanish/>
              </w:rPr>
            </w:pPr>
          </w:p>
        </w:tc>
        <w:tc>
          <w:tcPr>
            <w:tcW w:w="0" w:type="auto"/>
            <w:gridSpan w:val="3"/>
            <w:shd w:val="clear" w:color="auto" w:fill="auto"/>
          </w:tcPr>
          <w:p w14:paraId="5C7C6BE3" w14:textId="77777777" w:rsidR="0008009C" w:rsidRDefault="0008009C">
            <w:pPr>
              <w:rPr>
                <w:rFonts w:ascii="宋体"/>
                <w:vanish/>
              </w:rPr>
            </w:pPr>
          </w:p>
        </w:tc>
      </w:tr>
      <w:tr w:rsidR="0008009C" w14:paraId="5C7C6BE8" w14:textId="77777777">
        <w:trPr>
          <w:hidden/>
        </w:trPr>
        <w:tc>
          <w:tcPr>
            <w:tcW w:w="0" w:type="auto"/>
            <w:gridSpan w:val="3"/>
            <w:shd w:val="clear" w:color="auto" w:fill="auto"/>
          </w:tcPr>
          <w:p w14:paraId="5C7C6BE5" w14:textId="77777777" w:rsidR="0008009C" w:rsidRDefault="0008009C">
            <w:pPr>
              <w:rPr>
                <w:rFonts w:ascii="宋体"/>
                <w:vanish/>
              </w:rPr>
            </w:pPr>
          </w:p>
        </w:tc>
        <w:tc>
          <w:tcPr>
            <w:tcW w:w="0" w:type="auto"/>
            <w:gridSpan w:val="3"/>
            <w:shd w:val="clear" w:color="auto" w:fill="auto"/>
          </w:tcPr>
          <w:p w14:paraId="5C7C6BE6" w14:textId="77777777" w:rsidR="0008009C" w:rsidRDefault="0008009C">
            <w:pPr>
              <w:rPr>
                <w:rFonts w:ascii="宋体"/>
                <w:vanish/>
              </w:rPr>
            </w:pPr>
          </w:p>
        </w:tc>
        <w:tc>
          <w:tcPr>
            <w:tcW w:w="0" w:type="auto"/>
            <w:gridSpan w:val="3"/>
            <w:shd w:val="clear" w:color="auto" w:fill="auto"/>
          </w:tcPr>
          <w:p w14:paraId="5C7C6BE7" w14:textId="77777777" w:rsidR="0008009C" w:rsidRDefault="0008009C">
            <w:pPr>
              <w:rPr>
                <w:rFonts w:ascii="宋体"/>
                <w:vanish/>
              </w:rPr>
            </w:pPr>
          </w:p>
        </w:tc>
      </w:tr>
      <w:tr w:rsidR="0008009C" w14:paraId="5C7C6BEC" w14:textId="77777777">
        <w:tc>
          <w:tcPr>
            <w:tcW w:w="0" w:type="auto"/>
            <w:gridSpan w:val="3"/>
            <w:shd w:val="clear" w:color="auto" w:fill="auto"/>
            <w:tcMar>
              <w:top w:w="40" w:type="dxa"/>
              <w:left w:w="20" w:type="dxa"/>
              <w:bottom w:w="40" w:type="dxa"/>
              <w:right w:w="20" w:type="dxa"/>
            </w:tcMar>
          </w:tcPr>
          <w:p w14:paraId="5C7C6BE9" w14:textId="77777777" w:rsidR="0008009C" w:rsidRDefault="00936FDF">
            <w:pPr>
              <w:textAlignment w:val="top"/>
            </w:pPr>
            <w:r>
              <w:rPr>
                <w:rFonts w:ascii="Arial" w:eastAsia="宋体" w:hAnsi="Arial" w:cs="Arial"/>
                <w:color w:val="0068B5"/>
                <w:sz w:val="18"/>
                <w:szCs w:val="18"/>
              </w:rPr>
              <w:t>DCG</w:t>
            </w:r>
          </w:p>
        </w:tc>
        <w:tc>
          <w:tcPr>
            <w:tcW w:w="0" w:type="auto"/>
            <w:gridSpan w:val="3"/>
            <w:shd w:val="clear" w:color="auto" w:fill="auto"/>
            <w:tcMar>
              <w:top w:w="0" w:type="dxa"/>
              <w:left w:w="20" w:type="dxa"/>
              <w:bottom w:w="0" w:type="dxa"/>
              <w:right w:w="20" w:type="dxa"/>
            </w:tcMar>
          </w:tcPr>
          <w:p w14:paraId="5C7C6BEA"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BEB" w14:textId="77777777" w:rsidR="0008009C" w:rsidRDefault="00936FDF">
            <w:pPr>
              <w:textAlignment w:val="top"/>
            </w:pPr>
            <w:r>
              <w:rPr>
                <w:rFonts w:ascii="Arial" w:eastAsia="宋体" w:hAnsi="Arial" w:cs="Arial"/>
                <w:color w:val="262626"/>
                <w:sz w:val="18"/>
                <w:szCs w:val="18"/>
              </w:rPr>
              <w:t>Data Center Group operating segment</w:t>
            </w:r>
          </w:p>
        </w:tc>
      </w:tr>
      <w:tr w:rsidR="0008009C" w14:paraId="5C7C6BF0" w14:textId="77777777">
        <w:tc>
          <w:tcPr>
            <w:tcW w:w="0" w:type="auto"/>
            <w:gridSpan w:val="3"/>
            <w:shd w:val="clear" w:color="auto" w:fill="auto"/>
            <w:tcMar>
              <w:top w:w="40" w:type="dxa"/>
              <w:left w:w="20" w:type="dxa"/>
              <w:bottom w:w="40" w:type="dxa"/>
              <w:right w:w="20" w:type="dxa"/>
            </w:tcMar>
          </w:tcPr>
          <w:p w14:paraId="5C7C6BED" w14:textId="77777777" w:rsidR="0008009C" w:rsidRDefault="00936FDF">
            <w:pPr>
              <w:textAlignment w:val="top"/>
            </w:pPr>
            <w:r>
              <w:rPr>
                <w:rFonts w:ascii="Arial" w:eastAsia="宋体" w:hAnsi="Arial" w:cs="Arial"/>
                <w:color w:val="0068B5"/>
                <w:sz w:val="18"/>
                <w:szCs w:val="18"/>
              </w:rPr>
              <w:t>EC</w:t>
            </w:r>
          </w:p>
        </w:tc>
        <w:tc>
          <w:tcPr>
            <w:tcW w:w="0" w:type="auto"/>
            <w:gridSpan w:val="3"/>
            <w:shd w:val="clear" w:color="auto" w:fill="auto"/>
            <w:tcMar>
              <w:top w:w="0" w:type="dxa"/>
              <w:left w:w="20" w:type="dxa"/>
              <w:bottom w:w="0" w:type="dxa"/>
              <w:right w:w="20" w:type="dxa"/>
            </w:tcMar>
          </w:tcPr>
          <w:p w14:paraId="5C7C6BEE"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BEF" w14:textId="77777777" w:rsidR="0008009C" w:rsidRDefault="00936FDF">
            <w:pPr>
              <w:textAlignment w:val="top"/>
            </w:pPr>
            <w:r>
              <w:rPr>
                <w:rFonts w:ascii="Arial" w:eastAsia="宋体" w:hAnsi="Arial" w:cs="Arial"/>
                <w:color w:val="262626"/>
                <w:sz w:val="18"/>
                <w:szCs w:val="18"/>
              </w:rPr>
              <w:t>European Commission</w:t>
            </w:r>
          </w:p>
        </w:tc>
      </w:tr>
      <w:tr w:rsidR="0008009C" w14:paraId="5C7C6BF4" w14:textId="77777777">
        <w:trPr>
          <w:hidden/>
        </w:trPr>
        <w:tc>
          <w:tcPr>
            <w:tcW w:w="0" w:type="auto"/>
            <w:gridSpan w:val="3"/>
            <w:shd w:val="clear" w:color="auto" w:fill="auto"/>
          </w:tcPr>
          <w:p w14:paraId="5C7C6BF1" w14:textId="77777777" w:rsidR="0008009C" w:rsidRDefault="0008009C">
            <w:pPr>
              <w:rPr>
                <w:rFonts w:ascii="宋体"/>
                <w:vanish/>
              </w:rPr>
            </w:pPr>
          </w:p>
        </w:tc>
        <w:tc>
          <w:tcPr>
            <w:tcW w:w="0" w:type="auto"/>
            <w:gridSpan w:val="3"/>
            <w:shd w:val="clear" w:color="auto" w:fill="auto"/>
          </w:tcPr>
          <w:p w14:paraId="5C7C6BF2" w14:textId="77777777" w:rsidR="0008009C" w:rsidRDefault="0008009C">
            <w:pPr>
              <w:rPr>
                <w:rFonts w:ascii="宋体"/>
                <w:vanish/>
              </w:rPr>
            </w:pPr>
          </w:p>
        </w:tc>
        <w:tc>
          <w:tcPr>
            <w:tcW w:w="0" w:type="auto"/>
            <w:gridSpan w:val="3"/>
            <w:shd w:val="clear" w:color="auto" w:fill="auto"/>
          </w:tcPr>
          <w:p w14:paraId="5C7C6BF3" w14:textId="77777777" w:rsidR="0008009C" w:rsidRDefault="0008009C">
            <w:pPr>
              <w:rPr>
                <w:rFonts w:ascii="宋体"/>
                <w:vanish/>
              </w:rPr>
            </w:pPr>
          </w:p>
        </w:tc>
      </w:tr>
      <w:tr w:rsidR="0008009C" w14:paraId="5C7C6BF8" w14:textId="77777777">
        <w:trPr>
          <w:hidden/>
        </w:trPr>
        <w:tc>
          <w:tcPr>
            <w:tcW w:w="0" w:type="auto"/>
            <w:gridSpan w:val="3"/>
            <w:shd w:val="clear" w:color="auto" w:fill="auto"/>
          </w:tcPr>
          <w:p w14:paraId="5C7C6BF5" w14:textId="77777777" w:rsidR="0008009C" w:rsidRDefault="0008009C">
            <w:pPr>
              <w:rPr>
                <w:rFonts w:ascii="宋体"/>
                <w:vanish/>
              </w:rPr>
            </w:pPr>
          </w:p>
        </w:tc>
        <w:tc>
          <w:tcPr>
            <w:tcW w:w="0" w:type="auto"/>
            <w:gridSpan w:val="3"/>
            <w:shd w:val="clear" w:color="auto" w:fill="auto"/>
          </w:tcPr>
          <w:p w14:paraId="5C7C6BF6" w14:textId="77777777" w:rsidR="0008009C" w:rsidRDefault="0008009C">
            <w:pPr>
              <w:rPr>
                <w:rFonts w:ascii="宋体"/>
                <w:vanish/>
              </w:rPr>
            </w:pPr>
          </w:p>
        </w:tc>
        <w:tc>
          <w:tcPr>
            <w:tcW w:w="0" w:type="auto"/>
            <w:gridSpan w:val="3"/>
            <w:shd w:val="clear" w:color="auto" w:fill="auto"/>
          </w:tcPr>
          <w:p w14:paraId="5C7C6BF7" w14:textId="77777777" w:rsidR="0008009C" w:rsidRDefault="0008009C">
            <w:pPr>
              <w:rPr>
                <w:rFonts w:ascii="宋体"/>
                <w:vanish/>
              </w:rPr>
            </w:pPr>
          </w:p>
        </w:tc>
      </w:tr>
      <w:tr w:rsidR="0008009C" w14:paraId="5C7C6BFC" w14:textId="77777777">
        <w:trPr>
          <w:hidden/>
        </w:trPr>
        <w:tc>
          <w:tcPr>
            <w:tcW w:w="0" w:type="auto"/>
            <w:gridSpan w:val="3"/>
            <w:shd w:val="clear" w:color="auto" w:fill="auto"/>
          </w:tcPr>
          <w:p w14:paraId="5C7C6BF9" w14:textId="77777777" w:rsidR="0008009C" w:rsidRDefault="0008009C">
            <w:pPr>
              <w:rPr>
                <w:rFonts w:ascii="宋体"/>
                <w:vanish/>
              </w:rPr>
            </w:pPr>
          </w:p>
        </w:tc>
        <w:tc>
          <w:tcPr>
            <w:tcW w:w="0" w:type="auto"/>
            <w:gridSpan w:val="3"/>
            <w:shd w:val="clear" w:color="auto" w:fill="auto"/>
          </w:tcPr>
          <w:p w14:paraId="5C7C6BFA" w14:textId="77777777" w:rsidR="0008009C" w:rsidRDefault="0008009C">
            <w:pPr>
              <w:rPr>
                <w:rFonts w:ascii="宋体"/>
                <w:vanish/>
              </w:rPr>
            </w:pPr>
          </w:p>
        </w:tc>
        <w:tc>
          <w:tcPr>
            <w:tcW w:w="0" w:type="auto"/>
            <w:gridSpan w:val="3"/>
            <w:shd w:val="clear" w:color="auto" w:fill="auto"/>
          </w:tcPr>
          <w:p w14:paraId="5C7C6BFB" w14:textId="77777777" w:rsidR="0008009C" w:rsidRDefault="0008009C">
            <w:pPr>
              <w:rPr>
                <w:rFonts w:ascii="宋体"/>
                <w:vanish/>
              </w:rPr>
            </w:pPr>
          </w:p>
        </w:tc>
      </w:tr>
      <w:tr w:rsidR="0008009C" w14:paraId="5C7C6C00" w14:textId="77777777">
        <w:trPr>
          <w:hidden/>
        </w:trPr>
        <w:tc>
          <w:tcPr>
            <w:tcW w:w="0" w:type="auto"/>
            <w:gridSpan w:val="3"/>
            <w:shd w:val="clear" w:color="auto" w:fill="auto"/>
          </w:tcPr>
          <w:p w14:paraId="5C7C6BFD" w14:textId="77777777" w:rsidR="0008009C" w:rsidRDefault="0008009C">
            <w:pPr>
              <w:rPr>
                <w:rFonts w:ascii="宋体"/>
                <w:vanish/>
              </w:rPr>
            </w:pPr>
          </w:p>
        </w:tc>
        <w:tc>
          <w:tcPr>
            <w:tcW w:w="0" w:type="auto"/>
            <w:gridSpan w:val="3"/>
            <w:shd w:val="clear" w:color="auto" w:fill="auto"/>
          </w:tcPr>
          <w:p w14:paraId="5C7C6BFE" w14:textId="77777777" w:rsidR="0008009C" w:rsidRDefault="0008009C">
            <w:pPr>
              <w:rPr>
                <w:rFonts w:ascii="宋体"/>
                <w:vanish/>
              </w:rPr>
            </w:pPr>
          </w:p>
        </w:tc>
        <w:tc>
          <w:tcPr>
            <w:tcW w:w="0" w:type="auto"/>
            <w:gridSpan w:val="3"/>
            <w:shd w:val="clear" w:color="auto" w:fill="auto"/>
          </w:tcPr>
          <w:p w14:paraId="5C7C6BFF" w14:textId="77777777" w:rsidR="0008009C" w:rsidRDefault="0008009C">
            <w:pPr>
              <w:rPr>
                <w:rFonts w:ascii="宋体"/>
                <w:vanish/>
              </w:rPr>
            </w:pPr>
          </w:p>
        </w:tc>
      </w:tr>
      <w:tr w:rsidR="0008009C" w14:paraId="5C7C6C04" w14:textId="77777777">
        <w:trPr>
          <w:hidden/>
        </w:trPr>
        <w:tc>
          <w:tcPr>
            <w:tcW w:w="0" w:type="auto"/>
            <w:gridSpan w:val="3"/>
            <w:shd w:val="clear" w:color="auto" w:fill="auto"/>
          </w:tcPr>
          <w:p w14:paraId="5C7C6C01" w14:textId="77777777" w:rsidR="0008009C" w:rsidRDefault="0008009C">
            <w:pPr>
              <w:rPr>
                <w:rFonts w:ascii="宋体"/>
                <w:vanish/>
              </w:rPr>
            </w:pPr>
          </w:p>
        </w:tc>
        <w:tc>
          <w:tcPr>
            <w:tcW w:w="0" w:type="auto"/>
            <w:gridSpan w:val="3"/>
            <w:shd w:val="clear" w:color="auto" w:fill="auto"/>
          </w:tcPr>
          <w:p w14:paraId="5C7C6C02" w14:textId="77777777" w:rsidR="0008009C" w:rsidRDefault="0008009C">
            <w:pPr>
              <w:rPr>
                <w:rFonts w:ascii="宋体"/>
                <w:vanish/>
              </w:rPr>
            </w:pPr>
          </w:p>
        </w:tc>
        <w:tc>
          <w:tcPr>
            <w:tcW w:w="0" w:type="auto"/>
            <w:gridSpan w:val="3"/>
            <w:shd w:val="clear" w:color="auto" w:fill="auto"/>
          </w:tcPr>
          <w:p w14:paraId="5C7C6C03" w14:textId="77777777" w:rsidR="0008009C" w:rsidRDefault="0008009C">
            <w:pPr>
              <w:rPr>
                <w:rFonts w:ascii="宋体"/>
                <w:vanish/>
              </w:rPr>
            </w:pPr>
          </w:p>
        </w:tc>
      </w:tr>
      <w:tr w:rsidR="0008009C" w14:paraId="5C7C6C08" w14:textId="77777777">
        <w:trPr>
          <w:hidden/>
        </w:trPr>
        <w:tc>
          <w:tcPr>
            <w:tcW w:w="0" w:type="auto"/>
            <w:gridSpan w:val="3"/>
            <w:shd w:val="clear" w:color="auto" w:fill="auto"/>
          </w:tcPr>
          <w:p w14:paraId="5C7C6C05" w14:textId="77777777" w:rsidR="0008009C" w:rsidRDefault="0008009C">
            <w:pPr>
              <w:rPr>
                <w:rFonts w:ascii="宋体"/>
                <w:vanish/>
              </w:rPr>
            </w:pPr>
          </w:p>
        </w:tc>
        <w:tc>
          <w:tcPr>
            <w:tcW w:w="0" w:type="auto"/>
            <w:gridSpan w:val="3"/>
            <w:shd w:val="clear" w:color="auto" w:fill="auto"/>
          </w:tcPr>
          <w:p w14:paraId="5C7C6C06" w14:textId="77777777" w:rsidR="0008009C" w:rsidRDefault="0008009C">
            <w:pPr>
              <w:rPr>
                <w:rFonts w:ascii="宋体"/>
                <w:vanish/>
              </w:rPr>
            </w:pPr>
          </w:p>
        </w:tc>
        <w:tc>
          <w:tcPr>
            <w:tcW w:w="0" w:type="auto"/>
            <w:gridSpan w:val="3"/>
            <w:shd w:val="clear" w:color="auto" w:fill="auto"/>
          </w:tcPr>
          <w:p w14:paraId="5C7C6C07" w14:textId="77777777" w:rsidR="0008009C" w:rsidRDefault="0008009C">
            <w:pPr>
              <w:rPr>
                <w:rFonts w:ascii="宋体"/>
                <w:vanish/>
              </w:rPr>
            </w:pPr>
          </w:p>
        </w:tc>
      </w:tr>
      <w:tr w:rsidR="0008009C" w14:paraId="5C7C6C0C" w14:textId="77777777">
        <w:tc>
          <w:tcPr>
            <w:tcW w:w="0" w:type="auto"/>
            <w:gridSpan w:val="3"/>
            <w:shd w:val="clear" w:color="auto" w:fill="auto"/>
            <w:tcMar>
              <w:top w:w="40" w:type="dxa"/>
              <w:left w:w="20" w:type="dxa"/>
              <w:bottom w:w="40" w:type="dxa"/>
              <w:right w:w="20" w:type="dxa"/>
            </w:tcMar>
          </w:tcPr>
          <w:p w14:paraId="5C7C6C09" w14:textId="77777777" w:rsidR="0008009C" w:rsidRDefault="00936FDF">
            <w:pPr>
              <w:textAlignment w:val="top"/>
            </w:pPr>
            <w:r>
              <w:rPr>
                <w:rFonts w:ascii="Arial" w:eastAsia="宋体" w:hAnsi="Arial" w:cs="Arial"/>
                <w:color w:val="0068B5"/>
                <w:sz w:val="18"/>
                <w:szCs w:val="18"/>
              </w:rPr>
              <w:t>Form 10-Q</w:t>
            </w:r>
          </w:p>
        </w:tc>
        <w:tc>
          <w:tcPr>
            <w:tcW w:w="0" w:type="auto"/>
            <w:gridSpan w:val="3"/>
            <w:shd w:val="clear" w:color="auto" w:fill="auto"/>
            <w:tcMar>
              <w:top w:w="0" w:type="dxa"/>
              <w:left w:w="20" w:type="dxa"/>
              <w:bottom w:w="0" w:type="dxa"/>
              <w:right w:w="20" w:type="dxa"/>
            </w:tcMar>
          </w:tcPr>
          <w:p w14:paraId="5C7C6C0A"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0B" w14:textId="77777777" w:rsidR="0008009C" w:rsidRDefault="00936FDF">
            <w:pPr>
              <w:textAlignment w:val="top"/>
            </w:pPr>
            <w:r>
              <w:rPr>
                <w:rFonts w:ascii="Arial" w:eastAsia="宋体" w:hAnsi="Arial" w:cs="Arial"/>
                <w:color w:val="262626"/>
                <w:sz w:val="18"/>
                <w:szCs w:val="18"/>
              </w:rPr>
              <w:t>Quarterly Report on Form 10-Q</w:t>
            </w:r>
          </w:p>
        </w:tc>
      </w:tr>
      <w:tr w:rsidR="0008009C" w14:paraId="5C7C6C10" w14:textId="77777777">
        <w:tc>
          <w:tcPr>
            <w:tcW w:w="0" w:type="auto"/>
            <w:gridSpan w:val="3"/>
            <w:shd w:val="clear" w:color="auto" w:fill="auto"/>
            <w:tcMar>
              <w:top w:w="40" w:type="dxa"/>
              <w:left w:w="20" w:type="dxa"/>
              <w:bottom w:w="40" w:type="dxa"/>
              <w:right w:w="20" w:type="dxa"/>
            </w:tcMar>
          </w:tcPr>
          <w:p w14:paraId="5C7C6C0D" w14:textId="77777777" w:rsidR="0008009C" w:rsidRDefault="00936FDF">
            <w:pPr>
              <w:textAlignment w:val="top"/>
            </w:pPr>
            <w:r>
              <w:rPr>
                <w:rFonts w:ascii="Arial" w:eastAsia="宋体" w:hAnsi="Arial" w:cs="Arial"/>
                <w:color w:val="0068B5"/>
                <w:sz w:val="18"/>
                <w:szCs w:val="18"/>
              </w:rPr>
              <w:t>FPGA</w:t>
            </w:r>
          </w:p>
        </w:tc>
        <w:tc>
          <w:tcPr>
            <w:tcW w:w="0" w:type="auto"/>
            <w:gridSpan w:val="3"/>
            <w:shd w:val="clear" w:color="auto" w:fill="auto"/>
            <w:tcMar>
              <w:top w:w="0" w:type="dxa"/>
              <w:left w:w="20" w:type="dxa"/>
              <w:bottom w:w="0" w:type="dxa"/>
              <w:right w:w="20" w:type="dxa"/>
            </w:tcMar>
          </w:tcPr>
          <w:p w14:paraId="5C7C6C0E"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0F" w14:textId="77777777" w:rsidR="0008009C" w:rsidRDefault="00936FDF">
            <w:pPr>
              <w:textAlignment w:val="top"/>
            </w:pPr>
            <w:r>
              <w:rPr>
                <w:rFonts w:ascii="Arial" w:eastAsia="宋体" w:hAnsi="Arial" w:cs="Arial"/>
                <w:color w:val="262626"/>
                <w:sz w:val="18"/>
                <w:szCs w:val="18"/>
              </w:rPr>
              <w:t>Field-programmable gate array</w:t>
            </w:r>
          </w:p>
        </w:tc>
      </w:tr>
      <w:tr w:rsidR="0008009C" w14:paraId="5C7C6C14" w14:textId="77777777">
        <w:trPr>
          <w:hidden/>
        </w:trPr>
        <w:tc>
          <w:tcPr>
            <w:tcW w:w="0" w:type="auto"/>
            <w:gridSpan w:val="3"/>
            <w:shd w:val="clear" w:color="auto" w:fill="auto"/>
          </w:tcPr>
          <w:p w14:paraId="5C7C6C11" w14:textId="77777777" w:rsidR="0008009C" w:rsidRDefault="0008009C">
            <w:pPr>
              <w:rPr>
                <w:rFonts w:ascii="宋体"/>
                <w:vanish/>
              </w:rPr>
            </w:pPr>
          </w:p>
        </w:tc>
        <w:tc>
          <w:tcPr>
            <w:tcW w:w="0" w:type="auto"/>
            <w:gridSpan w:val="3"/>
            <w:shd w:val="clear" w:color="auto" w:fill="auto"/>
          </w:tcPr>
          <w:p w14:paraId="5C7C6C12" w14:textId="77777777" w:rsidR="0008009C" w:rsidRDefault="0008009C">
            <w:pPr>
              <w:rPr>
                <w:rFonts w:ascii="宋体"/>
                <w:vanish/>
              </w:rPr>
            </w:pPr>
          </w:p>
        </w:tc>
        <w:tc>
          <w:tcPr>
            <w:tcW w:w="0" w:type="auto"/>
            <w:gridSpan w:val="3"/>
            <w:shd w:val="clear" w:color="auto" w:fill="auto"/>
          </w:tcPr>
          <w:p w14:paraId="5C7C6C13" w14:textId="77777777" w:rsidR="0008009C" w:rsidRDefault="0008009C">
            <w:pPr>
              <w:rPr>
                <w:rFonts w:ascii="宋体"/>
                <w:vanish/>
              </w:rPr>
            </w:pPr>
          </w:p>
        </w:tc>
      </w:tr>
      <w:tr w:rsidR="0008009C" w14:paraId="5C7C6C18" w14:textId="77777777">
        <w:trPr>
          <w:hidden/>
        </w:trPr>
        <w:tc>
          <w:tcPr>
            <w:tcW w:w="0" w:type="auto"/>
            <w:gridSpan w:val="3"/>
            <w:shd w:val="clear" w:color="auto" w:fill="auto"/>
          </w:tcPr>
          <w:p w14:paraId="5C7C6C15" w14:textId="77777777" w:rsidR="0008009C" w:rsidRDefault="0008009C">
            <w:pPr>
              <w:rPr>
                <w:rFonts w:ascii="宋体"/>
                <w:vanish/>
              </w:rPr>
            </w:pPr>
          </w:p>
        </w:tc>
        <w:tc>
          <w:tcPr>
            <w:tcW w:w="0" w:type="auto"/>
            <w:gridSpan w:val="3"/>
            <w:shd w:val="clear" w:color="auto" w:fill="auto"/>
          </w:tcPr>
          <w:p w14:paraId="5C7C6C16" w14:textId="77777777" w:rsidR="0008009C" w:rsidRDefault="0008009C">
            <w:pPr>
              <w:rPr>
                <w:rFonts w:ascii="宋体"/>
                <w:vanish/>
              </w:rPr>
            </w:pPr>
          </w:p>
        </w:tc>
        <w:tc>
          <w:tcPr>
            <w:tcW w:w="0" w:type="auto"/>
            <w:gridSpan w:val="3"/>
            <w:shd w:val="clear" w:color="auto" w:fill="auto"/>
          </w:tcPr>
          <w:p w14:paraId="5C7C6C17" w14:textId="77777777" w:rsidR="0008009C" w:rsidRDefault="0008009C">
            <w:pPr>
              <w:rPr>
                <w:rFonts w:ascii="宋体"/>
                <w:vanish/>
              </w:rPr>
            </w:pPr>
          </w:p>
        </w:tc>
      </w:tr>
      <w:tr w:rsidR="0008009C" w14:paraId="5C7C6C1C" w14:textId="77777777">
        <w:tc>
          <w:tcPr>
            <w:tcW w:w="0" w:type="auto"/>
            <w:gridSpan w:val="3"/>
            <w:shd w:val="clear" w:color="auto" w:fill="auto"/>
            <w:tcMar>
              <w:top w:w="40" w:type="dxa"/>
              <w:left w:w="20" w:type="dxa"/>
              <w:bottom w:w="40" w:type="dxa"/>
              <w:right w:w="20" w:type="dxa"/>
            </w:tcMar>
          </w:tcPr>
          <w:p w14:paraId="5C7C6C19" w14:textId="77777777" w:rsidR="0008009C" w:rsidRDefault="00936FDF">
            <w:pPr>
              <w:textAlignment w:val="top"/>
            </w:pPr>
            <w:r>
              <w:rPr>
                <w:rFonts w:ascii="Arial" w:eastAsia="宋体" w:hAnsi="Arial" w:cs="Arial"/>
                <w:color w:val="0068B5"/>
                <w:sz w:val="18"/>
                <w:szCs w:val="18"/>
              </w:rPr>
              <w:t>IDM</w:t>
            </w:r>
          </w:p>
        </w:tc>
        <w:tc>
          <w:tcPr>
            <w:tcW w:w="0" w:type="auto"/>
            <w:gridSpan w:val="3"/>
            <w:shd w:val="clear" w:color="auto" w:fill="auto"/>
            <w:tcMar>
              <w:top w:w="0" w:type="dxa"/>
              <w:left w:w="20" w:type="dxa"/>
              <w:bottom w:w="0" w:type="dxa"/>
              <w:right w:w="20" w:type="dxa"/>
            </w:tcMar>
          </w:tcPr>
          <w:p w14:paraId="5C7C6C1A"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1B" w14:textId="77777777" w:rsidR="0008009C" w:rsidRDefault="00936FDF">
            <w:pPr>
              <w:textAlignment w:val="top"/>
            </w:pPr>
            <w:r>
              <w:rPr>
                <w:rFonts w:ascii="Arial" w:eastAsia="宋体" w:hAnsi="Arial" w:cs="Arial"/>
                <w:color w:val="262626"/>
                <w:sz w:val="18"/>
                <w:szCs w:val="18"/>
              </w:rPr>
              <w:t>Integrated device manufacturer</w:t>
            </w:r>
          </w:p>
        </w:tc>
      </w:tr>
      <w:tr w:rsidR="0008009C" w14:paraId="5C7C6C20" w14:textId="77777777">
        <w:trPr>
          <w:hidden/>
        </w:trPr>
        <w:tc>
          <w:tcPr>
            <w:tcW w:w="0" w:type="auto"/>
            <w:gridSpan w:val="3"/>
            <w:shd w:val="clear" w:color="auto" w:fill="auto"/>
          </w:tcPr>
          <w:p w14:paraId="5C7C6C1D" w14:textId="77777777" w:rsidR="0008009C" w:rsidRDefault="0008009C">
            <w:pPr>
              <w:rPr>
                <w:rFonts w:ascii="宋体"/>
                <w:vanish/>
              </w:rPr>
            </w:pPr>
          </w:p>
        </w:tc>
        <w:tc>
          <w:tcPr>
            <w:tcW w:w="0" w:type="auto"/>
            <w:gridSpan w:val="3"/>
            <w:shd w:val="clear" w:color="auto" w:fill="auto"/>
          </w:tcPr>
          <w:p w14:paraId="5C7C6C1E" w14:textId="77777777" w:rsidR="0008009C" w:rsidRDefault="0008009C">
            <w:pPr>
              <w:rPr>
                <w:rFonts w:ascii="宋体"/>
                <w:vanish/>
              </w:rPr>
            </w:pPr>
          </w:p>
        </w:tc>
        <w:tc>
          <w:tcPr>
            <w:tcW w:w="0" w:type="auto"/>
            <w:gridSpan w:val="3"/>
            <w:shd w:val="clear" w:color="auto" w:fill="auto"/>
          </w:tcPr>
          <w:p w14:paraId="5C7C6C1F" w14:textId="77777777" w:rsidR="0008009C" w:rsidRDefault="0008009C">
            <w:pPr>
              <w:rPr>
                <w:rFonts w:ascii="宋体"/>
                <w:vanish/>
              </w:rPr>
            </w:pPr>
          </w:p>
        </w:tc>
      </w:tr>
      <w:tr w:rsidR="0008009C" w14:paraId="5C7C6C24" w14:textId="77777777">
        <w:trPr>
          <w:hidden/>
        </w:trPr>
        <w:tc>
          <w:tcPr>
            <w:tcW w:w="0" w:type="auto"/>
            <w:gridSpan w:val="3"/>
            <w:shd w:val="clear" w:color="auto" w:fill="auto"/>
          </w:tcPr>
          <w:p w14:paraId="5C7C6C21" w14:textId="77777777" w:rsidR="0008009C" w:rsidRDefault="0008009C">
            <w:pPr>
              <w:rPr>
                <w:rFonts w:ascii="宋体"/>
                <w:vanish/>
              </w:rPr>
            </w:pPr>
          </w:p>
        </w:tc>
        <w:tc>
          <w:tcPr>
            <w:tcW w:w="0" w:type="auto"/>
            <w:gridSpan w:val="3"/>
            <w:shd w:val="clear" w:color="auto" w:fill="auto"/>
          </w:tcPr>
          <w:p w14:paraId="5C7C6C22" w14:textId="77777777" w:rsidR="0008009C" w:rsidRDefault="0008009C">
            <w:pPr>
              <w:rPr>
                <w:rFonts w:ascii="宋体"/>
                <w:vanish/>
              </w:rPr>
            </w:pPr>
          </w:p>
        </w:tc>
        <w:tc>
          <w:tcPr>
            <w:tcW w:w="0" w:type="auto"/>
            <w:gridSpan w:val="3"/>
            <w:shd w:val="clear" w:color="auto" w:fill="auto"/>
          </w:tcPr>
          <w:p w14:paraId="5C7C6C23" w14:textId="77777777" w:rsidR="0008009C" w:rsidRDefault="0008009C">
            <w:pPr>
              <w:rPr>
                <w:rFonts w:ascii="宋体"/>
                <w:vanish/>
              </w:rPr>
            </w:pPr>
          </w:p>
        </w:tc>
      </w:tr>
      <w:tr w:rsidR="0008009C" w14:paraId="5C7C6C28" w14:textId="77777777">
        <w:trPr>
          <w:hidden/>
        </w:trPr>
        <w:tc>
          <w:tcPr>
            <w:tcW w:w="0" w:type="auto"/>
            <w:gridSpan w:val="3"/>
            <w:shd w:val="clear" w:color="auto" w:fill="auto"/>
          </w:tcPr>
          <w:p w14:paraId="5C7C6C25" w14:textId="77777777" w:rsidR="0008009C" w:rsidRDefault="0008009C">
            <w:pPr>
              <w:rPr>
                <w:rFonts w:ascii="宋体"/>
                <w:vanish/>
              </w:rPr>
            </w:pPr>
          </w:p>
        </w:tc>
        <w:tc>
          <w:tcPr>
            <w:tcW w:w="0" w:type="auto"/>
            <w:gridSpan w:val="3"/>
            <w:shd w:val="clear" w:color="auto" w:fill="auto"/>
          </w:tcPr>
          <w:p w14:paraId="5C7C6C26" w14:textId="77777777" w:rsidR="0008009C" w:rsidRDefault="0008009C">
            <w:pPr>
              <w:rPr>
                <w:rFonts w:ascii="宋体"/>
                <w:vanish/>
              </w:rPr>
            </w:pPr>
          </w:p>
        </w:tc>
        <w:tc>
          <w:tcPr>
            <w:tcW w:w="0" w:type="auto"/>
            <w:gridSpan w:val="3"/>
            <w:shd w:val="clear" w:color="auto" w:fill="auto"/>
          </w:tcPr>
          <w:p w14:paraId="5C7C6C27" w14:textId="77777777" w:rsidR="0008009C" w:rsidRDefault="0008009C">
            <w:pPr>
              <w:rPr>
                <w:rFonts w:ascii="宋体"/>
                <w:vanish/>
              </w:rPr>
            </w:pPr>
          </w:p>
        </w:tc>
      </w:tr>
      <w:tr w:rsidR="0008009C" w14:paraId="5C7C6C2C" w14:textId="77777777">
        <w:tc>
          <w:tcPr>
            <w:tcW w:w="0" w:type="auto"/>
            <w:gridSpan w:val="3"/>
            <w:shd w:val="clear" w:color="auto" w:fill="auto"/>
            <w:tcMar>
              <w:top w:w="40" w:type="dxa"/>
              <w:left w:w="20" w:type="dxa"/>
              <w:bottom w:w="40" w:type="dxa"/>
              <w:right w:w="20" w:type="dxa"/>
            </w:tcMar>
          </w:tcPr>
          <w:p w14:paraId="5C7C6C29" w14:textId="77777777" w:rsidR="0008009C" w:rsidRDefault="00936FDF">
            <w:pPr>
              <w:textAlignment w:val="top"/>
            </w:pPr>
            <w:r>
              <w:rPr>
                <w:rFonts w:ascii="Arial" w:eastAsia="宋体" w:hAnsi="Arial" w:cs="Arial"/>
                <w:color w:val="0068B5"/>
                <w:sz w:val="18"/>
                <w:szCs w:val="18"/>
              </w:rPr>
              <w:t>Internet of Things</w:t>
            </w:r>
          </w:p>
        </w:tc>
        <w:tc>
          <w:tcPr>
            <w:tcW w:w="0" w:type="auto"/>
            <w:gridSpan w:val="3"/>
            <w:shd w:val="clear" w:color="auto" w:fill="auto"/>
            <w:tcMar>
              <w:top w:w="0" w:type="dxa"/>
              <w:left w:w="20" w:type="dxa"/>
              <w:bottom w:w="0" w:type="dxa"/>
              <w:right w:w="20" w:type="dxa"/>
            </w:tcMar>
          </w:tcPr>
          <w:p w14:paraId="5C7C6C2A"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2B" w14:textId="77777777" w:rsidR="0008009C" w:rsidRDefault="00936FDF">
            <w:pPr>
              <w:textAlignment w:val="top"/>
            </w:pPr>
            <w:r>
              <w:rPr>
                <w:rFonts w:ascii="Arial" w:eastAsia="宋体" w:hAnsi="Arial" w:cs="Arial"/>
                <w:color w:val="262626"/>
                <w:sz w:val="18"/>
                <w:szCs w:val="18"/>
              </w:rPr>
              <w:t>Refers to the Internet of Things market in which we sell our IOTG and Mobileye products</w:t>
            </w:r>
          </w:p>
        </w:tc>
      </w:tr>
      <w:tr w:rsidR="0008009C" w14:paraId="5C7C6C30" w14:textId="77777777">
        <w:trPr>
          <w:hidden/>
        </w:trPr>
        <w:tc>
          <w:tcPr>
            <w:tcW w:w="0" w:type="auto"/>
            <w:gridSpan w:val="3"/>
            <w:shd w:val="clear" w:color="auto" w:fill="auto"/>
          </w:tcPr>
          <w:p w14:paraId="5C7C6C2D" w14:textId="77777777" w:rsidR="0008009C" w:rsidRDefault="0008009C">
            <w:pPr>
              <w:rPr>
                <w:rFonts w:ascii="宋体"/>
                <w:vanish/>
              </w:rPr>
            </w:pPr>
          </w:p>
        </w:tc>
        <w:tc>
          <w:tcPr>
            <w:tcW w:w="0" w:type="auto"/>
            <w:gridSpan w:val="3"/>
            <w:shd w:val="clear" w:color="auto" w:fill="auto"/>
          </w:tcPr>
          <w:p w14:paraId="5C7C6C2E" w14:textId="77777777" w:rsidR="0008009C" w:rsidRDefault="0008009C">
            <w:pPr>
              <w:rPr>
                <w:rFonts w:ascii="宋体"/>
                <w:vanish/>
              </w:rPr>
            </w:pPr>
          </w:p>
        </w:tc>
        <w:tc>
          <w:tcPr>
            <w:tcW w:w="0" w:type="auto"/>
            <w:gridSpan w:val="3"/>
            <w:shd w:val="clear" w:color="auto" w:fill="auto"/>
          </w:tcPr>
          <w:p w14:paraId="5C7C6C2F" w14:textId="77777777" w:rsidR="0008009C" w:rsidRDefault="0008009C">
            <w:pPr>
              <w:rPr>
                <w:rFonts w:ascii="宋体"/>
                <w:vanish/>
              </w:rPr>
            </w:pPr>
          </w:p>
        </w:tc>
      </w:tr>
      <w:tr w:rsidR="0008009C" w14:paraId="5C7C6C34" w14:textId="77777777">
        <w:tc>
          <w:tcPr>
            <w:tcW w:w="0" w:type="auto"/>
            <w:gridSpan w:val="3"/>
            <w:shd w:val="clear" w:color="auto" w:fill="auto"/>
            <w:tcMar>
              <w:top w:w="40" w:type="dxa"/>
              <w:left w:w="20" w:type="dxa"/>
              <w:bottom w:w="40" w:type="dxa"/>
              <w:right w:w="20" w:type="dxa"/>
            </w:tcMar>
          </w:tcPr>
          <w:p w14:paraId="5C7C6C31" w14:textId="77777777" w:rsidR="0008009C" w:rsidRDefault="00936FDF">
            <w:pPr>
              <w:textAlignment w:val="top"/>
            </w:pPr>
            <w:r>
              <w:rPr>
                <w:rFonts w:ascii="Arial" w:eastAsia="宋体" w:hAnsi="Arial" w:cs="Arial"/>
                <w:color w:val="0068B5"/>
                <w:sz w:val="18"/>
                <w:szCs w:val="18"/>
              </w:rPr>
              <w:t>IOTG</w:t>
            </w:r>
          </w:p>
        </w:tc>
        <w:tc>
          <w:tcPr>
            <w:tcW w:w="0" w:type="auto"/>
            <w:gridSpan w:val="3"/>
            <w:shd w:val="clear" w:color="auto" w:fill="auto"/>
            <w:tcMar>
              <w:top w:w="0" w:type="dxa"/>
              <w:left w:w="20" w:type="dxa"/>
              <w:bottom w:w="0" w:type="dxa"/>
              <w:right w:w="20" w:type="dxa"/>
            </w:tcMar>
          </w:tcPr>
          <w:p w14:paraId="5C7C6C32"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33" w14:textId="77777777" w:rsidR="0008009C" w:rsidRDefault="00936FDF">
            <w:pPr>
              <w:textAlignment w:val="top"/>
            </w:pPr>
            <w:r>
              <w:rPr>
                <w:rFonts w:ascii="Arial" w:eastAsia="宋体" w:hAnsi="Arial" w:cs="Arial"/>
                <w:color w:val="262626"/>
                <w:sz w:val="18"/>
                <w:szCs w:val="18"/>
              </w:rPr>
              <w:t xml:space="preserve">Internet of Things Group operating </w:t>
            </w:r>
            <w:r>
              <w:rPr>
                <w:rFonts w:ascii="Arial" w:eastAsia="宋体" w:hAnsi="Arial" w:cs="Arial"/>
                <w:color w:val="262626"/>
                <w:sz w:val="18"/>
                <w:szCs w:val="18"/>
              </w:rPr>
              <w:t>segment</w:t>
            </w:r>
          </w:p>
        </w:tc>
      </w:tr>
      <w:tr w:rsidR="0008009C" w14:paraId="5C7C6C38" w14:textId="77777777">
        <w:trPr>
          <w:hidden/>
        </w:trPr>
        <w:tc>
          <w:tcPr>
            <w:tcW w:w="0" w:type="auto"/>
            <w:gridSpan w:val="3"/>
            <w:shd w:val="clear" w:color="auto" w:fill="auto"/>
          </w:tcPr>
          <w:p w14:paraId="5C7C6C35" w14:textId="77777777" w:rsidR="0008009C" w:rsidRDefault="0008009C">
            <w:pPr>
              <w:rPr>
                <w:rFonts w:ascii="宋体"/>
                <w:vanish/>
              </w:rPr>
            </w:pPr>
          </w:p>
        </w:tc>
        <w:tc>
          <w:tcPr>
            <w:tcW w:w="0" w:type="auto"/>
            <w:gridSpan w:val="3"/>
            <w:shd w:val="clear" w:color="auto" w:fill="auto"/>
          </w:tcPr>
          <w:p w14:paraId="5C7C6C36" w14:textId="77777777" w:rsidR="0008009C" w:rsidRDefault="0008009C">
            <w:pPr>
              <w:rPr>
                <w:rFonts w:ascii="宋体"/>
                <w:vanish/>
              </w:rPr>
            </w:pPr>
          </w:p>
        </w:tc>
        <w:tc>
          <w:tcPr>
            <w:tcW w:w="0" w:type="auto"/>
            <w:gridSpan w:val="3"/>
            <w:shd w:val="clear" w:color="auto" w:fill="auto"/>
          </w:tcPr>
          <w:p w14:paraId="5C7C6C37" w14:textId="77777777" w:rsidR="0008009C" w:rsidRDefault="0008009C">
            <w:pPr>
              <w:rPr>
                <w:rFonts w:ascii="宋体"/>
                <w:vanish/>
              </w:rPr>
            </w:pPr>
          </w:p>
        </w:tc>
      </w:tr>
      <w:tr w:rsidR="0008009C" w14:paraId="5C7C6C3C" w14:textId="77777777">
        <w:tc>
          <w:tcPr>
            <w:tcW w:w="0" w:type="auto"/>
            <w:gridSpan w:val="3"/>
            <w:shd w:val="clear" w:color="auto" w:fill="auto"/>
            <w:tcMar>
              <w:top w:w="40" w:type="dxa"/>
              <w:left w:w="20" w:type="dxa"/>
              <w:bottom w:w="40" w:type="dxa"/>
              <w:right w:w="20" w:type="dxa"/>
            </w:tcMar>
          </w:tcPr>
          <w:p w14:paraId="5C7C6C39" w14:textId="77777777" w:rsidR="0008009C" w:rsidRDefault="00936FDF">
            <w:pPr>
              <w:textAlignment w:val="top"/>
            </w:pPr>
            <w:r>
              <w:rPr>
                <w:rFonts w:ascii="Arial" w:eastAsia="宋体" w:hAnsi="Arial" w:cs="Arial"/>
                <w:color w:val="0068B5"/>
                <w:sz w:val="18"/>
                <w:szCs w:val="18"/>
              </w:rPr>
              <w:t>IP</w:t>
            </w:r>
          </w:p>
        </w:tc>
        <w:tc>
          <w:tcPr>
            <w:tcW w:w="0" w:type="auto"/>
            <w:gridSpan w:val="3"/>
            <w:shd w:val="clear" w:color="auto" w:fill="auto"/>
            <w:tcMar>
              <w:top w:w="0" w:type="dxa"/>
              <w:left w:w="20" w:type="dxa"/>
              <w:bottom w:w="0" w:type="dxa"/>
              <w:right w:w="20" w:type="dxa"/>
            </w:tcMar>
          </w:tcPr>
          <w:p w14:paraId="5C7C6C3A"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3B" w14:textId="77777777" w:rsidR="0008009C" w:rsidRDefault="00936FDF">
            <w:pPr>
              <w:textAlignment w:val="top"/>
            </w:pPr>
            <w:r>
              <w:rPr>
                <w:rFonts w:ascii="Arial" w:eastAsia="宋体" w:hAnsi="Arial" w:cs="Arial"/>
                <w:color w:val="262626"/>
                <w:sz w:val="18"/>
                <w:szCs w:val="18"/>
              </w:rPr>
              <w:t>Intellectual property</w:t>
            </w:r>
          </w:p>
        </w:tc>
      </w:tr>
      <w:tr w:rsidR="0008009C" w14:paraId="5C7C6C40" w14:textId="77777777">
        <w:trPr>
          <w:hidden/>
        </w:trPr>
        <w:tc>
          <w:tcPr>
            <w:tcW w:w="0" w:type="auto"/>
            <w:gridSpan w:val="3"/>
            <w:shd w:val="clear" w:color="auto" w:fill="auto"/>
          </w:tcPr>
          <w:p w14:paraId="5C7C6C3D" w14:textId="77777777" w:rsidR="0008009C" w:rsidRDefault="0008009C">
            <w:pPr>
              <w:rPr>
                <w:rFonts w:ascii="宋体"/>
                <w:vanish/>
              </w:rPr>
            </w:pPr>
          </w:p>
        </w:tc>
        <w:tc>
          <w:tcPr>
            <w:tcW w:w="0" w:type="auto"/>
            <w:gridSpan w:val="3"/>
            <w:shd w:val="clear" w:color="auto" w:fill="auto"/>
          </w:tcPr>
          <w:p w14:paraId="5C7C6C3E" w14:textId="77777777" w:rsidR="0008009C" w:rsidRDefault="0008009C">
            <w:pPr>
              <w:rPr>
                <w:rFonts w:ascii="宋体"/>
                <w:vanish/>
              </w:rPr>
            </w:pPr>
          </w:p>
        </w:tc>
        <w:tc>
          <w:tcPr>
            <w:tcW w:w="0" w:type="auto"/>
            <w:gridSpan w:val="3"/>
            <w:shd w:val="clear" w:color="auto" w:fill="auto"/>
          </w:tcPr>
          <w:p w14:paraId="5C7C6C3F" w14:textId="77777777" w:rsidR="0008009C" w:rsidRDefault="0008009C">
            <w:pPr>
              <w:rPr>
                <w:rFonts w:ascii="宋体"/>
                <w:vanish/>
              </w:rPr>
            </w:pPr>
          </w:p>
        </w:tc>
      </w:tr>
      <w:tr w:rsidR="0008009C" w14:paraId="5C7C6C44" w14:textId="77777777">
        <w:trPr>
          <w:hidden/>
        </w:trPr>
        <w:tc>
          <w:tcPr>
            <w:tcW w:w="0" w:type="auto"/>
            <w:gridSpan w:val="3"/>
            <w:shd w:val="clear" w:color="auto" w:fill="auto"/>
          </w:tcPr>
          <w:p w14:paraId="5C7C6C41" w14:textId="77777777" w:rsidR="0008009C" w:rsidRDefault="0008009C">
            <w:pPr>
              <w:rPr>
                <w:rFonts w:ascii="宋体"/>
                <w:vanish/>
              </w:rPr>
            </w:pPr>
          </w:p>
        </w:tc>
        <w:tc>
          <w:tcPr>
            <w:tcW w:w="0" w:type="auto"/>
            <w:gridSpan w:val="3"/>
            <w:shd w:val="clear" w:color="auto" w:fill="auto"/>
          </w:tcPr>
          <w:p w14:paraId="5C7C6C42" w14:textId="77777777" w:rsidR="0008009C" w:rsidRDefault="0008009C">
            <w:pPr>
              <w:rPr>
                <w:rFonts w:ascii="宋体"/>
                <w:vanish/>
              </w:rPr>
            </w:pPr>
          </w:p>
        </w:tc>
        <w:tc>
          <w:tcPr>
            <w:tcW w:w="0" w:type="auto"/>
            <w:gridSpan w:val="3"/>
            <w:shd w:val="clear" w:color="auto" w:fill="auto"/>
          </w:tcPr>
          <w:p w14:paraId="5C7C6C43" w14:textId="77777777" w:rsidR="0008009C" w:rsidRDefault="0008009C">
            <w:pPr>
              <w:rPr>
                <w:rFonts w:ascii="宋体"/>
                <w:vanish/>
              </w:rPr>
            </w:pPr>
          </w:p>
        </w:tc>
      </w:tr>
      <w:tr w:rsidR="0008009C" w14:paraId="5C7C6C4A" w14:textId="77777777">
        <w:trPr>
          <w:hidden/>
        </w:trPr>
        <w:tc>
          <w:tcPr>
            <w:tcW w:w="0" w:type="auto"/>
            <w:gridSpan w:val="3"/>
            <w:shd w:val="clear" w:color="auto" w:fill="auto"/>
          </w:tcPr>
          <w:p w14:paraId="5C7C6C45" w14:textId="77777777" w:rsidR="0008009C" w:rsidRDefault="0008009C">
            <w:pPr>
              <w:rPr>
                <w:rFonts w:ascii="宋体"/>
                <w:vanish/>
              </w:rPr>
            </w:pPr>
          </w:p>
        </w:tc>
        <w:tc>
          <w:tcPr>
            <w:tcW w:w="0" w:type="auto"/>
            <w:gridSpan w:val="3"/>
            <w:shd w:val="clear" w:color="auto" w:fill="auto"/>
          </w:tcPr>
          <w:p w14:paraId="5C7C6C46" w14:textId="77777777" w:rsidR="0008009C" w:rsidRDefault="0008009C">
            <w:pPr>
              <w:rPr>
                <w:rFonts w:ascii="宋体"/>
                <w:vanish/>
              </w:rPr>
            </w:pPr>
          </w:p>
        </w:tc>
        <w:tc>
          <w:tcPr>
            <w:tcW w:w="0" w:type="auto"/>
            <w:shd w:val="clear" w:color="auto" w:fill="auto"/>
          </w:tcPr>
          <w:p w14:paraId="5C7C6C47" w14:textId="77777777" w:rsidR="0008009C" w:rsidRDefault="0008009C">
            <w:pPr>
              <w:rPr>
                <w:rFonts w:ascii="宋体"/>
              </w:rPr>
            </w:pPr>
          </w:p>
        </w:tc>
        <w:tc>
          <w:tcPr>
            <w:tcW w:w="0" w:type="auto"/>
            <w:shd w:val="clear" w:color="auto" w:fill="auto"/>
          </w:tcPr>
          <w:p w14:paraId="5C7C6C48" w14:textId="77777777" w:rsidR="0008009C" w:rsidRDefault="0008009C">
            <w:pPr>
              <w:rPr>
                <w:rFonts w:ascii="宋体"/>
              </w:rPr>
            </w:pPr>
          </w:p>
        </w:tc>
        <w:tc>
          <w:tcPr>
            <w:tcW w:w="0" w:type="auto"/>
            <w:shd w:val="clear" w:color="auto" w:fill="auto"/>
          </w:tcPr>
          <w:p w14:paraId="5C7C6C49" w14:textId="77777777" w:rsidR="0008009C" w:rsidRDefault="0008009C">
            <w:pPr>
              <w:rPr>
                <w:rFonts w:ascii="宋体"/>
              </w:rPr>
            </w:pPr>
          </w:p>
        </w:tc>
      </w:tr>
      <w:tr w:rsidR="0008009C" w14:paraId="5C7C6C4E" w14:textId="77777777">
        <w:trPr>
          <w:hidden/>
        </w:trPr>
        <w:tc>
          <w:tcPr>
            <w:tcW w:w="0" w:type="auto"/>
            <w:gridSpan w:val="3"/>
            <w:shd w:val="clear" w:color="auto" w:fill="auto"/>
          </w:tcPr>
          <w:p w14:paraId="5C7C6C4B" w14:textId="77777777" w:rsidR="0008009C" w:rsidRDefault="0008009C">
            <w:pPr>
              <w:rPr>
                <w:rFonts w:ascii="宋体"/>
                <w:vanish/>
              </w:rPr>
            </w:pPr>
          </w:p>
        </w:tc>
        <w:tc>
          <w:tcPr>
            <w:tcW w:w="0" w:type="auto"/>
            <w:gridSpan w:val="3"/>
            <w:shd w:val="clear" w:color="auto" w:fill="auto"/>
          </w:tcPr>
          <w:p w14:paraId="5C7C6C4C" w14:textId="77777777" w:rsidR="0008009C" w:rsidRDefault="0008009C">
            <w:pPr>
              <w:rPr>
                <w:rFonts w:ascii="宋体"/>
                <w:vanish/>
              </w:rPr>
            </w:pPr>
          </w:p>
        </w:tc>
        <w:tc>
          <w:tcPr>
            <w:tcW w:w="0" w:type="auto"/>
            <w:gridSpan w:val="3"/>
            <w:shd w:val="clear" w:color="auto" w:fill="auto"/>
          </w:tcPr>
          <w:p w14:paraId="5C7C6C4D" w14:textId="77777777" w:rsidR="0008009C" w:rsidRDefault="0008009C">
            <w:pPr>
              <w:rPr>
                <w:rFonts w:ascii="宋体"/>
                <w:vanish/>
              </w:rPr>
            </w:pPr>
          </w:p>
        </w:tc>
      </w:tr>
      <w:tr w:rsidR="0008009C" w14:paraId="5C7C6C52" w14:textId="77777777">
        <w:trPr>
          <w:hidden/>
        </w:trPr>
        <w:tc>
          <w:tcPr>
            <w:tcW w:w="0" w:type="auto"/>
            <w:gridSpan w:val="3"/>
            <w:shd w:val="clear" w:color="auto" w:fill="auto"/>
          </w:tcPr>
          <w:p w14:paraId="5C7C6C4F" w14:textId="77777777" w:rsidR="0008009C" w:rsidRDefault="0008009C">
            <w:pPr>
              <w:rPr>
                <w:rFonts w:ascii="宋体"/>
                <w:vanish/>
              </w:rPr>
            </w:pPr>
          </w:p>
        </w:tc>
        <w:tc>
          <w:tcPr>
            <w:tcW w:w="0" w:type="auto"/>
            <w:gridSpan w:val="3"/>
            <w:shd w:val="clear" w:color="auto" w:fill="auto"/>
          </w:tcPr>
          <w:p w14:paraId="5C7C6C50" w14:textId="77777777" w:rsidR="0008009C" w:rsidRDefault="0008009C">
            <w:pPr>
              <w:rPr>
                <w:rFonts w:ascii="宋体"/>
                <w:vanish/>
              </w:rPr>
            </w:pPr>
          </w:p>
        </w:tc>
        <w:tc>
          <w:tcPr>
            <w:tcW w:w="0" w:type="auto"/>
            <w:gridSpan w:val="3"/>
            <w:shd w:val="clear" w:color="auto" w:fill="auto"/>
          </w:tcPr>
          <w:p w14:paraId="5C7C6C51" w14:textId="77777777" w:rsidR="0008009C" w:rsidRDefault="0008009C">
            <w:pPr>
              <w:rPr>
                <w:rFonts w:ascii="宋体"/>
                <w:vanish/>
              </w:rPr>
            </w:pPr>
          </w:p>
        </w:tc>
      </w:tr>
      <w:tr w:rsidR="0008009C" w14:paraId="5C7C6C56" w14:textId="77777777">
        <w:trPr>
          <w:hidden/>
        </w:trPr>
        <w:tc>
          <w:tcPr>
            <w:tcW w:w="0" w:type="auto"/>
            <w:gridSpan w:val="3"/>
            <w:shd w:val="clear" w:color="auto" w:fill="auto"/>
          </w:tcPr>
          <w:p w14:paraId="5C7C6C53" w14:textId="77777777" w:rsidR="0008009C" w:rsidRDefault="0008009C">
            <w:pPr>
              <w:rPr>
                <w:rFonts w:ascii="宋体"/>
                <w:vanish/>
              </w:rPr>
            </w:pPr>
          </w:p>
        </w:tc>
        <w:tc>
          <w:tcPr>
            <w:tcW w:w="0" w:type="auto"/>
            <w:gridSpan w:val="3"/>
            <w:shd w:val="clear" w:color="auto" w:fill="auto"/>
          </w:tcPr>
          <w:p w14:paraId="5C7C6C54" w14:textId="77777777" w:rsidR="0008009C" w:rsidRDefault="0008009C">
            <w:pPr>
              <w:rPr>
                <w:rFonts w:ascii="宋体"/>
                <w:vanish/>
              </w:rPr>
            </w:pPr>
          </w:p>
        </w:tc>
        <w:tc>
          <w:tcPr>
            <w:tcW w:w="0" w:type="auto"/>
            <w:gridSpan w:val="3"/>
            <w:shd w:val="clear" w:color="auto" w:fill="auto"/>
          </w:tcPr>
          <w:p w14:paraId="5C7C6C55" w14:textId="77777777" w:rsidR="0008009C" w:rsidRDefault="0008009C">
            <w:pPr>
              <w:rPr>
                <w:rFonts w:ascii="宋体"/>
                <w:vanish/>
              </w:rPr>
            </w:pPr>
          </w:p>
        </w:tc>
      </w:tr>
      <w:tr w:rsidR="0008009C" w14:paraId="5C7C6C5A" w14:textId="77777777">
        <w:trPr>
          <w:hidden/>
        </w:trPr>
        <w:tc>
          <w:tcPr>
            <w:tcW w:w="0" w:type="auto"/>
            <w:gridSpan w:val="3"/>
            <w:shd w:val="clear" w:color="auto" w:fill="auto"/>
          </w:tcPr>
          <w:p w14:paraId="5C7C6C57" w14:textId="77777777" w:rsidR="0008009C" w:rsidRDefault="0008009C">
            <w:pPr>
              <w:rPr>
                <w:rFonts w:ascii="宋体"/>
                <w:vanish/>
              </w:rPr>
            </w:pPr>
          </w:p>
        </w:tc>
        <w:tc>
          <w:tcPr>
            <w:tcW w:w="0" w:type="auto"/>
            <w:gridSpan w:val="3"/>
            <w:shd w:val="clear" w:color="auto" w:fill="auto"/>
          </w:tcPr>
          <w:p w14:paraId="5C7C6C58" w14:textId="77777777" w:rsidR="0008009C" w:rsidRDefault="0008009C">
            <w:pPr>
              <w:rPr>
                <w:rFonts w:ascii="宋体"/>
                <w:vanish/>
              </w:rPr>
            </w:pPr>
          </w:p>
        </w:tc>
        <w:tc>
          <w:tcPr>
            <w:tcW w:w="0" w:type="auto"/>
            <w:gridSpan w:val="3"/>
            <w:shd w:val="clear" w:color="auto" w:fill="auto"/>
          </w:tcPr>
          <w:p w14:paraId="5C7C6C59" w14:textId="77777777" w:rsidR="0008009C" w:rsidRDefault="0008009C">
            <w:pPr>
              <w:rPr>
                <w:rFonts w:ascii="宋体"/>
                <w:vanish/>
              </w:rPr>
            </w:pPr>
          </w:p>
        </w:tc>
      </w:tr>
      <w:tr w:rsidR="0008009C" w14:paraId="5C7C6C5E" w14:textId="77777777">
        <w:trPr>
          <w:hidden/>
        </w:trPr>
        <w:tc>
          <w:tcPr>
            <w:tcW w:w="0" w:type="auto"/>
            <w:gridSpan w:val="3"/>
            <w:shd w:val="clear" w:color="auto" w:fill="auto"/>
          </w:tcPr>
          <w:p w14:paraId="5C7C6C5B" w14:textId="77777777" w:rsidR="0008009C" w:rsidRDefault="0008009C">
            <w:pPr>
              <w:rPr>
                <w:rFonts w:ascii="宋体"/>
                <w:vanish/>
              </w:rPr>
            </w:pPr>
          </w:p>
        </w:tc>
        <w:tc>
          <w:tcPr>
            <w:tcW w:w="0" w:type="auto"/>
            <w:gridSpan w:val="3"/>
            <w:shd w:val="clear" w:color="auto" w:fill="auto"/>
          </w:tcPr>
          <w:p w14:paraId="5C7C6C5C" w14:textId="77777777" w:rsidR="0008009C" w:rsidRDefault="0008009C">
            <w:pPr>
              <w:rPr>
                <w:rFonts w:ascii="宋体"/>
                <w:vanish/>
              </w:rPr>
            </w:pPr>
          </w:p>
        </w:tc>
        <w:tc>
          <w:tcPr>
            <w:tcW w:w="0" w:type="auto"/>
            <w:gridSpan w:val="3"/>
            <w:shd w:val="clear" w:color="auto" w:fill="auto"/>
          </w:tcPr>
          <w:p w14:paraId="5C7C6C5D" w14:textId="77777777" w:rsidR="0008009C" w:rsidRDefault="0008009C">
            <w:pPr>
              <w:rPr>
                <w:rFonts w:ascii="宋体"/>
                <w:vanish/>
              </w:rPr>
            </w:pPr>
          </w:p>
        </w:tc>
      </w:tr>
      <w:tr w:rsidR="0008009C" w14:paraId="5C7C6C62" w14:textId="77777777">
        <w:trPr>
          <w:hidden/>
        </w:trPr>
        <w:tc>
          <w:tcPr>
            <w:tcW w:w="0" w:type="auto"/>
            <w:gridSpan w:val="3"/>
            <w:shd w:val="clear" w:color="auto" w:fill="auto"/>
          </w:tcPr>
          <w:p w14:paraId="5C7C6C5F" w14:textId="77777777" w:rsidR="0008009C" w:rsidRDefault="0008009C">
            <w:pPr>
              <w:rPr>
                <w:rFonts w:ascii="宋体"/>
                <w:vanish/>
              </w:rPr>
            </w:pPr>
          </w:p>
        </w:tc>
        <w:tc>
          <w:tcPr>
            <w:tcW w:w="0" w:type="auto"/>
            <w:gridSpan w:val="3"/>
            <w:shd w:val="clear" w:color="auto" w:fill="auto"/>
          </w:tcPr>
          <w:p w14:paraId="5C7C6C60" w14:textId="77777777" w:rsidR="0008009C" w:rsidRDefault="0008009C">
            <w:pPr>
              <w:rPr>
                <w:rFonts w:ascii="宋体"/>
                <w:vanish/>
              </w:rPr>
            </w:pPr>
          </w:p>
        </w:tc>
        <w:tc>
          <w:tcPr>
            <w:tcW w:w="0" w:type="auto"/>
            <w:gridSpan w:val="3"/>
            <w:shd w:val="clear" w:color="auto" w:fill="auto"/>
          </w:tcPr>
          <w:p w14:paraId="5C7C6C61" w14:textId="77777777" w:rsidR="0008009C" w:rsidRDefault="0008009C">
            <w:pPr>
              <w:rPr>
                <w:rFonts w:ascii="宋体"/>
                <w:vanish/>
              </w:rPr>
            </w:pPr>
          </w:p>
        </w:tc>
      </w:tr>
      <w:tr w:rsidR="0008009C" w14:paraId="5C7C6C66" w14:textId="77777777">
        <w:trPr>
          <w:hidden/>
        </w:trPr>
        <w:tc>
          <w:tcPr>
            <w:tcW w:w="0" w:type="auto"/>
            <w:gridSpan w:val="3"/>
            <w:shd w:val="clear" w:color="auto" w:fill="auto"/>
          </w:tcPr>
          <w:p w14:paraId="5C7C6C63" w14:textId="77777777" w:rsidR="0008009C" w:rsidRDefault="0008009C">
            <w:pPr>
              <w:rPr>
                <w:rFonts w:ascii="宋体"/>
                <w:vanish/>
              </w:rPr>
            </w:pPr>
          </w:p>
        </w:tc>
        <w:tc>
          <w:tcPr>
            <w:tcW w:w="0" w:type="auto"/>
            <w:gridSpan w:val="3"/>
            <w:shd w:val="clear" w:color="auto" w:fill="auto"/>
          </w:tcPr>
          <w:p w14:paraId="5C7C6C64" w14:textId="77777777" w:rsidR="0008009C" w:rsidRDefault="0008009C">
            <w:pPr>
              <w:rPr>
                <w:rFonts w:ascii="宋体"/>
                <w:vanish/>
              </w:rPr>
            </w:pPr>
          </w:p>
        </w:tc>
        <w:tc>
          <w:tcPr>
            <w:tcW w:w="0" w:type="auto"/>
            <w:gridSpan w:val="3"/>
            <w:shd w:val="clear" w:color="auto" w:fill="auto"/>
          </w:tcPr>
          <w:p w14:paraId="5C7C6C65" w14:textId="77777777" w:rsidR="0008009C" w:rsidRDefault="0008009C">
            <w:pPr>
              <w:rPr>
                <w:rFonts w:ascii="宋体"/>
                <w:vanish/>
              </w:rPr>
            </w:pPr>
          </w:p>
        </w:tc>
      </w:tr>
      <w:tr w:rsidR="0008009C" w14:paraId="5C7C6C6A" w14:textId="77777777">
        <w:trPr>
          <w:hidden/>
        </w:trPr>
        <w:tc>
          <w:tcPr>
            <w:tcW w:w="0" w:type="auto"/>
            <w:gridSpan w:val="3"/>
            <w:shd w:val="clear" w:color="auto" w:fill="auto"/>
          </w:tcPr>
          <w:p w14:paraId="5C7C6C67" w14:textId="77777777" w:rsidR="0008009C" w:rsidRDefault="0008009C">
            <w:pPr>
              <w:rPr>
                <w:rFonts w:ascii="宋体"/>
                <w:vanish/>
              </w:rPr>
            </w:pPr>
          </w:p>
        </w:tc>
        <w:tc>
          <w:tcPr>
            <w:tcW w:w="0" w:type="auto"/>
            <w:gridSpan w:val="3"/>
            <w:shd w:val="clear" w:color="auto" w:fill="auto"/>
          </w:tcPr>
          <w:p w14:paraId="5C7C6C68" w14:textId="77777777" w:rsidR="0008009C" w:rsidRDefault="0008009C">
            <w:pPr>
              <w:rPr>
                <w:rFonts w:ascii="宋体"/>
                <w:vanish/>
              </w:rPr>
            </w:pPr>
          </w:p>
        </w:tc>
        <w:tc>
          <w:tcPr>
            <w:tcW w:w="0" w:type="auto"/>
            <w:gridSpan w:val="3"/>
            <w:shd w:val="clear" w:color="auto" w:fill="auto"/>
          </w:tcPr>
          <w:p w14:paraId="5C7C6C69" w14:textId="77777777" w:rsidR="0008009C" w:rsidRDefault="0008009C">
            <w:pPr>
              <w:rPr>
                <w:rFonts w:ascii="宋体"/>
                <w:vanish/>
              </w:rPr>
            </w:pPr>
          </w:p>
        </w:tc>
      </w:tr>
      <w:tr w:rsidR="0008009C" w14:paraId="5C7C6C6E" w14:textId="77777777">
        <w:tc>
          <w:tcPr>
            <w:tcW w:w="0" w:type="auto"/>
            <w:gridSpan w:val="3"/>
            <w:shd w:val="clear" w:color="auto" w:fill="auto"/>
            <w:tcMar>
              <w:top w:w="40" w:type="dxa"/>
              <w:left w:w="20" w:type="dxa"/>
              <w:bottom w:w="40" w:type="dxa"/>
              <w:right w:w="20" w:type="dxa"/>
            </w:tcMar>
          </w:tcPr>
          <w:p w14:paraId="5C7C6C6B" w14:textId="77777777" w:rsidR="0008009C" w:rsidRDefault="00936FDF">
            <w:pPr>
              <w:textAlignment w:val="top"/>
            </w:pPr>
            <w:r>
              <w:rPr>
                <w:rFonts w:ascii="Arial" w:eastAsia="宋体" w:hAnsi="Arial" w:cs="Arial"/>
                <w:color w:val="0068B5"/>
                <w:sz w:val="18"/>
                <w:szCs w:val="18"/>
              </w:rPr>
              <w:t>MD&amp;A</w:t>
            </w:r>
          </w:p>
        </w:tc>
        <w:tc>
          <w:tcPr>
            <w:tcW w:w="0" w:type="auto"/>
            <w:gridSpan w:val="3"/>
            <w:shd w:val="clear" w:color="auto" w:fill="auto"/>
            <w:tcMar>
              <w:top w:w="0" w:type="dxa"/>
              <w:left w:w="20" w:type="dxa"/>
              <w:bottom w:w="0" w:type="dxa"/>
              <w:right w:w="20" w:type="dxa"/>
            </w:tcMar>
          </w:tcPr>
          <w:p w14:paraId="5C7C6C6C"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6D" w14:textId="77777777" w:rsidR="0008009C" w:rsidRDefault="00936FDF">
            <w:pPr>
              <w:textAlignment w:val="top"/>
            </w:pPr>
            <w:r>
              <w:rPr>
                <w:rFonts w:ascii="Arial" w:eastAsia="宋体" w:hAnsi="Arial" w:cs="Arial"/>
                <w:color w:val="262626"/>
                <w:sz w:val="18"/>
                <w:szCs w:val="18"/>
              </w:rPr>
              <w:t>Management's Discussion &amp; Analysis</w:t>
            </w:r>
          </w:p>
        </w:tc>
      </w:tr>
      <w:tr w:rsidR="0008009C" w14:paraId="5C7C6C72" w14:textId="77777777">
        <w:trPr>
          <w:hidden/>
        </w:trPr>
        <w:tc>
          <w:tcPr>
            <w:tcW w:w="0" w:type="auto"/>
            <w:gridSpan w:val="3"/>
            <w:shd w:val="clear" w:color="auto" w:fill="auto"/>
          </w:tcPr>
          <w:p w14:paraId="5C7C6C6F" w14:textId="77777777" w:rsidR="0008009C" w:rsidRDefault="0008009C">
            <w:pPr>
              <w:rPr>
                <w:rFonts w:ascii="宋体"/>
                <w:vanish/>
              </w:rPr>
            </w:pPr>
          </w:p>
        </w:tc>
        <w:tc>
          <w:tcPr>
            <w:tcW w:w="0" w:type="auto"/>
            <w:gridSpan w:val="3"/>
            <w:shd w:val="clear" w:color="auto" w:fill="auto"/>
          </w:tcPr>
          <w:p w14:paraId="5C7C6C70" w14:textId="77777777" w:rsidR="0008009C" w:rsidRDefault="0008009C">
            <w:pPr>
              <w:rPr>
                <w:rFonts w:ascii="宋体"/>
                <w:vanish/>
              </w:rPr>
            </w:pPr>
          </w:p>
        </w:tc>
        <w:tc>
          <w:tcPr>
            <w:tcW w:w="0" w:type="auto"/>
            <w:gridSpan w:val="3"/>
            <w:shd w:val="clear" w:color="auto" w:fill="auto"/>
          </w:tcPr>
          <w:p w14:paraId="5C7C6C71" w14:textId="77777777" w:rsidR="0008009C" w:rsidRDefault="0008009C">
            <w:pPr>
              <w:rPr>
                <w:rFonts w:ascii="宋体"/>
                <w:vanish/>
              </w:rPr>
            </w:pPr>
          </w:p>
        </w:tc>
      </w:tr>
      <w:tr w:rsidR="0008009C" w14:paraId="5C7C6C76" w14:textId="77777777">
        <w:tc>
          <w:tcPr>
            <w:tcW w:w="0" w:type="auto"/>
            <w:gridSpan w:val="3"/>
            <w:shd w:val="clear" w:color="auto" w:fill="auto"/>
            <w:tcMar>
              <w:top w:w="40" w:type="dxa"/>
              <w:left w:w="20" w:type="dxa"/>
              <w:bottom w:w="40" w:type="dxa"/>
              <w:right w:w="20" w:type="dxa"/>
            </w:tcMar>
          </w:tcPr>
          <w:p w14:paraId="5C7C6C73" w14:textId="77777777" w:rsidR="0008009C" w:rsidRDefault="00936FDF">
            <w:pPr>
              <w:textAlignment w:val="top"/>
            </w:pPr>
            <w:r>
              <w:rPr>
                <w:rFonts w:ascii="Arial" w:eastAsia="宋体" w:hAnsi="Arial" w:cs="Arial"/>
                <w:color w:val="0068B5"/>
                <w:sz w:val="18"/>
                <w:szCs w:val="18"/>
              </w:rPr>
              <w:t>MG&amp;A</w:t>
            </w:r>
          </w:p>
        </w:tc>
        <w:tc>
          <w:tcPr>
            <w:tcW w:w="0" w:type="auto"/>
            <w:gridSpan w:val="3"/>
            <w:shd w:val="clear" w:color="auto" w:fill="auto"/>
            <w:tcMar>
              <w:top w:w="0" w:type="dxa"/>
              <w:left w:w="20" w:type="dxa"/>
              <w:bottom w:w="0" w:type="dxa"/>
              <w:right w:w="20" w:type="dxa"/>
            </w:tcMar>
          </w:tcPr>
          <w:p w14:paraId="5C7C6C74"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75" w14:textId="77777777" w:rsidR="0008009C" w:rsidRDefault="00936FDF">
            <w:pPr>
              <w:textAlignment w:val="top"/>
            </w:pPr>
            <w:r>
              <w:rPr>
                <w:rFonts w:ascii="Arial" w:eastAsia="宋体" w:hAnsi="Arial" w:cs="Arial"/>
                <w:color w:val="262626"/>
                <w:sz w:val="18"/>
                <w:szCs w:val="18"/>
              </w:rPr>
              <w:t>Marketing, general and administrative</w:t>
            </w:r>
          </w:p>
        </w:tc>
      </w:tr>
      <w:tr w:rsidR="0008009C" w14:paraId="5C7C6C7A" w14:textId="77777777">
        <w:trPr>
          <w:hidden/>
        </w:trPr>
        <w:tc>
          <w:tcPr>
            <w:tcW w:w="0" w:type="auto"/>
            <w:gridSpan w:val="3"/>
            <w:shd w:val="clear" w:color="auto" w:fill="auto"/>
          </w:tcPr>
          <w:p w14:paraId="5C7C6C77" w14:textId="77777777" w:rsidR="0008009C" w:rsidRDefault="0008009C">
            <w:pPr>
              <w:rPr>
                <w:rFonts w:ascii="宋体"/>
                <w:vanish/>
              </w:rPr>
            </w:pPr>
          </w:p>
        </w:tc>
        <w:tc>
          <w:tcPr>
            <w:tcW w:w="0" w:type="auto"/>
            <w:gridSpan w:val="3"/>
            <w:shd w:val="clear" w:color="auto" w:fill="auto"/>
          </w:tcPr>
          <w:p w14:paraId="5C7C6C78" w14:textId="77777777" w:rsidR="0008009C" w:rsidRDefault="0008009C">
            <w:pPr>
              <w:rPr>
                <w:rFonts w:ascii="宋体"/>
                <w:vanish/>
              </w:rPr>
            </w:pPr>
          </w:p>
        </w:tc>
        <w:tc>
          <w:tcPr>
            <w:tcW w:w="0" w:type="auto"/>
            <w:gridSpan w:val="3"/>
            <w:shd w:val="clear" w:color="auto" w:fill="auto"/>
          </w:tcPr>
          <w:p w14:paraId="5C7C6C79" w14:textId="77777777" w:rsidR="0008009C" w:rsidRDefault="0008009C">
            <w:pPr>
              <w:rPr>
                <w:rFonts w:ascii="宋体"/>
                <w:vanish/>
              </w:rPr>
            </w:pPr>
          </w:p>
        </w:tc>
      </w:tr>
      <w:tr w:rsidR="0008009C" w14:paraId="5C7C6C7E" w14:textId="77777777">
        <w:trPr>
          <w:hidden/>
        </w:trPr>
        <w:tc>
          <w:tcPr>
            <w:tcW w:w="0" w:type="auto"/>
            <w:gridSpan w:val="3"/>
            <w:shd w:val="clear" w:color="auto" w:fill="auto"/>
          </w:tcPr>
          <w:p w14:paraId="5C7C6C7B" w14:textId="77777777" w:rsidR="0008009C" w:rsidRDefault="0008009C">
            <w:pPr>
              <w:rPr>
                <w:rFonts w:ascii="宋体"/>
                <w:vanish/>
              </w:rPr>
            </w:pPr>
          </w:p>
        </w:tc>
        <w:tc>
          <w:tcPr>
            <w:tcW w:w="0" w:type="auto"/>
            <w:gridSpan w:val="3"/>
            <w:shd w:val="clear" w:color="auto" w:fill="auto"/>
          </w:tcPr>
          <w:p w14:paraId="5C7C6C7C" w14:textId="77777777" w:rsidR="0008009C" w:rsidRDefault="0008009C">
            <w:pPr>
              <w:rPr>
                <w:rFonts w:ascii="宋体"/>
                <w:vanish/>
              </w:rPr>
            </w:pPr>
          </w:p>
        </w:tc>
        <w:tc>
          <w:tcPr>
            <w:tcW w:w="0" w:type="auto"/>
            <w:gridSpan w:val="3"/>
            <w:shd w:val="clear" w:color="auto" w:fill="auto"/>
          </w:tcPr>
          <w:p w14:paraId="5C7C6C7D" w14:textId="77777777" w:rsidR="0008009C" w:rsidRDefault="0008009C">
            <w:pPr>
              <w:rPr>
                <w:rFonts w:ascii="宋体"/>
                <w:vanish/>
              </w:rPr>
            </w:pPr>
          </w:p>
        </w:tc>
      </w:tr>
      <w:tr w:rsidR="0008009C" w14:paraId="5C7C6C82" w14:textId="77777777">
        <w:tc>
          <w:tcPr>
            <w:tcW w:w="0" w:type="auto"/>
            <w:gridSpan w:val="3"/>
            <w:shd w:val="clear" w:color="auto" w:fill="auto"/>
            <w:tcMar>
              <w:top w:w="40" w:type="dxa"/>
              <w:left w:w="20" w:type="dxa"/>
              <w:bottom w:w="40" w:type="dxa"/>
              <w:right w:w="20" w:type="dxa"/>
            </w:tcMar>
          </w:tcPr>
          <w:p w14:paraId="5C7C6C7F" w14:textId="77777777" w:rsidR="0008009C" w:rsidRDefault="00936FDF">
            <w:pPr>
              <w:textAlignment w:val="top"/>
            </w:pPr>
            <w:r>
              <w:rPr>
                <w:rFonts w:ascii="Arial" w:eastAsia="宋体" w:hAnsi="Arial" w:cs="Arial"/>
                <w:color w:val="0068B5"/>
                <w:sz w:val="18"/>
                <w:szCs w:val="18"/>
              </w:rPr>
              <w:t>NAND</w:t>
            </w:r>
          </w:p>
        </w:tc>
        <w:tc>
          <w:tcPr>
            <w:tcW w:w="0" w:type="auto"/>
            <w:gridSpan w:val="3"/>
            <w:shd w:val="clear" w:color="auto" w:fill="auto"/>
            <w:tcMar>
              <w:top w:w="0" w:type="dxa"/>
              <w:left w:w="20" w:type="dxa"/>
              <w:bottom w:w="0" w:type="dxa"/>
              <w:right w:w="20" w:type="dxa"/>
            </w:tcMar>
          </w:tcPr>
          <w:p w14:paraId="5C7C6C80"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81" w14:textId="77777777" w:rsidR="0008009C" w:rsidRDefault="00936FDF">
            <w:pPr>
              <w:textAlignment w:val="top"/>
            </w:pPr>
            <w:r>
              <w:rPr>
                <w:rFonts w:ascii="Arial" w:eastAsia="宋体" w:hAnsi="Arial" w:cs="Arial"/>
                <w:color w:val="262626"/>
                <w:sz w:val="18"/>
                <w:szCs w:val="18"/>
              </w:rPr>
              <w:t>NAND flash memory</w:t>
            </w:r>
          </w:p>
        </w:tc>
      </w:tr>
      <w:tr w:rsidR="0008009C" w14:paraId="5C7C6C86" w14:textId="77777777">
        <w:tc>
          <w:tcPr>
            <w:tcW w:w="0" w:type="auto"/>
            <w:gridSpan w:val="3"/>
            <w:shd w:val="clear" w:color="auto" w:fill="auto"/>
            <w:tcMar>
              <w:top w:w="40" w:type="dxa"/>
              <w:left w:w="20" w:type="dxa"/>
              <w:bottom w:w="40" w:type="dxa"/>
              <w:right w:w="20" w:type="dxa"/>
            </w:tcMar>
          </w:tcPr>
          <w:p w14:paraId="5C7C6C83" w14:textId="77777777" w:rsidR="0008009C" w:rsidRDefault="00936FDF">
            <w:pPr>
              <w:textAlignment w:val="top"/>
            </w:pPr>
            <w:r>
              <w:rPr>
                <w:rFonts w:ascii="Arial" w:eastAsia="宋体" w:hAnsi="Arial" w:cs="Arial"/>
                <w:color w:val="0068B5"/>
                <w:sz w:val="18"/>
                <w:szCs w:val="18"/>
              </w:rPr>
              <w:t>nm</w:t>
            </w:r>
          </w:p>
        </w:tc>
        <w:tc>
          <w:tcPr>
            <w:tcW w:w="0" w:type="auto"/>
            <w:gridSpan w:val="3"/>
            <w:shd w:val="clear" w:color="auto" w:fill="auto"/>
            <w:tcMar>
              <w:top w:w="0" w:type="dxa"/>
              <w:left w:w="20" w:type="dxa"/>
              <w:bottom w:w="0" w:type="dxa"/>
              <w:right w:w="20" w:type="dxa"/>
            </w:tcMar>
          </w:tcPr>
          <w:p w14:paraId="5C7C6C84"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85" w14:textId="77777777" w:rsidR="0008009C" w:rsidRDefault="00936FDF">
            <w:pPr>
              <w:textAlignment w:val="top"/>
            </w:pPr>
            <w:r>
              <w:rPr>
                <w:rFonts w:ascii="Arial" w:eastAsia="宋体" w:hAnsi="Arial" w:cs="Arial"/>
                <w:color w:val="262626"/>
                <w:sz w:val="18"/>
                <w:szCs w:val="18"/>
              </w:rPr>
              <w:t>Nanometer</w:t>
            </w:r>
          </w:p>
        </w:tc>
      </w:tr>
      <w:tr w:rsidR="0008009C" w14:paraId="5C7C6C8A" w14:textId="77777777">
        <w:tc>
          <w:tcPr>
            <w:tcW w:w="0" w:type="auto"/>
            <w:gridSpan w:val="3"/>
            <w:shd w:val="clear" w:color="auto" w:fill="auto"/>
            <w:tcMar>
              <w:top w:w="40" w:type="dxa"/>
              <w:left w:w="20" w:type="dxa"/>
              <w:bottom w:w="40" w:type="dxa"/>
              <w:right w:w="20" w:type="dxa"/>
            </w:tcMar>
          </w:tcPr>
          <w:p w14:paraId="5C7C6C87" w14:textId="77777777" w:rsidR="0008009C" w:rsidRDefault="00936FDF">
            <w:pPr>
              <w:textAlignment w:val="top"/>
            </w:pPr>
            <w:r>
              <w:rPr>
                <w:rFonts w:ascii="Arial" w:eastAsia="宋体" w:hAnsi="Arial" w:cs="Arial"/>
                <w:color w:val="0068B5"/>
                <w:sz w:val="18"/>
                <w:szCs w:val="18"/>
              </w:rPr>
              <w:t>NSG</w:t>
            </w:r>
          </w:p>
        </w:tc>
        <w:tc>
          <w:tcPr>
            <w:tcW w:w="0" w:type="auto"/>
            <w:gridSpan w:val="3"/>
            <w:shd w:val="clear" w:color="auto" w:fill="auto"/>
            <w:tcMar>
              <w:top w:w="0" w:type="dxa"/>
              <w:left w:w="20" w:type="dxa"/>
              <w:bottom w:w="0" w:type="dxa"/>
              <w:right w:w="20" w:type="dxa"/>
            </w:tcMar>
          </w:tcPr>
          <w:p w14:paraId="5C7C6C88"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89" w14:textId="77777777" w:rsidR="0008009C" w:rsidRDefault="00936FDF">
            <w:pPr>
              <w:textAlignment w:val="top"/>
            </w:pPr>
            <w:r>
              <w:rPr>
                <w:rFonts w:ascii="Arial" w:eastAsia="宋体" w:hAnsi="Arial" w:cs="Arial"/>
                <w:color w:val="262626"/>
                <w:sz w:val="18"/>
                <w:szCs w:val="18"/>
              </w:rPr>
              <w:t xml:space="preserve">Non-Volatile Memory </w:t>
            </w:r>
            <w:r>
              <w:rPr>
                <w:rFonts w:ascii="Arial" w:eastAsia="宋体" w:hAnsi="Arial" w:cs="Arial"/>
                <w:color w:val="262626"/>
                <w:sz w:val="18"/>
                <w:szCs w:val="18"/>
              </w:rPr>
              <w:t>Solutions Group operating segment</w:t>
            </w:r>
          </w:p>
        </w:tc>
      </w:tr>
      <w:tr w:rsidR="0008009C" w14:paraId="5C7C6C8E" w14:textId="77777777">
        <w:trPr>
          <w:hidden/>
        </w:trPr>
        <w:tc>
          <w:tcPr>
            <w:tcW w:w="0" w:type="auto"/>
            <w:gridSpan w:val="3"/>
            <w:shd w:val="clear" w:color="auto" w:fill="auto"/>
          </w:tcPr>
          <w:p w14:paraId="5C7C6C8B" w14:textId="77777777" w:rsidR="0008009C" w:rsidRDefault="0008009C">
            <w:pPr>
              <w:rPr>
                <w:rFonts w:ascii="宋体"/>
                <w:vanish/>
              </w:rPr>
            </w:pPr>
          </w:p>
        </w:tc>
        <w:tc>
          <w:tcPr>
            <w:tcW w:w="0" w:type="auto"/>
            <w:gridSpan w:val="3"/>
            <w:shd w:val="clear" w:color="auto" w:fill="auto"/>
          </w:tcPr>
          <w:p w14:paraId="5C7C6C8C" w14:textId="77777777" w:rsidR="0008009C" w:rsidRDefault="0008009C">
            <w:pPr>
              <w:rPr>
                <w:rFonts w:ascii="宋体"/>
                <w:vanish/>
              </w:rPr>
            </w:pPr>
          </w:p>
        </w:tc>
        <w:tc>
          <w:tcPr>
            <w:tcW w:w="0" w:type="auto"/>
            <w:gridSpan w:val="3"/>
            <w:shd w:val="clear" w:color="auto" w:fill="auto"/>
          </w:tcPr>
          <w:p w14:paraId="5C7C6C8D" w14:textId="77777777" w:rsidR="0008009C" w:rsidRDefault="0008009C">
            <w:pPr>
              <w:rPr>
                <w:rFonts w:ascii="宋体"/>
                <w:vanish/>
              </w:rPr>
            </w:pPr>
          </w:p>
        </w:tc>
      </w:tr>
      <w:tr w:rsidR="0008009C" w14:paraId="5C7C6C92" w14:textId="77777777">
        <w:trPr>
          <w:hidden/>
        </w:trPr>
        <w:tc>
          <w:tcPr>
            <w:tcW w:w="0" w:type="auto"/>
            <w:gridSpan w:val="3"/>
            <w:shd w:val="clear" w:color="auto" w:fill="auto"/>
          </w:tcPr>
          <w:p w14:paraId="5C7C6C8F" w14:textId="77777777" w:rsidR="0008009C" w:rsidRDefault="0008009C">
            <w:pPr>
              <w:rPr>
                <w:rFonts w:ascii="宋体"/>
                <w:vanish/>
              </w:rPr>
            </w:pPr>
          </w:p>
        </w:tc>
        <w:tc>
          <w:tcPr>
            <w:tcW w:w="0" w:type="auto"/>
            <w:gridSpan w:val="3"/>
            <w:shd w:val="clear" w:color="auto" w:fill="auto"/>
          </w:tcPr>
          <w:p w14:paraId="5C7C6C90" w14:textId="77777777" w:rsidR="0008009C" w:rsidRDefault="0008009C">
            <w:pPr>
              <w:rPr>
                <w:rFonts w:ascii="宋体"/>
                <w:vanish/>
              </w:rPr>
            </w:pPr>
          </w:p>
        </w:tc>
        <w:tc>
          <w:tcPr>
            <w:tcW w:w="0" w:type="auto"/>
            <w:gridSpan w:val="3"/>
            <w:shd w:val="clear" w:color="auto" w:fill="auto"/>
          </w:tcPr>
          <w:p w14:paraId="5C7C6C91" w14:textId="77777777" w:rsidR="0008009C" w:rsidRDefault="0008009C">
            <w:pPr>
              <w:rPr>
                <w:rFonts w:ascii="宋体"/>
                <w:vanish/>
              </w:rPr>
            </w:pPr>
          </w:p>
        </w:tc>
      </w:tr>
      <w:tr w:rsidR="0008009C" w14:paraId="5C7C6C96" w14:textId="77777777">
        <w:tc>
          <w:tcPr>
            <w:tcW w:w="0" w:type="auto"/>
            <w:gridSpan w:val="3"/>
            <w:shd w:val="clear" w:color="auto" w:fill="auto"/>
            <w:tcMar>
              <w:top w:w="40" w:type="dxa"/>
              <w:left w:w="20" w:type="dxa"/>
              <w:bottom w:w="40" w:type="dxa"/>
              <w:right w:w="20" w:type="dxa"/>
            </w:tcMar>
          </w:tcPr>
          <w:p w14:paraId="5C7C6C93" w14:textId="77777777" w:rsidR="0008009C" w:rsidRDefault="00936FDF">
            <w:pPr>
              <w:textAlignment w:val="top"/>
            </w:pPr>
            <w:r>
              <w:rPr>
                <w:rFonts w:ascii="Arial" w:eastAsia="宋体" w:hAnsi="Arial" w:cs="Arial"/>
                <w:color w:val="0068B5"/>
                <w:sz w:val="18"/>
                <w:szCs w:val="18"/>
              </w:rPr>
              <w:t>OEM</w:t>
            </w:r>
          </w:p>
        </w:tc>
        <w:tc>
          <w:tcPr>
            <w:tcW w:w="0" w:type="auto"/>
            <w:gridSpan w:val="3"/>
            <w:shd w:val="clear" w:color="auto" w:fill="auto"/>
            <w:tcMar>
              <w:top w:w="0" w:type="dxa"/>
              <w:left w:w="20" w:type="dxa"/>
              <w:bottom w:w="0" w:type="dxa"/>
              <w:right w:w="20" w:type="dxa"/>
            </w:tcMar>
          </w:tcPr>
          <w:p w14:paraId="5C7C6C94"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95" w14:textId="77777777" w:rsidR="0008009C" w:rsidRDefault="00936FDF">
            <w:pPr>
              <w:textAlignment w:val="top"/>
            </w:pPr>
            <w:r>
              <w:rPr>
                <w:rFonts w:ascii="Arial" w:eastAsia="宋体" w:hAnsi="Arial" w:cs="Arial"/>
                <w:color w:val="262626"/>
                <w:sz w:val="18"/>
                <w:szCs w:val="18"/>
              </w:rPr>
              <w:t>Original equipment manufacturer</w:t>
            </w:r>
          </w:p>
        </w:tc>
      </w:tr>
      <w:tr w:rsidR="0008009C" w14:paraId="5C7C6C9A" w14:textId="77777777">
        <w:trPr>
          <w:hidden/>
        </w:trPr>
        <w:tc>
          <w:tcPr>
            <w:tcW w:w="0" w:type="auto"/>
            <w:gridSpan w:val="3"/>
            <w:shd w:val="clear" w:color="auto" w:fill="auto"/>
          </w:tcPr>
          <w:p w14:paraId="5C7C6C97" w14:textId="77777777" w:rsidR="0008009C" w:rsidRDefault="0008009C">
            <w:pPr>
              <w:rPr>
                <w:rFonts w:ascii="宋体"/>
                <w:vanish/>
              </w:rPr>
            </w:pPr>
          </w:p>
        </w:tc>
        <w:tc>
          <w:tcPr>
            <w:tcW w:w="0" w:type="auto"/>
            <w:gridSpan w:val="3"/>
            <w:shd w:val="clear" w:color="auto" w:fill="auto"/>
          </w:tcPr>
          <w:p w14:paraId="5C7C6C98" w14:textId="77777777" w:rsidR="0008009C" w:rsidRDefault="0008009C">
            <w:pPr>
              <w:rPr>
                <w:rFonts w:ascii="宋体"/>
                <w:vanish/>
              </w:rPr>
            </w:pPr>
          </w:p>
        </w:tc>
        <w:tc>
          <w:tcPr>
            <w:tcW w:w="0" w:type="auto"/>
            <w:gridSpan w:val="3"/>
            <w:shd w:val="clear" w:color="auto" w:fill="auto"/>
          </w:tcPr>
          <w:p w14:paraId="5C7C6C99" w14:textId="77777777" w:rsidR="0008009C" w:rsidRDefault="0008009C">
            <w:pPr>
              <w:rPr>
                <w:rFonts w:ascii="宋体"/>
                <w:vanish/>
              </w:rPr>
            </w:pPr>
          </w:p>
        </w:tc>
      </w:tr>
      <w:tr w:rsidR="0008009C" w14:paraId="5C7C6C9E" w14:textId="77777777">
        <w:trPr>
          <w:hidden/>
        </w:trPr>
        <w:tc>
          <w:tcPr>
            <w:tcW w:w="0" w:type="auto"/>
            <w:gridSpan w:val="3"/>
            <w:shd w:val="clear" w:color="auto" w:fill="auto"/>
          </w:tcPr>
          <w:p w14:paraId="5C7C6C9B" w14:textId="77777777" w:rsidR="0008009C" w:rsidRDefault="0008009C">
            <w:pPr>
              <w:rPr>
                <w:rFonts w:ascii="宋体"/>
                <w:vanish/>
              </w:rPr>
            </w:pPr>
          </w:p>
        </w:tc>
        <w:tc>
          <w:tcPr>
            <w:tcW w:w="0" w:type="auto"/>
            <w:gridSpan w:val="3"/>
            <w:shd w:val="clear" w:color="auto" w:fill="auto"/>
          </w:tcPr>
          <w:p w14:paraId="5C7C6C9C" w14:textId="77777777" w:rsidR="0008009C" w:rsidRDefault="0008009C">
            <w:pPr>
              <w:rPr>
                <w:rFonts w:ascii="宋体"/>
                <w:vanish/>
              </w:rPr>
            </w:pPr>
          </w:p>
        </w:tc>
        <w:tc>
          <w:tcPr>
            <w:tcW w:w="0" w:type="auto"/>
            <w:gridSpan w:val="3"/>
            <w:shd w:val="clear" w:color="auto" w:fill="auto"/>
          </w:tcPr>
          <w:p w14:paraId="5C7C6C9D" w14:textId="77777777" w:rsidR="0008009C" w:rsidRDefault="0008009C">
            <w:pPr>
              <w:rPr>
                <w:rFonts w:ascii="宋体"/>
                <w:vanish/>
              </w:rPr>
            </w:pPr>
          </w:p>
        </w:tc>
      </w:tr>
      <w:tr w:rsidR="0008009C" w14:paraId="5C7C6CA2" w14:textId="77777777">
        <w:trPr>
          <w:hidden/>
        </w:trPr>
        <w:tc>
          <w:tcPr>
            <w:tcW w:w="0" w:type="auto"/>
            <w:gridSpan w:val="3"/>
            <w:shd w:val="clear" w:color="auto" w:fill="auto"/>
          </w:tcPr>
          <w:p w14:paraId="5C7C6C9F" w14:textId="77777777" w:rsidR="0008009C" w:rsidRDefault="0008009C">
            <w:pPr>
              <w:rPr>
                <w:rFonts w:ascii="宋体"/>
                <w:vanish/>
              </w:rPr>
            </w:pPr>
          </w:p>
        </w:tc>
        <w:tc>
          <w:tcPr>
            <w:tcW w:w="0" w:type="auto"/>
            <w:gridSpan w:val="3"/>
            <w:shd w:val="clear" w:color="auto" w:fill="auto"/>
          </w:tcPr>
          <w:p w14:paraId="5C7C6CA0" w14:textId="77777777" w:rsidR="0008009C" w:rsidRDefault="0008009C">
            <w:pPr>
              <w:rPr>
                <w:rFonts w:ascii="宋体"/>
                <w:vanish/>
              </w:rPr>
            </w:pPr>
          </w:p>
        </w:tc>
        <w:tc>
          <w:tcPr>
            <w:tcW w:w="0" w:type="auto"/>
            <w:gridSpan w:val="3"/>
            <w:shd w:val="clear" w:color="auto" w:fill="auto"/>
          </w:tcPr>
          <w:p w14:paraId="5C7C6CA1" w14:textId="77777777" w:rsidR="0008009C" w:rsidRDefault="0008009C">
            <w:pPr>
              <w:rPr>
                <w:rFonts w:ascii="宋体"/>
                <w:vanish/>
              </w:rPr>
            </w:pPr>
          </w:p>
        </w:tc>
      </w:tr>
      <w:tr w:rsidR="0008009C" w14:paraId="5C7C6CA6" w14:textId="77777777">
        <w:trPr>
          <w:hidden/>
        </w:trPr>
        <w:tc>
          <w:tcPr>
            <w:tcW w:w="0" w:type="auto"/>
            <w:gridSpan w:val="3"/>
            <w:shd w:val="clear" w:color="auto" w:fill="auto"/>
          </w:tcPr>
          <w:p w14:paraId="5C7C6CA3" w14:textId="77777777" w:rsidR="0008009C" w:rsidRDefault="0008009C">
            <w:pPr>
              <w:rPr>
                <w:rFonts w:ascii="宋体"/>
                <w:vanish/>
              </w:rPr>
            </w:pPr>
          </w:p>
        </w:tc>
        <w:tc>
          <w:tcPr>
            <w:tcW w:w="0" w:type="auto"/>
            <w:gridSpan w:val="3"/>
            <w:shd w:val="clear" w:color="auto" w:fill="auto"/>
          </w:tcPr>
          <w:p w14:paraId="5C7C6CA4" w14:textId="77777777" w:rsidR="0008009C" w:rsidRDefault="0008009C">
            <w:pPr>
              <w:rPr>
                <w:rFonts w:ascii="宋体"/>
                <w:vanish/>
              </w:rPr>
            </w:pPr>
          </w:p>
        </w:tc>
        <w:tc>
          <w:tcPr>
            <w:tcW w:w="0" w:type="auto"/>
            <w:gridSpan w:val="3"/>
            <w:shd w:val="clear" w:color="auto" w:fill="auto"/>
          </w:tcPr>
          <w:p w14:paraId="5C7C6CA5" w14:textId="77777777" w:rsidR="0008009C" w:rsidRDefault="0008009C">
            <w:pPr>
              <w:rPr>
                <w:rFonts w:ascii="宋体"/>
                <w:vanish/>
              </w:rPr>
            </w:pPr>
          </w:p>
        </w:tc>
      </w:tr>
      <w:tr w:rsidR="0008009C" w14:paraId="5C7C6CAA" w14:textId="77777777">
        <w:trPr>
          <w:hidden/>
        </w:trPr>
        <w:tc>
          <w:tcPr>
            <w:tcW w:w="0" w:type="auto"/>
            <w:gridSpan w:val="3"/>
            <w:shd w:val="clear" w:color="auto" w:fill="auto"/>
          </w:tcPr>
          <w:p w14:paraId="5C7C6CA7" w14:textId="77777777" w:rsidR="0008009C" w:rsidRDefault="0008009C">
            <w:pPr>
              <w:rPr>
                <w:rFonts w:ascii="宋体"/>
                <w:vanish/>
              </w:rPr>
            </w:pPr>
          </w:p>
        </w:tc>
        <w:tc>
          <w:tcPr>
            <w:tcW w:w="0" w:type="auto"/>
            <w:gridSpan w:val="3"/>
            <w:shd w:val="clear" w:color="auto" w:fill="auto"/>
          </w:tcPr>
          <w:p w14:paraId="5C7C6CA8" w14:textId="77777777" w:rsidR="0008009C" w:rsidRDefault="0008009C">
            <w:pPr>
              <w:rPr>
                <w:rFonts w:ascii="宋体"/>
                <w:vanish/>
              </w:rPr>
            </w:pPr>
          </w:p>
        </w:tc>
        <w:tc>
          <w:tcPr>
            <w:tcW w:w="0" w:type="auto"/>
            <w:gridSpan w:val="3"/>
            <w:shd w:val="clear" w:color="auto" w:fill="auto"/>
          </w:tcPr>
          <w:p w14:paraId="5C7C6CA9" w14:textId="77777777" w:rsidR="0008009C" w:rsidRDefault="0008009C">
            <w:pPr>
              <w:rPr>
                <w:rFonts w:ascii="宋体"/>
                <w:vanish/>
              </w:rPr>
            </w:pPr>
          </w:p>
        </w:tc>
      </w:tr>
      <w:tr w:rsidR="0008009C" w14:paraId="5C7C6CAE" w14:textId="77777777">
        <w:tc>
          <w:tcPr>
            <w:tcW w:w="0" w:type="auto"/>
            <w:gridSpan w:val="3"/>
            <w:shd w:val="clear" w:color="auto" w:fill="auto"/>
            <w:tcMar>
              <w:top w:w="40" w:type="dxa"/>
              <w:left w:w="20" w:type="dxa"/>
              <w:bottom w:w="40" w:type="dxa"/>
              <w:right w:w="20" w:type="dxa"/>
            </w:tcMar>
          </w:tcPr>
          <w:p w14:paraId="5C7C6CAB" w14:textId="77777777" w:rsidR="0008009C" w:rsidRDefault="00936FDF">
            <w:pPr>
              <w:textAlignment w:val="top"/>
            </w:pPr>
            <w:r>
              <w:rPr>
                <w:rFonts w:ascii="Arial" w:eastAsia="宋体" w:hAnsi="Arial" w:cs="Arial"/>
                <w:color w:val="0068B5"/>
                <w:sz w:val="18"/>
                <w:szCs w:val="18"/>
              </w:rPr>
              <w:t>Platform products</w:t>
            </w:r>
          </w:p>
        </w:tc>
        <w:tc>
          <w:tcPr>
            <w:tcW w:w="0" w:type="auto"/>
            <w:gridSpan w:val="3"/>
            <w:shd w:val="clear" w:color="auto" w:fill="auto"/>
            <w:tcMar>
              <w:top w:w="0" w:type="dxa"/>
              <w:left w:w="20" w:type="dxa"/>
              <w:bottom w:w="0" w:type="dxa"/>
              <w:right w:w="20" w:type="dxa"/>
            </w:tcMar>
          </w:tcPr>
          <w:p w14:paraId="5C7C6CAC"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AD" w14:textId="77777777" w:rsidR="0008009C" w:rsidRDefault="00936FDF">
            <w:pPr>
              <w:textAlignment w:val="top"/>
            </w:pPr>
            <w:r>
              <w:rPr>
                <w:rFonts w:ascii="Arial" w:eastAsia="宋体" w:hAnsi="Arial" w:cs="Arial"/>
                <w:color w:val="262626"/>
                <w:sz w:val="18"/>
                <w:szCs w:val="18"/>
              </w:rPr>
              <w:t xml:space="preserve">A microprocessor (CPU) and chipset, a stand-alone SoC, or a multichip package, based on Intel architecture. Platform products are </w:t>
            </w:r>
            <w:r>
              <w:rPr>
                <w:rFonts w:ascii="Arial" w:eastAsia="宋体" w:hAnsi="Arial" w:cs="Arial"/>
                <w:color w:val="262626"/>
                <w:sz w:val="18"/>
                <w:szCs w:val="18"/>
              </w:rPr>
              <w:t>primarily used in solutions sold through the CCG, DCG, and IOTG segments</w:t>
            </w:r>
          </w:p>
        </w:tc>
      </w:tr>
      <w:tr w:rsidR="0008009C" w14:paraId="5C7C6CB2" w14:textId="77777777">
        <w:trPr>
          <w:hidden/>
        </w:trPr>
        <w:tc>
          <w:tcPr>
            <w:tcW w:w="0" w:type="auto"/>
            <w:gridSpan w:val="3"/>
            <w:shd w:val="clear" w:color="auto" w:fill="auto"/>
          </w:tcPr>
          <w:p w14:paraId="5C7C6CAF" w14:textId="77777777" w:rsidR="0008009C" w:rsidRDefault="0008009C">
            <w:pPr>
              <w:rPr>
                <w:rFonts w:ascii="宋体"/>
                <w:vanish/>
              </w:rPr>
            </w:pPr>
          </w:p>
        </w:tc>
        <w:tc>
          <w:tcPr>
            <w:tcW w:w="0" w:type="auto"/>
            <w:gridSpan w:val="3"/>
            <w:shd w:val="clear" w:color="auto" w:fill="auto"/>
          </w:tcPr>
          <w:p w14:paraId="5C7C6CB0" w14:textId="77777777" w:rsidR="0008009C" w:rsidRDefault="0008009C">
            <w:pPr>
              <w:rPr>
                <w:rFonts w:ascii="宋体"/>
                <w:vanish/>
              </w:rPr>
            </w:pPr>
          </w:p>
        </w:tc>
        <w:tc>
          <w:tcPr>
            <w:tcW w:w="0" w:type="auto"/>
            <w:gridSpan w:val="3"/>
            <w:shd w:val="clear" w:color="auto" w:fill="auto"/>
          </w:tcPr>
          <w:p w14:paraId="5C7C6CB1" w14:textId="77777777" w:rsidR="0008009C" w:rsidRDefault="0008009C">
            <w:pPr>
              <w:rPr>
                <w:rFonts w:ascii="宋体"/>
                <w:vanish/>
              </w:rPr>
            </w:pPr>
          </w:p>
        </w:tc>
      </w:tr>
      <w:tr w:rsidR="0008009C" w14:paraId="5C7C6CB6" w14:textId="77777777">
        <w:trPr>
          <w:hidden/>
        </w:trPr>
        <w:tc>
          <w:tcPr>
            <w:tcW w:w="0" w:type="auto"/>
            <w:gridSpan w:val="3"/>
            <w:shd w:val="clear" w:color="auto" w:fill="auto"/>
          </w:tcPr>
          <w:p w14:paraId="5C7C6CB3" w14:textId="77777777" w:rsidR="0008009C" w:rsidRDefault="0008009C">
            <w:pPr>
              <w:rPr>
                <w:rFonts w:ascii="宋体"/>
                <w:vanish/>
              </w:rPr>
            </w:pPr>
          </w:p>
        </w:tc>
        <w:tc>
          <w:tcPr>
            <w:tcW w:w="0" w:type="auto"/>
            <w:gridSpan w:val="3"/>
            <w:shd w:val="clear" w:color="auto" w:fill="auto"/>
          </w:tcPr>
          <w:p w14:paraId="5C7C6CB4" w14:textId="77777777" w:rsidR="0008009C" w:rsidRDefault="0008009C">
            <w:pPr>
              <w:rPr>
                <w:rFonts w:ascii="宋体"/>
                <w:vanish/>
              </w:rPr>
            </w:pPr>
          </w:p>
        </w:tc>
        <w:tc>
          <w:tcPr>
            <w:tcW w:w="0" w:type="auto"/>
            <w:gridSpan w:val="3"/>
            <w:shd w:val="clear" w:color="auto" w:fill="auto"/>
          </w:tcPr>
          <w:p w14:paraId="5C7C6CB5" w14:textId="77777777" w:rsidR="0008009C" w:rsidRDefault="0008009C">
            <w:pPr>
              <w:rPr>
                <w:rFonts w:ascii="宋体"/>
                <w:vanish/>
              </w:rPr>
            </w:pPr>
          </w:p>
        </w:tc>
      </w:tr>
      <w:tr w:rsidR="0008009C" w14:paraId="5C7C6CBA" w14:textId="77777777">
        <w:trPr>
          <w:hidden/>
        </w:trPr>
        <w:tc>
          <w:tcPr>
            <w:tcW w:w="0" w:type="auto"/>
            <w:gridSpan w:val="3"/>
            <w:shd w:val="clear" w:color="auto" w:fill="auto"/>
          </w:tcPr>
          <w:p w14:paraId="5C7C6CB7" w14:textId="77777777" w:rsidR="0008009C" w:rsidRDefault="0008009C">
            <w:pPr>
              <w:rPr>
                <w:rFonts w:ascii="宋体"/>
                <w:vanish/>
              </w:rPr>
            </w:pPr>
          </w:p>
        </w:tc>
        <w:tc>
          <w:tcPr>
            <w:tcW w:w="0" w:type="auto"/>
            <w:gridSpan w:val="3"/>
            <w:shd w:val="clear" w:color="auto" w:fill="auto"/>
          </w:tcPr>
          <w:p w14:paraId="5C7C6CB8" w14:textId="77777777" w:rsidR="0008009C" w:rsidRDefault="0008009C">
            <w:pPr>
              <w:rPr>
                <w:rFonts w:ascii="宋体"/>
                <w:vanish/>
              </w:rPr>
            </w:pPr>
          </w:p>
        </w:tc>
        <w:tc>
          <w:tcPr>
            <w:tcW w:w="0" w:type="auto"/>
            <w:gridSpan w:val="3"/>
            <w:shd w:val="clear" w:color="auto" w:fill="auto"/>
          </w:tcPr>
          <w:p w14:paraId="5C7C6CB9" w14:textId="77777777" w:rsidR="0008009C" w:rsidRDefault="0008009C">
            <w:pPr>
              <w:rPr>
                <w:rFonts w:ascii="宋体"/>
                <w:vanish/>
              </w:rPr>
            </w:pPr>
          </w:p>
        </w:tc>
      </w:tr>
      <w:tr w:rsidR="0008009C" w14:paraId="5C7C6CBE" w14:textId="77777777">
        <w:tc>
          <w:tcPr>
            <w:tcW w:w="0" w:type="auto"/>
            <w:gridSpan w:val="3"/>
            <w:shd w:val="clear" w:color="auto" w:fill="auto"/>
            <w:tcMar>
              <w:top w:w="40" w:type="dxa"/>
              <w:left w:w="20" w:type="dxa"/>
              <w:bottom w:w="40" w:type="dxa"/>
              <w:right w:w="20" w:type="dxa"/>
            </w:tcMar>
          </w:tcPr>
          <w:p w14:paraId="5C7C6CBB" w14:textId="77777777" w:rsidR="0008009C" w:rsidRDefault="00936FDF">
            <w:pPr>
              <w:textAlignment w:val="top"/>
            </w:pPr>
            <w:r>
              <w:rPr>
                <w:rFonts w:ascii="Arial" w:eastAsia="宋体" w:hAnsi="Arial" w:cs="Arial"/>
                <w:color w:val="0068B5"/>
                <w:sz w:val="18"/>
                <w:szCs w:val="18"/>
              </w:rPr>
              <w:t>PSG</w:t>
            </w:r>
          </w:p>
        </w:tc>
        <w:tc>
          <w:tcPr>
            <w:tcW w:w="0" w:type="auto"/>
            <w:gridSpan w:val="3"/>
            <w:shd w:val="clear" w:color="auto" w:fill="auto"/>
            <w:tcMar>
              <w:top w:w="0" w:type="dxa"/>
              <w:left w:w="20" w:type="dxa"/>
              <w:bottom w:w="0" w:type="dxa"/>
              <w:right w:w="20" w:type="dxa"/>
            </w:tcMar>
          </w:tcPr>
          <w:p w14:paraId="5C7C6CBC"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BD" w14:textId="77777777" w:rsidR="0008009C" w:rsidRDefault="00936FDF">
            <w:pPr>
              <w:textAlignment w:val="top"/>
            </w:pPr>
            <w:r>
              <w:rPr>
                <w:rFonts w:ascii="Arial" w:eastAsia="宋体" w:hAnsi="Arial" w:cs="Arial"/>
                <w:color w:val="262626"/>
                <w:sz w:val="18"/>
                <w:szCs w:val="18"/>
              </w:rPr>
              <w:t>Programmable Solutions Group operating segment</w:t>
            </w:r>
          </w:p>
        </w:tc>
      </w:tr>
      <w:tr w:rsidR="0008009C" w14:paraId="5C7C6CC2" w14:textId="77777777">
        <w:trPr>
          <w:hidden/>
        </w:trPr>
        <w:tc>
          <w:tcPr>
            <w:tcW w:w="0" w:type="auto"/>
            <w:gridSpan w:val="3"/>
            <w:shd w:val="clear" w:color="auto" w:fill="auto"/>
          </w:tcPr>
          <w:p w14:paraId="5C7C6CBF" w14:textId="77777777" w:rsidR="0008009C" w:rsidRDefault="0008009C">
            <w:pPr>
              <w:rPr>
                <w:rFonts w:ascii="宋体"/>
                <w:vanish/>
              </w:rPr>
            </w:pPr>
          </w:p>
        </w:tc>
        <w:tc>
          <w:tcPr>
            <w:tcW w:w="0" w:type="auto"/>
            <w:gridSpan w:val="3"/>
            <w:shd w:val="clear" w:color="auto" w:fill="auto"/>
          </w:tcPr>
          <w:p w14:paraId="5C7C6CC0" w14:textId="77777777" w:rsidR="0008009C" w:rsidRDefault="0008009C">
            <w:pPr>
              <w:rPr>
                <w:rFonts w:ascii="宋体"/>
                <w:vanish/>
              </w:rPr>
            </w:pPr>
          </w:p>
        </w:tc>
        <w:tc>
          <w:tcPr>
            <w:tcW w:w="0" w:type="auto"/>
            <w:gridSpan w:val="3"/>
            <w:shd w:val="clear" w:color="auto" w:fill="auto"/>
          </w:tcPr>
          <w:p w14:paraId="5C7C6CC1" w14:textId="77777777" w:rsidR="0008009C" w:rsidRDefault="0008009C">
            <w:pPr>
              <w:rPr>
                <w:rFonts w:ascii="宋体"/>
                <w:vanish/>
              </w:rPr>
            </w:pPr>
          </w:p>
        </w:tc>
      </w:tr>
      <w:tr w:rsidR="0008009C" w14:paraId="5C7C6CC6" w14:textId="77777777">
        <w:trPr>
          <w:hidden/>
        </w:trPr>
        <w:tc>
          <w:tcPr>
            <w:tcW w:w="0" w:type="auto"/>
            <w:gridSpan w:val="3"/>
            <w:shd w:val="clear" w:color="auto" w:fill="auto"/>
          </w:tcPr>
          <w:p w14:paraId="5C7C6CC3" w14:textId="77777777" w:rsidR="0008009C" w:rsidRDefault="0008009C">
            <w:pPr>
              <w:rPr>
                <w:rFonts w:ascii="宋体"/>
                <w:vanish/>
              </w:rPr>
            </w:pPr>
          </w:p>
        </w:tc>
        <w:tc>
          <w:tcPr>
            <w:tcW w:w="0" w:type="auto"/>
            <w:gridSpan w:val="3"/>
            <w:shd w:val="clear" w:color="auto" w:fill="auto"/>
          </w:tcPr>
          <w:p w14:paraId="5C7C6CC4" w14:textId="77777777" w:rsidR="0008009C" w:rsidRDefault="0008009C">
            <w:pPr>
              <w:rPr>
                <w:rFonts w:ascii="宋体"/>
                <w:vanish/>
              </w:rPr>
            </w:pPr>
          </w:p>
        </w:tc>
        <w:tc>
          <w:tcPr>
            <w:tcW w:w="0" w:type="auto"/>
            <w:gridSpan w:val="3"/>
            <w:shd w:val="clear" w:color="auto" w:fill="auto"/>
          </w:tcPr>
          <w:p w14:paraId="5C7C6CC5" w14:textId="77777777" w:rsidR="0008009C" w:rsidRDefault="0008009C">
            <w:pPr>
              <w:rPr>
                <w:rFonts w:ascii="宋体"/>
                <w:vanish/>
              </w:rPr>
            </w:pPr>
          </w:p>
        </w:tc>
      </w:tr>
      <w:tr w:rsidR="0008009C" w14:paraId="5C7C6CCA" w14:textId="77777777">
        <w:tc>
          <w:tcPr>
            <w:tcW w:w="0" w:type="auto"/>
            <w:gridSpan w:val="3"/>
            <w:shd w:val="clear" w:color="auto" w:fill="auto"/>
            <w:tcMar>
              <w:top w:w="40" w:type="dxa"/>
              <w:left w:w="20" w:type="dxa"/>
              <w:bottom w:w="40" w:type="dxa"/>
              <w:right w:w="20" w:type="dxa"/>
            </w:tcMar>
          </w:tcPr>
          <w:p w14:paraId="5C7C6CC7" w14:textId="77777777" w:rsidR="0008009C" w:rsidRDefault="00936FDF">
            <w:pPr>
              <w:textAlignment w:val="top"/>
            </w:pPr>
            <w:r>
              <w:rPr>
                <w:rFonts w:ascii="Arial" w:eastAsia="宋体" w:hAnsi="Arial" w:cs="Arial"/>
                <w:color w:val="0068B5"/>
                <w:sz w:val="18"/>
                <w:szCs w:val="18"/>
              </w:rPr>
              <w:t>R&amp;D</w:t>
            </w:r>
          </w:p>
        </w:tc>
        <w:tc>
          <w:tcPr>
            <w:tcW w:w="0" w:type="auto"/>
            <w:gridSpan w:val="3"/>
            <w:shd w:val="clear" w:color="auto" w:fill="auto"/>
            <w:tcMar>
              <w:top w:w="0" w:type="dxa"/>
              <w:left w:w="20" w:type="dxa"/>
              <w:bottom w:w="0" w:type="dxa"/>
              <w:right w:w="20" w:type="dxa"/>
            </w:tcMar>
          </w:tcPr>
          <w:p w14:paraId="5C7C6CC8"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C9" w14:textId="77777777" w:rsidR="0008009C" w:rsidRDefault="00936FDF">
            <w:pPr>
              <w:textAlignment w:val="top"/>
            </w:pPr>
            <w:r>
              <w:rPr>
                <w:rFonts w:ascii="Arial" w:eastAsia="宋体" w:hAnsi="Arial" w:cs="Arial"/>
                <w:color w:val="262626"/>
                <w:sz w:val="18"/>
                <w:szCs w:val="18"/>
              </w:rPr>
              <w:t>Research and development</w:t>
            </w:r>
          </w:p>
        </w:tc>
      </w:tr>
      <w:tr w:rsidR="0008009C" w14:paraId="5C7C6CCE" w14:textId="77777777">
        <w:trPr>
          <w:hidden/>
        </w:trPr>
        <w:tc>
          <w:tcPr>
            <w:tcW w:w="0" w:type="auto"/>
            <w:gridSpan w:val="3"/>
            <w:shd w:val="clear" w:color="auto" w:fill="auto"/>
          </w:tcPr>
          <w:p w14:paraId="5C7C6CCB" w14:textId="77777777" w:rsidR="0008009C" w:rsidRDefault="0008009C">
            <w:pPr>
              <w:rPr>
                <w:rFonts w:ascii="宋体"/>
                <w:vanish/>
              </w:rPr>
            </w:pPr>
          </w:p>
        </w:tc>
        <w:tc>
          <w:tcPr>
            <w:tcW w:w="0" w:type="auto"/>
            <w:gridSpan w:val="3"/>
            <w:shd w:val="clear" w:color="auto" w:fill="auto"/>
          </w:tcPr>
          <w:p w14:paraId="5C7C6CCC" w14:textId="77777777" w:rsidR="0008009C" w:rsidRDefault="0008009C">
            <w:pPr>
              <w:rPr>
                <w:rFonts w:ascii="宋体"/>
                <w:vanish/>
              </w:rPr>
            </w:pPr>
          </w:p>
        </w:tc>
        <w:tc>
          <w:tcPr>
            <w:tcW w:w="0" w:type="auto"/>
            <w:gridSpan w:val="3"/>
            <w:shd w:val="clear" w:color="auto" w:fill="auto"/>
          </w:tcPr>
          <w:p w14:paraId="5C7C6CCD" w14:textId="77777777" w:rsidR="0008009C" w:rsidRDefault="0008009C">
            <w:pPr>
              <w:rPr>
                <w:rFonts w:ascii="宋体"/>
                <w:vanish/>
              </w:rPr>
            </w:pPr>
          </w:p>
        </w:tc>
      </w:tr>
      <w:tr w:rsidR="0008009C" w14:paraId="5C7C6CD2" w14:textId="77777777">
        <w:trPr>
          <w:hidden/>
        </w:trPr>
        <w:tc>
          <w:tcPr>
            <w:tcW w:w="0" w:type="auto"/>
            <w:gridSpan w:val="3"/>
            <w:shd w:val="clear" w:color="auto" w:fill="auto"/>
          </w:tcPr>
          <w:p w14:paraId="5C7C6CCF" w14:textId="77777777" w:rsidR="0008009C" w:rsidRDefault="0008009C">
            <w:pPr>
              <w:rPr>
                <w:rFonts w:ascii="宋体"/>
                <w:vanish/>
              </w:rPr>
            </w:pPr>
          </w:p>
        </w:tc>
        <w:tc>
          <w:tcPr>
            <w:tcW w:w="0" w:type="auto"/>
            <w:gridSpan w:val="3"/>
            <w:shd w:val="clear" w:color="auto" w:fill="auto"/>
          </w:tcPr>
          <w:p w14:paraId="5C7C6CD0" w14:textId="77777777" w:rsidR="0008009C" w:rsidRDefault="0008009C">
            <w:pPr>
              <w:rPr>
                <w:rFonts w:ascii="宋体"/>
                <w:vanish/>
              </w:rPr>
            </w:pPr>
          </w:p>
        </w:tc>
        <w:tc>
          <w:tcPr>
            <w:tcW w:w="0" w:type="auto"/>
            <w:gridSpan w:val="3"/>
            <w:shd w:val="clear" w:color="auto" w:fill="auto"/>
          </w:tcPr>
          <w:p w14:paraId="5C7C6CD1" w14:textId="77777777" w:rsidR="0008009C" w:rsidRDefault="0008009C">
            <w:pPr>
              <w:rPr>
                <w:rFonts w:ascii="宋体"/>
                <w:vanish/>
              </w:rPr>
            </w:pPr>
          </w:p>
        </w:tc>
      </w:tr>
      <w:tr w:rsidR="0008009C" w14:paraId="5C7C6CD6" w14:textId="77777777">
        <w:trPr>
          <w:hidden/>
        </w:trPr>
        <w:tc>
          <w:tcPr>
            <w:tcW w:w="0" w:type="auto"/>
            <w:gridSpan w:val="3"/>
            <w:shd w:val="clear" w:color="auto" w:fill="auto"/>
          </w:tcPr>
          <w:p w14:paraId="5C7C6CD3" w14:textId="77777777" w:rsidR="0008009C" w:rsidRDefault="0008009C">
            <w:pPr>
              <w:rPr>
                <w:rFonts w:ascii="宋体"/>
                <w:vanish/>
              </w:rPr>
            </w:pPr>
          </w:p>
        </w:tc>
        <w:tc>
          <w:tcPr>
            <w:tcW w:w="0" w:type="auto"/>
            <w:gridSpan w:val="3"/>
            <w:shd w:val="clear" w:color="auto" w:fill="auto"/>
          </w:tcPr>
          <w:p w14:paraId="5C7C6CD4" w14:textId="77777777" w:rsidR="0008009C" w:rsidRDefault="0008009C">
            <w:pPr>
              <w:rPr>
                <w:rFonts w:ascii="宋体"/>
                <w:vanish/>
              </w:rPr>
            </w:pPr>
          </w:p>
        </w:tc>
        <w:tc>
          <w:tcPr>
            <w:tcW w:w="0" w:type="auto"/>
            <w:gridSpan w:val="3"/>
            <w:shd w:val="clear" w:color="auto" w:fill="auto"/>
          </w:tcPr>
          <w:p w14:paraId="5C7C6CD5" w14:textId="77777777" w:rsidR="0008009C" w:rsidRDefault="0008009C">
            <w:pPr>
              <w:rPr>
                <w:rFonts w:ascii="宋体"/>
                <w:vanish/>
              </w:rPr>
            </w:pPr>
          </w:p>
        </w:tc>
      </w:tr>
      <w:tr w:rsidR="0008009C" w14:paraId="5C7C6CDA" w14:textId="77777777">
        <w:tc>
          <w:tcPr>
            <w:tcW w:w="0" w:type="auto"/>
            <w:gridSpan w:val="3"/>
            <w:shd w:val="clear" w:color="auto" w:fill="auto"/>
            <w:tcMar>
              <w:top w:w="40" w:type="dxa"/>
              <w:left w:w="20" w:type="dxa"/>
              <w:bottom w:w="40" w:type="dxa"/>
              <w:right w:w="20" w:type="dxa"/>
            </w:tcMar>
          </w:tcPr>
          <w:p w14:paraId="5C7C6CD7" w14:textId="77777777" w:rsidR="0008009C" w:rsidRDefault="00936FDF">
            <w:pPr>
              <w:textAlignment w:val="top"/>
            </w:pPr>
            <w:r>
              <w:rPr>
                <w:rFonts w:ascii="Arial" w:eastAsia="宋体" w:hAnsi="Arial" w:cs="Arial"/>
                <w:color w:val="0068B5"/>
                <w:sz w:val="18"/>
                <w:szCs w:val="18"/>
              </w:rPr>
              <w:t xml:space="preserve">RSU </w:t>
            </w:r>
          </w:p>
        </w:tc>
        <w:tc>
          <w:tcPr>
            <w:tcW w:w="0" w:type="auto"/>
            <w:gridSpan w:val="3"/>
            <w:shd w:val="clear" w:color="auto" w:fill="auto"/>
            <w:tcMar>
              <w:top w:w="0" w:type="dxa"/>
              <w:left w:w="20" w:type="dxa"/>
              <w:bottom w:w="0" w:type="dxa"/>
              <w:right w:w="20" w:type="dxa"/>
            </w:tcMar>
          </w:tcPr>
          <w:p w14:paraId="5C7C6CD8"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D9" w14:textId="77777777" w:rsidR="0008009C" w:rsidRDefault="00936FDF">
            <w:pPr>
              <w:textAlignment w:val="top"/>
            </w:pPr>
            <w:r>
              <w:rPr>
                <w:rFonts w:ascii="Arial" w:eastAsia="宋体" w:hAnsi="Arial" w:cs="Arial"/>
                <w:color w:val="262626"/>
                <w:sz w:val="18"/>
                <w:szCs w:val="18"/>
              </w:rPr>
              <w:t>Restricted stock unit</w:t>
            </w:r>
          </w:p>
        </w:tc>
      </w:tr>
      <w:tr w:rsidR="0008009C" w14:paraId="5C7C6CDE" w14:textId="77777777">
        <w:trPr>
          <w:hidden/>
        </w:trPr>
        <w:tc>
          <w:tcPr>
            <w:tcW w:w="0" w:type="auto"/>
            <w:gridSpan w:val="3"/>
            <w:shd w:val="clear" w:color="auto" w:fill="auto"/>
          </w:tcPr>
          <w:p w14:paraId="5C7C6CDB" w14:textId="77777777" w:rsidR="0008009C" w:rsidRDefault="0008009C">
            <w:pPr>
              <w:rPr>
                <w:rFonts w:ascii="宋体"/>
                <w:vanish/>
              </w:rPr>
            </w:pPr>
          </w:p>
        </w:tc>
        <w:tc>
          <w:tcPr>
            <w:tcW w:w="0" w:type="auto"/>
            <w:gridSpan w:val="3"/>
            <w:shd w:val="clear" w:color="auto" w:fill="auto"/>
          </w:tcPr>
          <w:p w14:paraId="5C7C6CDC" w14:textId="77777777" w:rsidR="0008009C" w:rsidRDefault="0008009C">
            <w:pPr>
              <w:rPr>
                <w:rFonts w:ascii="宋体"/>
                <w:vanish/>
              </w:rPr>
            </w:pPr>
          </w:p>
        </w:tc>
        <w:tc>
          <w:tcPr>
            <w:tcW w:w="0" w:type="auto"/>
            <w:gridSpan w:val="3"/>
            <w:shd w:val="clear" w:color="auto" w:fill="auto"/>
          </w:tcPr>
          <w:p w14:paraId="5C7C6CDD" w14:textId="77777777" w:rsidR="0008009C" w:rsidRDefault="0008009C">
            <w:pPr>
              <w:rPr>
                <w:rFonts w:ascii="宋体"/>
                <w:vanish/>
              </w:rPr>
            </w:pPr>
          </w:p>
        </w:tc>
      </w:tr>
      <w:tr w:rsidR="0008009C" w14:paraId="5C7C6CE2" w14:textId="77777777">
        <w:trPr>
          <w:hidden/>
        </w:trPr>
        <w:tc>
          <w:tcPr>
            <w:tcW w:w="0" w:type="auto"/>
            <w:gridSpan w:val="3"/>
            <w:shd w:val="clear" w:color="auto" w:fill="auto"/>
          </w:tcPr>
          <w:p w14:paraId="5C7C6CDF" w14:textId="77777777" w:rsidR="0008009C" w:rsidRDefault="0008009C">
            <w:pPr>
              <w:rPr>
                <w:rFonts w:ascii="宋体"/>
                <w:vanish/>
              </w:rPr>
            </w:pPr>
          </w:p>
        </w:tc>
        <w:tc>
          <w:tcPr>
            <w:tcW w:w="0" w:type="auto"/>
            <w:gridSpan w:val="3"/>
            <w:shd w:val="clear" w:color="auto" w:fill="auto"/>
          </w:tcPr>
          <w:p w14:paraId="5C7C6CE0" w14:textId="77777777" w:rsidR="0008009C" w:rsidRDefault="0008009C">
            <w:pPr>
              <w:rPr>
                <w:rFonts w:ascii="宋体"/>
                <w:vanish/>
              </w:rPr>
            </w:pPr>
          </w:p>
        </w:tc>
        <w:tc>
          <w:tcPr>
            <w:tcW w:w="0" w:type="auto"/>
            <w:gridSpan w:val="3"/>
            <w:shd w:val="clear" w:color="auto" w:fill="auto"/>
          </w:tcPr>
          <w:p w14:paraId="5C7C6CE1" w14:textId="77777777" w:rsidR="0008009C" w:rsidRDefault="0008009C">
            <w:pPr>
              <w:rPr>
                <w:rFonts w:ascii="宋体"/>
                <w:vanish/>
              </w:rPr>
            </w:pPr>
          </w:p>
        </w:tc>
      </w:tr>
      <w:tr w:rsidR="0008009C" w14:paraId="5C7C6CE6" w14:textId="77777777">
        <w:trPr>
          <w:hidden/>
        </w:trPr>
        <w:tc>
          <w:tcPr>
            <w:tcW w:w="0" w:type="auto"/>
            <w:gridSpan w:val="3"/>
            <w:shd w:val="clear" w:color="auto" w:fill="auto"/>
          </w:tcPr>
          <w:p w14:paraId="5C7C6CE3" w14:textId="77777777" w:rsidR="0008009C" w:rsidRDefault="0008009C">
            <w:pPr>
              <w:rPr>
                <w:rFonts w:ascii="宋体"/>
                <w:vanish/>
              </w:rPr>
            </w:pPr>
          </w:p>
        </w:tc>
        <w:tc>
          <w:tcPr>
            <w:tcW w:w="0" w:type="auto"/>
            <w:gridSpan w:val="3"/>
            <w:shd w:val="clear" w:color="auto" w:fill="auto"/>
          </w:tcPr>
          <w:p w14:paraId="5C7C6CE4" w14:textId="77777777" w:rsidR="0008009C" w:rsidRDefault="0008009C">
            <w:pPr>
              <w:rPr>
                <w:rFonts w:ascii="宋体"/>
                <w:vanish/>
              </w:rPr>
            </w:pPr>
          </w:p>
        </w:tc>
        <w:tc>
          <w:tcPr>
            <w:tcW w:w="0" w:type="auto"/>
            <w:gridSpan w:val="3"/>
            <w:shd w:val="clear" w:color="auto" w:fill="auto"/>
          </w:tcPr>
          <w:p w14:paraId="5C7C6CE5" w14:textId="77777777" w:rsidR="0008009C" w:rsidRDefault="0008009C">
            <w:pPr>
              <w:rPr>
                <w:rFonts w:ascii="宋体"/>
                <w:vanish/>
              </w:rPr>
            </w:pPr>
          </w:p>
        </w:tc>
      </w:tr>
      <w:tr w:rsidR="0008009C" w14:paraId="5C7C6CEA" w14:textId="77777777">
        <w:trPr>
          <w:hidden/>
        </w:trPr>
        <w:tc>
          <w:tcPr>
            <w:tcW w:w="0" w:type="auto"/>
            <w:gridSpan w:val="3"/>
            <w:shd w:val="clear" w:color="auto" w:fill="auto"/>
          </w:tcPr>
          <w:p w14:paraId="5C7C6CE7" w14:textId="77777777" w:rsidR="0008009C" w:rsidRDefault="0008009C">
            <w:pPr>
              <w:rPr>
                <w:rFonts w:ascii="宋体"/>
                <w:vanish/>
              </w:rPr>
            </w:pPr>
          </w:p>
        </w:tc>
        <w:tc>
          <w:tcPr>
            <w:tcW w:w="0" w:type="auto"/>
            <w:gridSpan w:val="3"/>
            <w:shd w:val="clear" w:color="auto" w:fill="auto"/>
          </w:tcPr>
          <w:p w14:paraId="5C7C6CE8" w14:textId="77777777" w:rsidR="0008009C" w:rsidRDefault="0008009C">
            <w:pPr>
              <w:rPr>
                <w:rFonts w:ascii="宋体"/>
                <w:vanish/>
              </w:rPr>
            </w:pPr>
          </w:p>
        </w:tc>
        <w:tc>
          <w:tcPr>
            <w:tcW w:w="0" w:type="auto"/>
            <w:gridSpan w:val="3"/>
            <w:shd w:val="clear" w:color="auto" w:fill="auto"/>
          </w:tcPr>
          <w:p w14:paraId="5C7C6CE9" w14:textId="77777777" w:rsidR="0008009C" w:rsidRDefault="0008009C">
            <w:pPr>
              <w:rPr>
                <w:rFonts w:ascii="宋体"/>
                <w:vanish/>
              </w:rPr>
            </w:pPr>
          </w:p>
        </w:tc>
      </w:tr>
      <w:tr w:rsidR="0008009C" w14:paraId="5C7C6CEE" w14:textId="77777777">
        <w:tc>
          <w:tcPr>
            <w:tcW w:w="0" w:type="auto"/>
            <w:gridSpan w:val="3"/>
            <w:shd w:val="clear" w:color="auto" w:fill="auto"/>
            <w:tcMar>
              <w:top w:w="40" w:type="dxa"/>
              <w:left w:w="20" w:type="dxa"/>
              <w:bottom w:w="40" w:type="dxa"/>
              <w:right w:w="20" w:type="dxa"/>
            </w:tcMar>
          </w:tcPr>
          <w:p w14:paraId="5C7C6CEB" w14:textId="77777777" w:rsidR="0008009C" w:rsidRDefault="00936FDF">
            <w:pPr>
              <w:textAlignment w:val="top"/>
            </w:pPr>
            <w:r>
              <w:rPr>
                <w:rFonts w:ascii="Arial" w:eastAsia="宋体" w:hAnsi="Arial" w:cs="Arial"/>
                <w:color w:val="0068B5"/>
                <w:sz w:val="18"/>
                <w:szCs w:val="18"/>
              </w:rPr>
              <w:t>SEC</w:t>
            </w:r>
          </w:p>
        </w:tc>
        <w:tc>
          <w:tcPr>
            <w:tcW w:w="0" w:type="auto"/>
            <w:gridSpan w:val="3"/>
            <w:shd w:val="clear" w:color="auto" w:fill="auto"/>
            <w:tcMar>
              <w:top w:w="0" w:type="dxa"/>
              <w:left w:w="20" w:type="dxa"/>
              <w:bottom w:w="0" w:type="dxa"/>
              <w:right w:w="20" w:type="dxa"/>
            </w:tcMar>
          </w:tcPr>
          <w:p w14:paraId="5C7C6CEC"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ED" w14:textId="77777777" w:rsidR="0008009C" w:rsidRDefault="00936FDF">
            <w:pPr>
              <w:textAlignment w:val="top"/>
            </w:pPr>
            <w:r>
              <w:rPr>
                <w:rFonts w:ascii="Arial" w:eastAsia="宋体" w:hAnsi="Arial" w:cs="Arial"/>
                <w:color w:val="262626"/>
                <w:sz w:val="18"/>
                <w:szCs w:val="18"/>
              </w:rPr>
              <w:t xml:space="preserve">U.S. </w:t>
            </w:r>
            <w:r>
              <w:rPr>
                <w:rFonts w:ascii="Arial" w:eastAsia="宋体" w:hAnsi="Arial" w:cs="Arial"/>
                <w:color w:val="262626"/>
                <w:sz w:val="18"/>
                <w:szCs w:val="18"/>
              </w:rPr>
              <w:t>Securities and Exchange Commission</w:t>
            </w:r>
          </w:p>
        </w:tc>
      </w:tr>
      <w:tr w:rsidR="0008009C" w14:paraId="5C7C6CF2" w14:textId="77777777">
        <w:trPr>
          <w:hidden/>
        </w:trPr>
        <w:tc>
          <w:tcPr>
            <w:tcW w:w="0" w:type="auto"/>
            <w:gridSpan w:val="3"/>
            <w:shd w:val="clear" w:color="auto" w:fill="auto"/>
          </w:tcPr>
          <w:p w14:paraId="5C7C6CEF" w14:textId="77777777" w:rsidR="0008009C" w:rsidRDefault="0008009C">
            <w:pPr>
              <w:rPr>
                <w:rFonts w:ascii="宋体"/>
                <w:vanish/>
              </w:rPr>
            </w:pPr>
          </w:p>
        </w:tc>
        <w:tc>
          <w:tcPr>
            <w:tcW w:w="0" w:type="auto"/>
            <w:gridSpan w:val="3"/>
            <w:shd w:val="clear" w:color="auto" w:fill="auto"/>
          </w:tcPr>
          <w:p w14:paraId="5C7C6CF0" w14:textId="77777777" w:rsidR="0008009C" w:rsidRDefault="0008009C">
            <w:pPr>
              <w:rPr>
                <w:rFonts w:ascii="宋体"/>
                <w:vanish/>
              </w:rPr>
            </w:pPr>
          </w:p>
        </w:tc>
        <w:tc>
          <w:tcPr>
            <w:tcW w:w="0" w:type="auto"/>
            <w:gridSpan w:val="3"/>
            <w:shd w:val="clear" w:color="auto" w:fill="auto"/>
          </w:tcPr>
          <w:p w14:paraId="5C7C6CF1" w14:textId="77777777" w:rsidR="0008009C" w:rsidRDefault="0008009C">
            <w:pPr>
              <w:rPr>
                <w:rFonts w:ascii="宋体"/>
                <w:vanish/>
              </w:rPr>
            </w:pPr>
          </w:p>
        </w:tc>
      </w:tr>
      <w:tr w:rsidR="0008009C" w14:paraId="5C7C6CF6" w14:textId="77777777">
        <w:tc>
          <w:tcPr>
            <w:tcW w:w="0" w:type="auto"/>
            <w:gridSpan w:val="3"/>
            <w:shd w:val="clear" w:color="auto" w:fill="auto"/>
            <w:tcMar>
              <w:top w:w="40" w:type="dxa"/>
              <w:left w:w="20" w:type="dxa"/>
              <w:bottom w:w="40" w:type="dxa"/>
              <w:right w:w="20" w:type="dxa"/>
            </w:tcMar>
          </w:tcPr>
          <w:p w14:paraId="5C7C6CF3" w14:textId="77777777" w:rsidR="0008009C" w:rsidRDefault="00936FDF">
            <w:pPr>
              <w:textAlignment w:val="top"/>
            </w:pPr>
            <w:r>
              <w:rPr>
                <w:rFonts w:ascii="Arial" w:eastAsia="宋体" w:hAnsi="Arial" w:cs="Arial"/>
                <w:color w:val="0068B5"/>
                <w:sz w:val="18"/>
                <w:szCs w:val="18"/>
              </w:rPr>
              <w:t>SoC</w:t>
            </w:r>
          </w:p>
        </w:tc>
        <w:tc>
          <w:tcPr>
            <w:tcW w:w="0" w:type="auto"/>
            <w:gridSpan w:val="3"/>
            <w:shd w:val="clear" w:color="auto" w:fill="auto"/>
            <w:tcMar>
              <w:top w:w="0" w:type="dxa"/>
              <w:left w:w="20" w:type="dxa"/>
              <w:bottom w:w="0" w:type="dxa"/>
              <w:right w:w="20" w:type="dxa"/>
            </w:tcMar>
          </w:tcPr>
          <w:p w14:paraId="5C7C6CF4"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CF5" w14:textId="77777777" w:rsidR="0008009C" w:rsidRDefault="00936FDF">
            <w:pPr>
              <w:textAlignment w:val="top"/>
            </w:pPr>
            <w:r>
              <w:rPr>
                <w:rFonts w:ascii="Arial" w:eastAsia="宋体" w:hAnsi="Arial" w:cs="Arial"/>
                <w:color w:val="262626"/>
                <w:sz w:val="18"/>
                <w:szCs w:val="18"/>
              </w:rPr>
              <w:t xml:space="preserve">A System-on-a-Chip, which integrates most of the components of a computer or other electronic system into a single silicon chip. We offer a range of SoC platform products in DCG, IOTG, and CCG. In our DCG </w:t>
            </w:r>
            <w:r>
              <w:rPr>
                <w:rFonts w:ascii="Arial" w:eastAsia="宋体" w:hAnsi="Arial" w:cs="Arial"/>
                <w:color w:val="262626"/>
                <w:sz w:val="18"/>
                <w:szCs w:val="18"/>
              </w:rPr>
              <w:t>business, we offer SoCs across many market segments for a variety of applications, including products targeted for 5G base stations and network infrastructure</w:t>
            </w:r>
          </w:p>
        </w:tc>
      </w:tr>
      <w:tr w:rsidR="0008009C" w14:paraId="5C7C6CFA" w14:textId="77777777">
        <w:trPr>
          <w:hidden/>
        </w:trPr>
        <w:tc>
          <w:tcPr>
            <w:tcW w:w="0" w:type="auto"/>
            <w:gridSpan w:val="3"/>
            <w:shd w:val="clear" w:color="auto" w:fill="auto"/>
          </w:tcPr>
          <w:p w14:paraId="5C7C6CF7" w14:textId="77777777" w:rsidR="0008009C" w:rsidRDefault="0008009C">
            <w:pPr>
              <w:rPr>
                <w:rFonts w:ascii="宋体"/>
                <w:vanish/>
              </w:rPr>
            </w:pPr>
          </w:p>
        </w:tc>
        <w:tc>
          <w:tcPr>
            <w:tcW w:w="0" w:type="auto"/>
            <w:gridSpan w:val="3"/>
            <w:shd w:val="clear" w:color="auto" w:fill="auto"/>
          </w:tcPr>
          <w:p w14:paraId="5C7C6CF8" w14:textId="77777777" w:rsidR="0008009C" w:rsidRDefault="0008009C">
            <w:pPr>
              <w:rPr>
                <w:rFonts w:ascii="宋体"/>
                <w:vanish/>
              </w:rPr>
            </w:pPr>
          </w:p>
        </w:tc>
        <w:tc>
          <w:tcPr>
            <w:tcW w:w="0" w:type="auto"/>
            <w:gridSpan w:val="3"/>
            <w:shd w:val="clear" w:color="auto" w:fill="auto"/>
          </w:tcPr>
          <w:p w14:paraId="5C7C6CF9" w14:textId="77777777" w:rsidR="0008009C" w:rsidRDefault="0008009C">
            <w:pPr>
              <w:rPr>
                <w:rFonts w:ascii="宋体"/>
                <w:vanish/>
              </w:rPr>
            </w:pPr>
          </w:p>
        </w:tc>
      </w:tr>
      <w:tr w:rsidR="0008009C" w14:paraId="5C7C6CFE" w14:textId="77777777">
        <w:trPr>
          <w:hidden/>
        </w:trPr>
        <w:tc>
          <w:tcPr>
            <w:tcW w:w="0" w:type="auto"/>
            <w:gridSpan w:val="3"/>
            <w:shd w:val="clear" w:color="auto" w:fill="auto"/>
          </w:tcPr>
          <w:p w14:paraId="5C7C6CFB" w14:textId="77777777" w:rsidR="0008009C" w:rsidRDefault="0008009C">
            <w:pPr>
              <w:rPr>
                <w:rFonts w:ascii="宋体"/>
                <w:vanish/>
              </w:rPr>
            </w:pPr>
          </w:p>
        </w:tc>
        <w:tc>
          <w:tcPr>
            <w:tcW w:w="0" w:type="auto"/>
            <w:gridSpan w:val="3"/>
            <w:shd w:val="clear" w:color="auto" w:fill="auto"/>
          </w:tcPr>
          <w:p w14:paraId="5C7C6CFC" w14:textId="77777777" w:rsidR="0008009C" w:rsidRDefault="0008009C">
            <w:pPr>
              <w:rPr>
                <w:rFonts w:ascii="宋体"/>
                <w:vanish/>
              </w:rPr>
            </w:pPr>
          </w:p>
        </w:tc>
        <w:tc>
          <w:tcPr>
            <w:tcW w:w="0" w:type="auto"/>
            <w:gridSpan w:val="3"/>
            <w:shd w:val="clear" w:color="auto" w:fill="auto"/>
          </w:tcPr>
          <w:p w14:paraId="5C7C6CFD" w14:textId="77777777" w:rsidR="0008009C" w:rsidRDefault="0008009C">
            <w:pPr>
              <w:rPr>
                <w:rFonts w:ascii="宋体"/>
                <w:vanish/>
              </w:rPr>
            </w:pPr>
          </w:p>
        </w:tc>
      </w:tr>
      <w:tr w:rsidR="0008009C" w14:paraId="5C7C6D02" w14:textId="77777777">
        <w:tc>
          <w:tcPr>
            <w:tcW w:w="0" w:type="auto"/>
            <w:gridSpan w:val="3"/>
            <w:shd w:val="clear" w:color="auto" w:fill="auto"/>
            <w:tcMar>
              <w:top w:w="40" w:type="dxa"/>
              <w:left w:w="20" w:type="dxa"/>
              <w:bottom w:w="40" w:type="dxa"/>
              <w:right w:w="20" w:type="dxa"/>
            </w:tcMar>
          </w:tcPr>
          <w:p w14:paraId="5C7C6CFF" w14:textId="77777777" w:rsidR="0008009C" w:rsidRDefault="00936FDF">
            <w:pPr>
              <w:textAlignment w:val="top"/>
            </w:pPr>
            <w:r>
              <w:rPr>
                <w:rFonts w:ascii="Arial" w:eastAsia="宋体" w:hAnsi="Arial" w:cs="Arial"/>
                <w:color w:val="0068B5"/>
                <w:sz w:val="18"/>
                <w:szCs w:val="18"/>
              </w:rPr>
              <w:t>SSD</w:t>
            </w:r>
          </w:p>
        </w:tc>
        <w:tc>
          <w:tcPr>
            <w:tcW w:w="0" w:type="auto"/>
            <w:gridSpan w:val="3"/>
            <w:shd w:val="clear" w:color="auto" w:fill="auto"/>
            <w:tcMar>
              <w:top w:w="0" w:type="dxa"/>
              <w:left w:w="20" w:type="dxa"/>
              <w:bottom w:w="0" w:type="dxa"/>
              <w:right w:w="20" w:type="dxa"/>
            </w:tcMar>
          </w:tcPr>
          <w:p w14:paraId="5C7C6D00"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D01" w14:textId="77777777" w:rsidR="0008009C" w:rsidRDefault="00936FDF">
            <w:pPr>
              <w:textAlignment w:val="top"/>
            </w:pPr>
            <w:r>
              <w:rPr>
                <w:rFonts w:ascii="Arial" w:eastAsia="宋体" w:hAnsi="Arial" w:cs="Arial"/>
                <w:color w:val="262626"/>
                <w:sz w:val="18"/>
                <w:szCs w:val="18"/>
              </w:rPr>
              <w:t>Solid-state drive</w:t>
            </w:r>
          </w:p>
        </w:tc>
      </w:tr>
      <w:tr w:rsidR="0008009C" w14:paraId="5C7C6D06" w14:textId="77777777">
        <w:trPr>
          <w:hidden/>
        </w:trPr>
        <w:tc>
          <w:tcPr>
            <w:tcW w:w="0" w:type="auto"/>
            <w:gridSpan w:val="3"/>
            <w:shd w:val="clear" w:color="auto" w:fill="auto"/>
          </w:tcPr>
          <w:p w14:paraId="5C7C6D03" w14:textId="77777777" w:rsidR="0008009C" w:rsidRDefault="0008009C">
            <w:pPr>
              <w:rPr>
                <w:rFonts w:ascii="宋体"/>
                <w:vanish/>
              </w:rPr>
            </w:pPr>
          </w:p>
        </w:tc>
        <w:tc>
          <w:tcPr>
            <w:tcW w:w="0" w:type="auto"/>
            <w:gridSpan w:val="3"/>
            <w:shd w:val="clear" w:color="auto" w:fill="auto"/>
          </w:tcPr>
          <w:p w14:paraId="5C7C6D04" w14:textId="77777777" w:rsidR="0008009C" w:rsidRDefault="0008009C">
            <w:pPr>
              <w:rPr>
                <w:rFonts w:ascii="宋体"/>
                <w:vanish/>
              </w:rPr>
            </w:pPr>
          </w:p>
        </w:tc>
        <w:tc>
          <w:tcPr>
            <w:tcW w:w="0" w:type="auto"/>
            <w:gridSpan w:val="3"/>
            <w:shd w:val="clear" w:color="auto" w:fill="auto"/>
          </w:tcPr>
          <w:p w14:paraId="5C7C6D05" w14:textId="77777777" w:rsidR="0008009C" w:rsidRDefault="0008009C">
            <w:pPr>
              <w:rPr>
                <w:rFonts w:ascii="宋体"/>
                <w:vanish/>
              </w:rPr>
            </w:pPr>
          </w:p>
        </w:tc>
      </w:tr>
      <w:tr w:rsidR="0008009C" w14:paraId="5C7C6D0A" w14:textId="77777777">
        <w:trPr>
          <w:hidden/>
        </w:trPr>
        <w:tc>
          <w:tcPr>
            <w:tcW w:w="0" w:type="auto"/>
            <w:gridSpan w:val="3"/>
            <w:shd w:val="clear" w:color="auto" w:fill="auto"/>
          </w:tcPr>
          <w:p w14:paraId="5C7C6D07" w14:textId="77777777" w:rsidR="0008009C" w:rsidRDefault="0008009C">
            <w:pPr>
              <w:rPr>
                <w:rFonts w:ascii="宋体"/>
                <w:vanish/>
              </w:rPr>
            </w:pPr>
          </w:p>
        </w:tc>
        <w:tc>
          <w:tcPr>
            <w:tcW w:w="0" w:type="auto"/>
            <w:gridSpan w:val="3"/>
            <w:shd w:val="clear" w:color="auto" w:fill="auto"/>
          </w:tcPr>
          <w:p w14:paraId="5C7C6D08" w14:textId="77777777" w:rsidR="0008009C" w:rsidRDefault="0008009C">
            <w:pPr>
              <w:rPr>
                <w:rFonts w:ascii="宋体"/>
                <w:vanish/>
              </w:rPr>
            </w:pPr>
          </w:p>
        </w:tc>
        <w:tc>
          <w:tcPr>
            <w:tcW w:w="0" w:type="auto"/>
            <w:gridSpan w:val="3"/>
            <w:shd w:val="clear" w:color="auto" w:fill="auto"/>
          </w:tcPr>
          <w:p w14:paraId="5C7C6D09" w14:textId="77777777" w:rsidR="0008009C" w:rsidRDefault="0008009C">
            <w:pPr>
              <w:rPr>
                <w:rFonts w:ascii="宋体"/>
                <w:vanish/>
              </w:rPr>
            </w:pPr>
          </w:p>
        </w:tc>
      </w:tr>
      <w:tr w:rsidR="0008009C" w14:paraId="5C7C6D0E" w14:textId="77777777">
        <w:trPr>
          <w:hidden/>
        </w:trPr>
        <w:tc>
          <w:tcPr>
            <w:tcW w:w="0" w:type="auto"/>
            <w:gridSpan w:val="3"/>
            <w:shd w:val="clear" w:color="auto" w:fill="auto"/>
          </w:tcPr>
          <w:p w14:paraId="5C7C6D0B" w14:textId="77777777" w:rsidR="0008009C" w:rsidRDefault="0008009C">
            <w:pPr>
              <w:rPr>
                <w:rFonts w:ascii="宋体"/>
                <w:vanish/>
              </w:rPr>
            </w:pPr>
          </w:p>
        </w:tc>
        <w:tc>
          <w:tcPr>
            <w:tcW w:w="0" w:type="auto"/>
            <w:gridSpan w:val="3"/>
            <w:shd w:val="clear" w:color="auto" w:fill="auto"/>
          </w:tcPr>
          <w:p w14:paraId="5C7C6D0C" w14:textId="77777777" w:rsidR="0008009C" w:rsidRDefault="0008009C">
            <w:pPr>
              <w:rPr>
                <w:rFonts w:ascii="宋体"/>
                <w:vanish/>
              </w:rPr>
            </w:pPr>
          </w:p>
        </w:tc>
        <w:tc>
          <w:tcPr>
            <w:tcW w:w="0" w:type="auto"/>
            <w:gridSpan w:val="3"/>
            <w:shd w:val="clear" w:color="auto" w:fill="auto"/>
          </w:tcPr>
          <w:p w14:paraId="5C7C6D0D" w14:textId="77777777" w:rsidR="0008009C" w:rsidRDefault="0008009C">
            <w:pPr>
              <w:rPr>
                <w:rFonts w:ascii="宋体"/>
                <w:vanish/>
              </w:rPr>
            </w:pPr>
          </w:p>
        </w:tc>
      </w:tr>
      <w:tr w:rsidR="0008009C" w14:paraId="5C7C6D12" w14:textId="77777777">
        <w:trPr>
          <w:hidden/>
        </w:trPr>
        <w:tc>
          <w:tcPr>
            <w:tcW w:w="0" w:type="auto"/>
            <w:gridSpan w:val="3"/>
            <w:shd w:val="clear" w:color="auto" w:fill="auto"/>
          </w:tcPr>
          <w:p w14:paraId="5C7C6D0F" w14:textId="77777777" w:rsidR="0008009C" w:rsidRDefault="0008009C">
            <w:pPr>
              <w:rPr>
                <w:rFonts w:ascii="宋体"/>
                <w:vanish/>
              </w:rPr>
            </w:pPr>
          </w:p>
        </w:tc>
        <w:tc>
          <w:tcPr>
            <w:tcW w:w="0" w:type="auto"/>
            <w:gridSpan w:val="3"/>
            <w:shd w:val="clear" w:color="auto" w:fill="auto"/>
          </w:tcPr>
          <w:p w14:paraId="5C7C6D10" w14:textId="77777777" w:rsidR="0008009C" w:rsidRDefault="0008009C">
            <w:pPr>
              <w:rPr>
                <w:rFonts w:ascii="宋体"/>
                <w:vanish/>
              </w:rPr>
            </w:pPr>
          </w:p>
        </w:tc>
        <w:tc>
          <w:tcPr>
            <w:tcW w:w="0" w:type="auto"/>
            <w:gridSpan w:val="3"/>
            <w:shd w:val="clear" w:color="auto" w:fill="auto"/>
          </w:tcPr>
          <w:p w14:paraId="5C7C6D11" w14:textId="77777777" w:rsidR="0008009C" w:rsidRDefault="0008009C">
            <w:pPr>
              <w:rPr>
                <w:rFonts w:ascii="宋体"/>
                <w:vanish/>
              </w:rPr>
            </w:pPr>
          </w:p>
        </w:tc>
      </w:tr>
      <w:tr w:rsidR="0008009C" w14:paraId="5C7C6D16" w14:textId="77777777">
        <w:trPr>
          <w:hidden/>
        </w:trPr>
        <w:tc>
          <w:tcPr>
            <w:tcW w:w="0" w:type="auto"/>
            <w:gridSpan w:val="3"/>
            <w:shd w:val="clear" w:color="auto" w:fill="auto"/>
          </w:tcPr>
          <w:p w14:paraId="5C7C6D13" w14:textId="77777777" w:rsidR="0008009C" w:rsidRDefault="0008009C">
            <w:pPr>
              <w:rPr>
                <w:rFonts w:ascii="宋体"/>
                <w:vanish/>
              </w:rPr>
            </w:pPr>
          </w:p>
        </w:tc>
        <w:tc>
          <w:tcPr>
            <w:tcW w:w="0" w:type="auto"/>
            <w:gridSpan w:val="3"/>
            <w:shd w:val="clear" w:color="auto" w:fill="auto"/>
          </w:tcPr>
          <w:p w14:paraId="5C7C6D14" w14:textId="77777777" w:rsidR="0008009C" w:rsidRDefault="0008009C">
            <w:pPr>
              <w:rPr>
                <w:rFonts w:ascii="宋体"/>
                <w:vanish/>
              </w:rPr>
            </w:pPr>
          </w:p>
        </w:tc>
        <w:tc>
          <w:tcPr>
            <w:tcW w:w="0" w:type="auto"/>
            <w:gridSpan w:val="3"/>
            <w:shd w:val="clear" w:color="auto" w:fill="auto"/>
          </w:tcPr>
          <w:p w14:paraId="5C7C6D15" w14:textId="77777777" w:rsidR="0008009C" w:rsidRDefault="0008009C">
            <w:pPr>
              <w:rPr>
                <w:rFonts w:ascii="宋体"/>
                <w:vanish/>
              </w:rPr>
            </w:pPr>
          </w:p>
        </w:tc>
      </w:tr>
      <w:tr w:rsidR="0008009C" w14:paraId="5C7C6D1A" w14:textId="77777777">
        <w:trPr>
          <w:hidden/>
        </w:trPr>
        <w:tc>
          <w:tcPr>
            <w:tcW w:w="0" w:type="auto"/>
            <w:gridSpan w:val="3"/>
            <w:shd w:val="clear" w:color="auto" w:fill="auto"/>
          </w:tcPr>
          <w:p w14:paraId="5C7C6D17" w14:textId="77777777" w:rsidR="0008009C" w:rsidRDefault="0008009C">
            <w:pPr>
              <w:rPr>
                <w:rFonts w:ascii="宋体"/>
                <w:vanish/>
              </w:rPr>
            </w:pPr>
          </w:p>
        </w:tc>
        <w:tc>
          <w:tcPr>
            <w:tcW w:w="0" w:type="auto"/>
            <w:gridSpan w:val="3"/>
            <w:shd w:val="clear" w:color="auto" w:fill="auto"/>
          </w:tcPr>
          <w:p w14:paraId="5C7C6D18" w14:textId="77777777" w:rsidR="0008009C" w:rsidRDefault="0008009C">
            <w:pPr>
              <w:rPr>
                <w:rFonts w:ascii="宋体"/>
                <w:vanish/>
              </w:rPr>
            </w:pPr>
          </w:p>
        </w:tc>
        <w:tc>
          <w:tcPr>
            <w:tcW w:w="0" w:type="auto"/>
            <w:gridSpan w:val="3"/>
            <w:shd w:val="clear" w:color="auto" w:fill="auto"/>
          </w:tcPr>
          <w:p w14:paraId="5C7C6D19" w14:textId="77777777" w:rsidR="0008009C" w:rsidRDefault="0008009C">
            <w:pPr>
              <w:rPr>
                <w:rFonts w:ascii="宋体"/>
                <w:vanish/>
              </w:rPr>
            </w:pPr>
          </w:p>
        </w:tc>
      </w:tr>
      <w:tr w:rsidR="0008009C" w14:paraId="5C7C6D1E" w14:textId="77777777">
        <w:trPr>
          <w:hidden/>
        </w:trPr>
        <w:tc>
          <w:tcPr>
            <w:tcW w:w="0" w:type="auto"/>
            <w:gridSpan w:val="3"/>
            <w:shd w:val="clear" w:color="auto" w:fill="auto"/>
          </w:tcPr>
          <w:p w14:paraId="5C7C6D1B" w14:textId="77777777" w:rsidR="0008009C" w:rsidRDefault="0008009C">
            <w:pPr>
              <w:rPr>
                <w:rFonts w:ascii="宋体"/>
                <w:vanish/>
              </w:rPr>
            </w:pPr>
          </w:p>
        </w:tc>
        <w:tc>
          <w:tcPr>
            <w:tcW w:w="0" w:type="auto"/>
            <w:gridSpan w:val="3"/>
            <w:shd w:val="clear" w:color="auto" w:fill="auto"/>
          </w:tcPr>
          <w:p w14:paraId="5C7C6D1C" w14:textId="77777777" w:rsidR="0008009C" w:rsidRDefault="0008009C">
            <w:pPr>
              <w:rPr>
                <w:rFonts w:ascii="宋体"/>
                <w:vanish/>
              </w:rPr>
            </w:pPr>
          </w:p>
        </w:tc>
        <w:tc>
          <w:tcPr>
            <w:tcW w:w="0" w:type="auto"/>
            <w:gridSpan w:val="3"/>
            <w:shd w:val="clear" w:color="auto" w:fill="auto"/>
          </w:tcPr>
          <w:p w14:paraId="5C7C6D1D" w14:textId="77777777" w:rsidR="0008009C" w:rsidRDefault="0008009C">
            <w:pPr>
              <w:rPr>
                <w:rFonts w:ascii="宋体"/>
                <w:vanish/>
              </w:rPr>
            </w:pPr>
          </w:p>
        </w:tc>
      </w:tr>
      <w:tr w:rsidR="0008009C" w14:paraId="5C7C6D22" w14:textId="77777777">
        <w:trPr>
          <w:hidden/>
        </w:trPr>
        <w:tc>
          <w:tcPr>
            <w:tcW w:w="0" w:type="auto"/>
            <w:gridSpan w:val="3"/>
            <w:shd w:val="clear" w:color="auto" w:fill="auto"/>
          </w:tcPr>
          <w:p w14:paraId="5C7C6D1F" w14:textId="77777777" w:rsidR="0008009C" w:rsidRDefault="0008009C">
            <w:pPr>
              <w:rPr>
                <w:rFonts w:ascii="宋体"/>
                <w:vanish/>
              </w:rPr>
            </w:pPr>
          </w:p>
        </w:tc>
        <w:tc>
          <w:tcPr>
            <w:tcW w:w="0" w:type="auto"/>
            <w:gridSpan w:val="3"/>
            <w:shd w:val="clear" w:color="auto" w:fill="auto"/>
          </w:tcPr>
          <w:p w14:paraId="5C7C6D20" w14:textId="77777777" w:rsidR="0008009C" w:rsidRDefault="0008009C">
            <w:pPr>
              <w:rPr>
                <w:rFonts w:ascii="宋体"/>
                <w:vanish/>
              </w:rPr>
            </w:pPr>
          </w:p>
        </w:tc>
        <w:tc>
          <w:tcPr>
            <w:tcW w:w="0" w:type="auto"/>
            <w:gridSpan w:val="3"/>
            <w:shd w:val="clear" w:color="auto" w:fill="auto"/>
          </w:tcPr>
          <w:p w14:paraId="5C7C6D21" w14:textId="77777777" w:rsidR="0008009C" w:rsidRDefault="0008009C">
            <w:pPr>
              <w:rPr>
                <w:rFonts w:ascii="宋体"/>
                <w:vanish/>
              </w:rPr>
            </w:pPr>
          </w:p>
        </w:tc>
      </w:tr>
      <w:tr w:rsidR="0008009C" w14:paraId="5C7C6D26" w14:textId="77777777">
        <w:trPr>
          <w:hidden/>
        </w:trPr>
        <w:tc>
          <w:tcPr>
            <w:tcW w:w="0" w:type="auto"/>
            <w:gridSpan w:val="3"/>
            <w:shd w:val="clear" w:color="auto" w:fill="auto"/>
          </w:tcPr>
          <w:p w14:paraId="5C7C6D23" w14:textId="77777777" w:rsidR="0008009C" w:rsidRDefault="0008009C">
            <w:pPr>
              <w:rPr>
                <w:rFonts w:ascii="宋体"/>
                <w:vanish/>
              </w:rPr>
            </w:pPr>
          </w:p>
        </w:tc>
        <w:tc>
          <w:tcPr>
            <w:tcW w:w="0" w:type="auto"/>
            <w:gridSpan w:val="3"/>
            <w:shd w:val="clear" w:color="auto" w:fill="auto"/>
          </w:tcPr>
          <w:p w14:paraId="5C7C6D24" w14:textId="77777777" w:rsidR="0008009C" w:rsidRDefault="0008009C">
            <w:pPr>
              <w:rPr>
                <w:rFonts w:ascii="宋体"/>
                <w:vanish/>
              </w:rPr>
            </w:pPr>
          </w:p>
        </w:tc>
        <w:tc>
          <w:tcPr>
            <w:tcW w:w="0" w:type="auto"/>
            <w:gridSpan w:val="3"/>
            <w:shd w:val="clear" w:color="auto" w:fill="auto"/>
          </w:tcPr>
          <w:p w14:paraId="5C7C6D25" w14:textId="77777777" w:rsidR="0008009C" w:rsidRDefault="0008009C">
            <w:pPr>
              <w:rPr>
                <w:rFonts w:ascii="宋体"/>
                <w:vanish/>
              </w:rPr>
            </w:pPr>
          </w:p>
        </w:tc>
      </w:tr>
      <w:tr w:rsidR="0008009C" w14:paraId="5C7C6D2A" w14:textId="77777777">
        <w:tc>
          <w:tcPr>
            <w:tcW w:w="0" w:type="auto"/>
            <w:gridSpan w:val="3"/>
            <w:shd w:val="clear" w:color="auto" w:fill="auto"/>
            <w:tcMar>
              <w:top w:w="40" w:type="dxa"/>
              <w:left w:w="20" w:type="dxa"/>
              <w:bottom w:w="40" w:type="dxa"/>
              <w:right w:w="20" w:type="dxa"/>
            </w:tcMar>
          </w:tcPr>
          <w:p w14:paraId="5C7C6D27" w14:textId="77777777" w:rsidR="0008009C" w:rsidRDefault="00936FDF">
            <w:pPr>
              <w:textAlignment w:val="top"/>
            </w:pPr>
            <w:r>
              <w:rPr>
                <w:rFonts w:ascii="Arial" w:eastAsia="宋体" w:hAnsi="Arial" w:cs="Arial"/>
                <w:color w:val="0068B5"/>
                <w:sz w:val="18"/>
                <w:szCs w:val="18"/>
              </w:rPr>
              <w:t>U.S. GAAP</w:t>
            </w:r>
          </w:p>
        </w:tc>
        <w:tc>
          <w:tcPr>
            <w:tcW w:w="0" w:type="auto"/>
            <w:gridSpan w:val="3"/>
            <w:shd w:val="clear" w:color="auto" w:fill="auto"/>
            <w:tcMar>
              <w:top w:w="0" w:type="dxa"/>
              <w:left w:w="20" w:type="dxa"/>
              <w:bottom w:w="0" w:type="dxa"/>
              <w:right w:w="20" w:type="dxa"/>
            </w:tcMar>
          </w:tcPr>
          <w:p w14:paraId="5C7C6D28"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D29" w14:textId="77777777" w:rsidR="0008009C" w:rsidRDefault="00936FDF">
            <w:pPr>
              <w:textAlignment w:val="top"/>
            </w:pPr>
            <w:r>
              <w:rPr>
                <w:rFonts w:ascii="Arial" w:eastAsia="宋体" w:hAnsi="Arial" w:cs="Arial"/>
                <w:color w:val="262626"/>
                <w:sz w:val="18"/>
                <w:szCs w:val="18"/>
              </w:rPr>
              <w:t xml:space="preserve">U.S. </w:t>
            </w:r>
            <w:r>
              <w:rPr>
                <w:rFonts w:ascii="Arial" w:eastAsia="宋体" w:hAnsi="Arial" w:cs="Arial"/>
                <w:color w:val="262626"/>
                <w:sz w:val="18"/>
                <w:szCs w:val="18"/>
              </w:rPr>
              <w:t>Generally Accepted Accounting Principles</w:t>
            </w:r>
          </w:p>
        </w:tc>
      </w:tr>
      <w:tr w:rsidR="0008009C" w14:paraId="5C7C6D2E" w14:textId="77777777">
        <w:tc>
          <w:tcPr>
            <w:tcW w:w="0" w:type="auto"/>
            <w:gridSpan w:val="3"/>
            <w:shd w:val="clear" w:color="auto" w:fill="auto"/>
            <w:tcMar>
              <w:top w:w="40" w:type="dxa"/>
              <w:left w:w="20" w:type="dxa"/>
              <w:bottom w:w="40" w:type="dxa"/>
              <w:right w:w="20" w:type="dxa"/>
            </w:tcMar>
          </w:tcPr>
          <w:p w14:paraId="5C7C6D2B" w14:textId="77777777" w:rsidR="0008009C" w:rsidRDefault="00936FDF">
            <w:pPr>
              <w:textAlignment w:val="top"/>
            </w:pPr>
            <w:r>
              <w:rPr>
                <w:rFonts w:ascii="Arial" w:eastAsia="宋体" w:hAnsi="Arial" w:cs="Arial"/>
                <w:color w:val="0068B5"/>
                <w:sz w:val="18"/>
                <w:szCs w:val="18"/>
              </w:rPr>
              <w:t>VLSI</w:t>
            </w:r>
          </w:p>
        </w:tc>
        <w:tc>
          <w:tcPr>
            <w:tcW w:w="0" w:type="auto"/>
            <w:gridSpan w:val="3"/>
            <w:shd w:val="clear" w:color="auto" w:fill="auto"/>
            <w:tcMar>
              <w:top w:w="0" w:type="dxa"/>
              <w:left w:w="20" w:type="dxa"/>
              <w:bottom w:w="0" w:type="dxa"/>
              <w:right w:w="20" w:type="dxa"/>
            </w:tcMar>
          </w:tcPr>
          <w:p w14:paraId="5C7C6D2C"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6D2D" w14:textId="77777777" w:rsidR="0008009C" w:rsidRDefault="00936FDF">
            <w:pPr>
              <w:textAlignment w:val="bottom"/>
            </w:pPr>
            <w:r>
              <w:rPr>
                <w:rFonts w:ascii="Arial" w:eastAsia="宋体" w:hAnsi="Arial" w:cs="Arial"/>
                <w:color w:val="262626"/>
                <w:sz w:val="18"/>
                <w:szCs w:val="18"/>
              </w:rPr>
              <w:t>VLSI Technology LLC</w:t>
            </w:r>
          </w:p>
        </w:tc>
      </w:tr>
      <w:tr w:rsidR="0008009C" w14:paraId="5C7C6D32" w14:textId="77777777">
        <w:trPr>
          <w:hidden/>
        </w:trPr>
        <w:tc>
          <w:tcPr>
            <w:tcW w:w="0" w:type="auto"/>
            <w:gridSpan w:val="3"/>
            <w:shd w:val="clear" w:color="auto" w:fill="auto"/>
          </w:tcPr>
          <w:p w14:paraId="5C7C6D2F" w14:textId="77777777" w:rsidR="0008009C" w:rsidRDefault="0008009C">
            <w:pPr>
              <w:rPr>
                <w:rFonts w:ascii="宋体"/>
                <w:vanish/>
              </w:rPr>
            </w:pPr>
          </w:p>
        </w:tc>
        <w:tc>
          <w:tcPr>
            <w:tcW w:w="0" w:type="auto"/>
            <w:gridSpan w:val="3"/>
            <w:shd w:val="clear" w:color="auto" w:fill="auto"/>
          </w:tcPr>
          <w:p w14:paraId="5C7C6D30" w14:textId="77777777" w:rsidR="0008009C" w:rsidRDefault="0008009C">
            <w:pPr>
              <w:rPr>
                <w:rFonts w:ascii="宋体"/>
                <w:vanish/>
              </w:rPr>
            </w:pPr>
          </w:p>
        </w:tc>
        <w:tc>
          <w:tcPr>
            <w:tcW w:w="0" w:type="auto"/>
            <w:gridSpan w:val="3"/>
            <w:shd w:val="clear" w:color="auto" w:fill="auto"/>
          </w:tcPr>
          <w:p w14:paraId="5C7C6D31" w14:textId="77777777" w:rsidR="0008009C" w:rsidRDefault="0008009C">
            <w:pPr>
              <w:rPr>
                <w:rFonts w:ascii="宋体"/>
                <w:vanish/>
              </w:rPr>
            </w:pPr>
          </w:p>
        </w:tc>
      </w:tr>
      <w:tr w:rsidR="0008009C" w14:paraId="5C7C6D36" w14:textId="77777777">
        <w:trPr>
          <w:hidden/>
        </w:trPr>
        <w:tc>
          <w:tcPr>
            <w:tcW w:w="0" w:type="auto"/>
            <w:gridSpan w:val="3"/>
            <w:shd w:val="clear" w:color="auto" w:fill="auto"/>
          </w:tcPr>
          <w:p w14:paraId="5C7C6D33" w14:textId="77777777" w:rsidR="0008009C" w:rsidRDefault="0008009C">
            <w:pPr>
              <w:rPr>
                <w:rFonts w:ascii="宋体"/>
                <w:vanish/>
              </w:rPr>
            </w:pPr>
          </w:p>
        </w:tc>
        <w:tc>
          <w:tcPr>
            <w:tcW w:w="0" w:type="auto"/>
            <w:gridSpan w:val="3"/>
            <w:shd w:val="clear" w:color="auto" w:fill="auto"/>
          </w:tcPr>
          <w:p w14:paraId="5C7C6D34" w14:textId="77777777" w:rsidR="0008009C" w:rsidRDefault="0008009C">
            <w:pPr>
              <w:rPr>
                <w:rFonts w:ascii="宋体"/>
                <w:vanish/>
              </w:rPr>
            </w:pPr>
          </w:p>
        </w:tc>
        <w:tc>
          <w:tcPr>
            <w:tcW w:w="0" w:type="auto"/>
            <w:gridSpan w:val="3"/>
            <w:shd w:val="clear" w:color="auto" w:fill="auto"/>
          </w:tcPr>
          <w:p w14:paraId="5C7C6D35" w14:textId="77777777" w:rsidR="0008009C" w:rsidRDefault="0008009C">
            <w:pPr>
              <w:rPr>
                <w:rFonts w:ascii="宋体"/>
                <w:vanish/>
              </w:rPr>
            </w:pPr>
          </w:p>
        </w:tc>
      </w:tr>
      <w:tr w:rsidR="0008009C" w14:paraId="5C7C6D3A" w14:textId="77777777">
        <w:trPr>
          <w:hidden/>
        </w:trPr>
        <w:tc>
          <w:tcPr>
            <w:tcW w:w="0" w:type="auto"/>
            <w:gridSpan w:val="3"/>
            <w:shd w:val="clear" w:color="auto" w:fill="auto"/>
          </w:tcPr>
          <w:p w14:paraId="5C7C6D37" w14:textId="77777777" w:rsidR="0008009C" w:rsidRDefault="0008009C">
            <w:pPr>
              <w:rPr>
                <w:rFonts w:ascii="宋体"/>
                <w:vanish/>
              </w:rPr>
            </w:pPr>
          </w:p>
        </w:tc>
        <w:tc>
          <w:tcPr>
            <w:tcW w:w="0" w:type="auto"/>
            <w:gridSpan w:val="3"/>
            <w:shd w:val="clear" w:color="auto" w:fill="auto"/>
          </w:tcPr>
          <w:p w14:paraId="5C7C6D38" w14:textId="77777777" w:rsidR="0008009C" w:rsidRDefault="0008009C">
            <w:pPr>
              <w:rPr>
                <w:rFonts w:ascii="宋体"/>
                <w:vanish/>
              </w:rPr>
            </w:pPr>
          </w:p>
        </w:tc>
        <w:tc>
          <w:tcPr>
            <w:tcW w:w="0" w:type="auto"/>
            <w:gridSpan w:val="3"/>
            <w:shd w:val="clear" w:color="auto" w:fill="auto"/>
          </w:tcPr>
          <w:p w14:paraId="5C7C6D39" w14:textId="77777777" w:rsidR="0008009C" w:rsidRDefault="0008009C">
            <w:pPr>
              <w:rPr>
                <w:rFonts w:ascii="宋体"/>
                <w:vanish/>
              </w:rPr>
            </w:pPr>
          </w:p>
        </w:tc>
      </w:tr>
      <w:tr w:rsidR="0008009C" w14:paraId="5C7C6D3E" w14:textId="77777777">
        <w:trPr>
          <w:hidden/>
        </w:trPr>
        <w:tc>
          <w:tcPr>
            <w:tcW w:w="0" w:type="auto"/>
            <w:gridSpan w:val="3"/>
            <w:shd w:val="clear" w:color="auto" w:fill="auto"/>
          </w:tcPr>
          <w:p w14:paraId="5C7C6D3B" w14:textId="77777777" w:rsidR="0008009C" w:rsidRDefault="0008009C">
            <w:pPr>
              <w:rPr>
                <w:rFonts w:ascii="宋体"/>
                <w:vanish/>
              </w:rPr>
            </w:pPr>
          </w:p>
        </w:tc>
        <w:tc>
          <w:tcPr>
            <w:tcW w:w="0" w:type="auto"/>
            <w:gridSpan w:val="3"/>
            <w:shd w:val="clear" w:color="auto" w:fill="auto"/>
          </w:tcPr>
          <w:p w14:paraId="5C7C6D3C" w14:textId="77777777" w:rsidR="0008009C" w:rsidRDefault="0008009C">
            <w:pPr>
              <w:rPr>
                <w:rFonts w:ascii="宋体"/>
                <w:vanish/>
              </w:rPr>
            </w:pPr>
          </w:p>
        </w:tc>
        <w:tc>
          <w:tcPr>
            <w:tcW w:w="0" w:type="auto"/>
            <w:gridSpan w:val="3"/>
            <w:shd w:val="clear" w:color="auto" w:fill="auto"/>
          </w:tcPr>
          <w:p w14:paraId="5C7C6D3D" w14:textId="77777777" w:rsidR="0008009C" w:rsidRDefault="0008009C">
            <w:pPr>
              <w:rPr>
                <w:rFonts w:ascii="宋体"/>
                <w:vanish/>
              </w:rPr>
            </w:pPr>
          </w:p>
        </w:tc>
      </w:tr>
      <w:tr w:rsidR="0008009C" w14:paraId="5C7C6D42" w14:textId="77777777">
        <w:trPr>
          <w:hidden/>
        </w:trPr>
        <w:tc>
          <w:tcPr>
            <w:tcW w:w="0" w:type="auto"/>
            <w:gridSpan w:val="3"/>
            <w:shd w:val="clear" w:color="auto" w:fill="auto"/>
          </w:tcPr>
          <w:p w14:paraId="5C7C6D3F" w14:textId="77777777" w:rsidR="0008009C" w:rsidRDefault="0008009C">
            <w:pPr>
              <w:rPr>
                <w:rFonts w:ascii="宋体"/>
                <w:vanish/>
              </w:rPr>
            </w:pPr>
          </w:p>
        </w:tc>
        <w:tc>
          <w:tcPr>
            <w:tcW w:w="0" w:type="auto"/>
            <w:gridSpan w:val="3"/>
            <w:shd w:val="clear" w:color="auto" w:fill="auto"/>
          </w:tcPr>
          <w:p w14:paraId="5C7C6D40" w14:textId="77777777" w:rsidR="0008009C" w:rsidRDefault="0008009C">
            <w:pPr>
              <w:rPr>
                <w:rFonts w:ascii="宋体"/>
                <w:vanish/>
              </w:rPr>
            </w:pPr>
          </w:p>
        </w:tc>
        <w:tc>
          <w:tcPr>
            <w:tcW w:w="0" w:type="auto"/>
            <w:gridSpan w:val="3"/>
            <w:shd w:val="clear" w:color="auto" w:fill="auto"/>
          </w:tcPr>
          <w:p w14:paraId="5C7C6D41" w14:textId="77777777" w:rsidR="0008009C" w:rsidRDefault="0008009C">
            <w:pPr>
              <w:rPr>
                <w:rFonts w:ascii="宋体"/>
                <w:vanish/>
              </w:rPr>
            </w:pPr>
          </w:p>
        </w:tc>
      </w:tr>
    </w:tbl>
    <w:p w14:paraId="5C7C6D43" w14:textId="77777777" w:rsidR="0008009C" w:rsidRDefault="0008009C">
      <w:pPr>
        <w:spacing w:after="180"/>
      </w:pPr>
    </w:p>
    <w:p w14:paraId="5C7C6D44" w14:textId="77777777" w:rsidR="0008009C" w:rsidRDefault="0008009C">
      <w:pPr>
        <w:spacing w:after="180"/>
      </w:pPr>
    </w:p>
    <w:p w14:paraId="5C7C6D45" w14:textId="77777777" w:rsidR="0008009C" w:rsidRDefault="0008009C">
      <w:pPr>
        <w:spacing w:after="180"/>
      </w:pPr>
    </w:p>
    <w:p w14:paraId="5C7C6D46" w14:textId="77777777" w:rsidR="0008009C" w:rsidRDefault="0008009C">
      <w:pPr>
        <w:spacing w:after="180"/>
      </w:pPr>
    </w:p>
    <w:p w14:paraId="5C7C6D47" w14:textId="77777777" w:rsidR="0008009C" w:rsidRDefault="0008009C">
      <w:pPr>
        <w:spacing w:after="180"/>
      </w:pPr>
    </w:p>
    <w:p w14:paraId="5C7C6D48" w14:textId="77777777" w:rsidR="0008009C" w:rsidRDefault="0008009C">
      <w:pPr>
        <w:spacing w:after="180"/>
      </w:pPr>
    </w:p>
    <w:p w14:paraId="5C7C6D49" w14:textId="77777777" w:rsidR="0008009C" w:rsidRDefault="0008009C">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8009C" w14:paraId="5C7C6D56" w14:textId="77777777">
        <w:tc>
          <w:tcPr>
            <w:tcW w:w="50" w:type="pct"/>
            <w:shd w:val="clear" w:color="auto" w:fill="auto"/>
            <w:vAlign w:val="bottom"/>
          </w:tcPr>
          <w:p w14:paraId="5C7C6D4A" w14:textId="77777777" w:rsidR="0008009C" w:rsidRDefault="0008009C">
            <w:pPr>
              <w:rPr>
                <w:rFonts w:ascii="宋体"/>
              </w:rPr>
            </w:pPr>
          </w:p>
        </w:tc>
        <w:tc>
          <w:tcPr>
            <w:tcW w:w="238" w:type="pct"/>
            <w:shd w:val="clear" w:color="auto" w:fill="auto"/>
            <w:vAlign w:val="bottom"/>
          </w:tcPr>
          <w:p w14:paraId="5C7C6D4B" w14:textId="77777777" w:rsidR="0008009C" w:rsidRDefault="0008009C">
            <w:pPr>
              <w:rPr>
                <w:rFonts w:ascii="宋体"/>
              </w:rPr>
            </w:pPr>
          </w:p>
        </w:tc>
        <w:tc>
          <w:tcPr>
            <w:tcW w:w="5" w:type="pct"/>
            <w:shd w:val="clear" w:color="auto" w:fill="auto"/>
            <w:vAlign w:val="bottom"/>
          </w:tcPr>
          <w:p w14:paraId="5C7C6D4C" w14:textId="77777777" w:rsidR="0008009C" w:rsidRDefault="0008009C">
            <w:pPr>
              <w:rPr>
                <w:rFonts w:ascii="宋体"/>
              </w:rPr>
            </w:pPr>
          </w:p>
        </w:tc>
        <w:tc>
          <w:tcPr>
            <w:tcW w:w="50" w:type="pct"/>
            <w:shd w:val="clear" w:color="auto" w:fill="auto"/>
            <w:vAlign w:val="bottom"/>
          </w:tcPr>
          <w:p w14:paraId="5C7C6D4D" w14:textId="77777777" w:rsidR="0008009C" w:rsidRDefault="0008009C">
            <w:pPr>
              <w:rPr>
                <w:rFonts w:ascii="宋体"/>
              </w:rPr>
            </w:pPr>
          </w:p>
        </w:tc>
        <w:tc>
          <w:tcPr>
            <w:tcW w:w="983" w:type="pct"/>
            <w:shd w:val="clear" w:color="auto" w:fill="auto"/>
            <w:vAlign w:val="bottom"/>
          </w:tcPr>
          <w:p w14:paraId="5C7C6D4E" w14:textId="77777777" w:rsidR="0008009C" w:rsidRDefault="0008009C">
            <w:pPr>
              <w:rPr>
                <w:rFonts w:ascii="宋体"/>
              </w:rPr>
            </w:pPr>
          </w:p>
        </w:tc>
        <w:tc>
          <w:tcPr>
            <w:tcW w:w="5" w:type="pct"/>
            <w:shd w:val="clear" w:color="auto" w:fill="auto"/>
            <w:vAlign w:val="bottom"/>
          </w:tcPr>
          <w:p w14:paraId="5C7C6D4F" w14:textId="77777777" w:rsidR="0008009C" w:rsidRDefault="0008009C">
            <w:pPr>
              <w:rPr>
                <w:rFonts w:ascii="宋体"/>
              </w:rPr>
            </w:pPr>
          </w:p>
        </w:tc>
        <w:tc>
          <w:tcPr>
            <w:tcW w:w="50" w:type="pct"/>
            <w:shd w:val="clear" w:color="auto" w:fill="auto"/>
            <w:vAlign w:val="bottom"/>
          </w:tcPr>
          <w:p w14:paraId="5C7C6D50" w14:textId="77777777" w:rsidR="0008009C" w:rsidRDefault="0008009C">
            <w:pPr>
              <w:rPr>
                <w:rFonts w:ascii="宋体"/>
              </w:rPr>
            </w:pPr>
          </w:p>
        </w:tc>
        <w:tc>
          <w:tcPr>
            <w:tcW w:w="2035" w:type="pct"/>
            <w:shd w:val="clear" w:color="auto" w:fill="auto"/>
            <w:vAlign w:val="bottom"/>
          </w:tcPr>
          <w:p w14:paraId="5C7C6D51" w14:textId="77777777" w:rsidR="0008009C" w:rsidRDefault="0008009C">
            <w:pPr>
              <w:rPr>
                <w:rFonts w:ascii="宋体"/>
              </w:rPr>
            </w:pPr>
          </w:p>
        </w:tc>
        <w:tc>
          <w:tcPr>
            <w:tcW w:w="5" w:type="pct"/>
            <w:shd w:val="clear" w:color="auto" w:fill="auto"/>
            <w:vAlign w:val="bottom"/>
          </w:tcPr>
          <w:p w14:paraId="5C7C6D52" w14:textId="77777777" w:rsidR="0008009C" w:rsidRDefault="0008009C">
            <w:pPr>
              <w:rPr>
                <w:rFonts w:ascii="宋体"/>
              </w:rPr>
            </w:pPr>
          </w:p>
        </w:tc>
        <w:tc>
          <w:tcPr>
            <w:tcW w:w="50" w:type="pct"/>
            <w:shd w:val="clear" w:color="auto" w:fill="auto"/>
            <w:vAlign w:val="bottom"/>
          </w:tcPr>
          <w:p w14:paraId="5C7C6D53" w14:textId="77777777" w:rsidR="0008009C" w:rsidRDefault="0008009C">
            <w:pPr>
              <w:rPr>
                <w:rFonts w:ascii="宋体"/>
              </w:rPr>
            </w:pPr>
          </w:p>
        </w:tc>
        <w:tc>
          <w:tcPr>
            <w:tcW w:w="1522" w:type="pct"/>
            <w:shd w:val="clear" w:color="auto" w:fill="auto"/>
            <w:vAlign w:val="bottom"/>
          </w:tcPr>
          <w:p w14:paraId="5C7C6D54" w14:textId="77777777" w:rsidR="0008009C" w:rsidRDefault="0008009C">
            <w:pPr>
              <w:rPr>
                <w:rFonts w:ascii="宋体"/>
              </w:rPr>
            </w:pPr>
          </w:p>
        </w:tc>
        <w:tc>
          <w:tcPr>
            <w:tcW w:w="5" w:type="pct"/>
            <w:shd w:val="clear" w:color="auto" w:fill="auto"/>
            <w:vAlign w:val="bottom"/>
          </w:tcPr>
          <w:p w14:paraId="5C7C6D55" w14:textId="77777777" w:rsidR="0008009C" w:rsidRDefault="0008009C">
            <w:pPr>
              <w:rPr>
                <w:rFonts w:ascii="宋体"/>
              </w:rPr>
            </w:pPr>
          </w:p>
        </w:tc>
      </w:tr>
      <w:tr w:rsidR="0008009C" w14:paraId="5C7C6D5B"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6D57"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2C" wp14:editId="5C7C7D2D">
                  <wp:extent cx="304800" cy="304800"/>
                  <wp:effectExtent l="0" t="0" r="0" b="0"/>
                  <wp:docPr id="58" name="图片 83"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3"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D58" w14:textId="77777777" w:rsidR="0008009C" w:rsidRDefault="00936FDF">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5C7C6D59" w14:textId="77777777" w:rsidR="0008009C" w:rsidRDefault="00936FDF">
            <w:pPr>
              <w:textAlignment w:val="center"/>
            </w:pPr>
            <w:r>
              <w:rPr>
                <w:rFonts w:ascii="Arial" w:eastAsia="宋体" w:hAnsi="Arial" w:cs="Arial"/>
                <w:color w:val="262626"/>
                <w:sz w:val="16"/>
                <w:szCs w:val="16"/>
              </w:rPr>
              <w:t> Notes to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D5A" w14:textId="77777777" w:rsidR="0008009C" w:rsidRDefault="00936FDF">
            <w:pPr>
              <w:jc w:val="right"/>
              <w:textAlignment w:val="center"/>
            </w:pPr>
            <w:r>
              <w:rPr>
                <w:rFonts w:ascii="Arial" w:eastAsia="宋体" w:hAnsi="Arial" w:cs="Arial"/>
                <w:color w:val="262626"/>
                <w:sz w:val="16"/>
                <w:szCs w:val="16"/>
              </w:rPr>
              <w:t>22</w:t>
            </w:r>
          </w:p>
        </w:tc>
      </w:tr>
    </w:tbl>
    <w:p w14:paraId="5C7C6D5C" w14:textId="77777777" w:rsidR="0008009C" w:rsidRDefault="00936FDF">
      <w:r>
        <w:pict w14:anchorId="5C7C7D2E">
          <v:rect id="_x0000_i1048" style="width:415.3pt;height:1.5pt" o:hralign="center" o:hrstd="t" o:hr="t" fillcolor="#a0a0a0" stroked="f"/>
        </w:pict>
      </w:r>
    </w:p>
    <w:p w14:paraId="5C7C6D5D" w14:textId="77777777" w:rsidR="0008009C" w:rsidRDefault="00936FDF">
      <w:pPr>
        <w:spacing w:after="180"/>
        <w:jc w:val="right"/>
      </w:pPr>
      <w:hyperlink r:id="rId47" w:anchor="i3a00378f6cc84b1c9cfc83239548ad53_7" w:history="1">
        <w:r>
          <w:rPr>
            <w:rStyle w:val="a5"/>
            <w:rFonts w:ascii="Arial" w:eastAsia="宋体" w:hAnsi="Arial" w:cs="Arial"/>
            <w:b/>
            <w:bCs/>
            <w:sz w:val="16"/>
            <w:szCs w:val="16"/>
          </w:rPr>
          <w:t>Table of Contents</w:t>
        </w:r>
      </w:hyperlink>
    </w:p>
    <w:p w14:paraId="5C7C6D5E" w14:textId="77777777" w:rsidR="0008009C" w:rsidRDefault="0008009C">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8009C" w14:paraId="5C7C6D65" w14:textId="77777777">
        <w:tc>
          <w:tcPr>
            <w:tcW w:w="50" w:type="pct"/>
            <w:shd w:val="clear" w:color="auto" w:fill="auto"/>
          </w:tcPr>
          <w:p w14:paraId="5C7C6D5F" w14:textId="77777777" w:rsidR="0008009C" w:rsidRDefault="0008009C">
            <w:pPr>
              <w:rPr>
                <w:rFonts w:ascii="宋体"/>
              </w:rPr>
            </w:pPr>
          </w:p>
        </w:tc>
        <w:tc>
          <w:tcPr>
            <w:tcW w:w="4870" w:type="pct"/>
            <w:shd w:val="clear" w:color="auto" w:fill="auto"/>
          </w:tcPr>
          <w:p w14:paraId="5C7C6D60" w14:textId="77777777" w:rsidR="0008009C" w:rsidRDefault="0008009C">
            <w:pPr>
              <w:rPr>
                <w:rFonts w:ascii="宋体"/>
              </w:rPr>
            </w:pPr>
          </w:p>
        </w:tc>
        <w:tc>
          <w:tcPr>
            <w:tcW w:w="5" w:type="pct"/>
            <w:shd w:val="clear" w:color="auto" w:fill="auto"/>
          </w:tcPr>
          <w:p w14:paraId="5C7C6D61" w14:textId="77777777" w:rsidR="0008009C" w:rsidRDefault="0008009C">
            <w:pPr>
              <w:rPr>
                <w:rFonts w:ascii="宋体"/>
              </w:rPr>
            </w:pPr>
          </w:p>
        </w:tc>
        <w:tc>
          <w:tcPr>
            <w:tcW w:w="5" w:type="pct"/>
            <w:shd w:val="clear" w:color="auto" w:fill="auto"/>
          </w:tcPr>
          <w:p w14:paraId="5C7C6D62" w14:textId="77777777" w:rsidR="0008009C" w:rsidRDefault="0008009C">
            <w:pPr>
              <w:rPr>
                <w:rFonts w:ascii="宋体"/>
              </w:rPr>
            </w:pPr>
          </w:p>
        </w:tc>
        <w:tc>
          <w:tcPr>
            <w:tcW w:w="64" w:type="pct"/>
            <w:shd w:val="clear" w:color="auto" w:fill="auto"/>
          </w:tcPr>
          <w:p w14:paraId="5C7C6D63" w14:textId="77777777" w:rsidR="0008009C" w:rsidRDefault="0008009C">
            <w:pPr>
              <w:rPr>
                <w:rFonts w:ascii="宋体"/>
              </w:rPr>
            </w:pPr>
          </w:p>
        </w:tc>
        <w:tc>
          <w:tcPr>
            <w:tcW w:w="5" w:type="pct"/>
            <w:shd w:val="clear" w:color="auto" w:fill="auto"/>
          </w:tcPr>
          <w:p w14:paraId="5C7C6D64" w14:textId="77777777" w:rsidR="0008009C" w:rsidRDefault="0008009C">
            <w:pPr>
              <w:rPr>
                <w:rFonts w:ascii="宋体"/>
              </w:rPr>
            </w:pPr>
          </w:p>
        </w:tc>
      </w:tr>
      <w:tr w:rsidR="0008009C" w14:paraId="5C7C6D68" w14:textId="77777777">
        <w:tc>
          <w:tcPr>
            <w:tcW w:w="0" w:type="auto"/>
            <w:gridSpan w:val="3"/>
            <w:shd w:val="clear" w:color="auto" w:fill="004A86"/>
            <w:tcMar>
              <w:top w:w="40" w:type="dxa"/>
              <w:left w:w="20" w:type="dxa"/>
              <w:bottom w:w="40" w:type="dxa"/>
              <w:right w:w="20" w:type="dxa"/>
            </w:tcMar>
            <w:vAlign w:val="center"/>
          </w:tcPr>
          <w:p w14:paraId="5C7C6D66" w14:textId="77777777" w:rsidR="0008009C" w:rsidRDefault="00936FDF">
            <w:pPr>
              <w:textAlignment w:val="center"/>
            </w:pPr>
            <w:r>
              <w:rPr>
                <w:rFonts w:ascii="Arial" w:eastAsia="宋体" w:hAnsi="Arial" w:cs="Arial"/>
                <w:color w:val="FFFFFF"/>
                <w:sz w:val="36"/>
                <w:szCs w:val="36"/>
              </w:rPr>
              <w:t>Management's Discussion and Analysis</w:t>
            </w:r>
          </w:p>
        </w:tc>
        <w:tc>
          <w:tcPr>
            <w:tcW w:w="0" w:type="auto"/>
            <w:gridSpan w:val="3"/>
            <w:shd w:val="clear" w:color="auto" w:fill="auto"/>
            <w:tcMar>
              <w:top w:w="0" w:type="dxa"/>
              <w:left w:w="20" w:type="dxa"/>
              <w:bottom w:w="0" w:type="dxa"/>
              <w:right w:w="20" w:type="dxa"/>
            </w:tcMar>
          </w:tcPr>
          <w:p w14:paraId="5C7C6D67" w14:textId="77777777" w:rsidR="0008009C" w:rsidRDefault="0008009C">
            <w:pPr>
              <w:rPr>
                <w:rFonts w:ascii="宋体"/>
              </w:rPr>
            </w:pPr>
          </w:p>
        </w:tc>
      </w:tr>
      <w:tr w:rsidR="0008009C" w14:paraId="5C7C6D6B" w14:textId="77777777">
        <w:trPr>
          <w:trHeight w:val="160"/>
        </w:trPr>
        <w:tc>
          <w:tcPr>
            <w:tcW w:w="0" w:type="auto"/>
            <w:gridSpan w:val="3"/>
            <w:shd w:val="clear" w:color="auto" w:fill="auto"/>
            <w:tcMar>
              <w:top w:w="0" w:type="dxa"/>
              <w:left w:w="20" w:type="dxa"/>
              <w:bottom w:w="0" w:type="dxa"/>
              <w:right w:w="20" w:type="dxa"/>
            </w:tcMar>
          </w:tcPr>
          <w:p w14:paraId="5C7C6D69" w14:textId="77777777" w:rsidR="0008009C" w:rsidRDefault="0008009C">
            <w:pPr>
              <w:rPr>
                <w:rFonts w:ascii="宋体"/>
              </w:rPr>
            </w:pPr>
          </w:p>
        </w:tc>
        <w:tc>
          <w:tcPr>
            <w:tcW w:w="0" w:type="auto"/>
            <w:gridSpan w:val="3"/>
            <w:shd w:val="clear" w:color="auto" w:fill="00A3F6"/>
            <w:tcMar>
              <w:top w:w="0" w:type="dxa"/>
              <w:left w:w="20" w:type="dxa"/>
              <w:bottom w:w="0" w:type="dxa"/>
              <w:right w:w="20" w:type="dxa"/>
            </w:tcMar>
          </w:tcPr>
          <w:p w14:paraId="5C7C6D6A" w14:textId="77777777" w:rsidR="0008009C" w:rsidRDefault="0008009C">
            <w:pPr>
              <w:rPr>
                <w:rFonts w:ascii="宋体"/>
              </w:rPr>
            </w:pPr>
          </w:p>
        </w:tc>
      </w:tr>
    </w:tbl>
    <w:p w14:paraId="5C7C6D6C" w14:textId="77777777" w:rsidR="0008009C" w:rsidRDefault="00936FDF">
      <w:pPr>
        <w:spacing w:after="180"/>
      </w:pPr>
      <w:r>
        <w:rPr>
          <w:rFonts w:ascii="Arial" w:eastAsia="宋体" w:hAnsi="Arial" w:cs="Arial"/>
          <w:color w:val="262626"/>
          <w:sz w:val="18"/>
          <w:szCs w:val="18"/>
        </w:rPr>
        <w:t xml:space="preserve">For additional key </w:t>
      </w:r>
      <w:r>
        <w:rPr>
          <w:rFonts w:ascii="Arial" w:eastAsia="宋体" w:hAnsi="Arial" w:cs="Arial"/>
          <w:color w:val="262626"/>
          <w:sz w:val="18"/>
          <w:szCs w:val="18"/>
        </w:rPr>
        <w:t>highlights of our results of operations, see "A Quarter in Review."</w:t>
      </w:r>
    </w:p>
    <w:p w14:paraId="5C7C6D6D" w14:textId="77777777" w:rsidR="0008009C" w:rsidRDefault="00936FDF">
      <w:pPr>
        <w:spacing w:before="300" w:after="180"/>
      </w:pPr>
      <w:r>
        <w:rPr>
          <w:rFonts w:ascii="Arial" w:eastAsia="宋体" w:hAnsi="Arial" w:cs="Arial"/>
          <w:color w:val="0068B5"/>
          <w:sz w:val="28"/>
          <w:szCs w:val="28"/>
        </w:rPr>
        <w:t>Data Center Group</w:t>
      </w:r>
    </w:p>
    <w:p w14:paraId="5C7C6D6E" w14:textId="77777777" w:rsidR="0008009C" w:rsidRDefault="00936FDF">
      <w:pPr>
        <w:spacing w:after="180"/>
      </w:pPr>
      <w:r>
        <w:rPr>
          <w:rFonts w:ascii="Arial" w:eastAsia="宋体" w:hAnsi="Arial" w:cs="Arial"/>
          <w:color w:val="262626"/>
          <w:sz w:val="18"/>
          <w:szCs w:val="18"/>
        </w:rPr>
        <w:t>DCG develops workload-optimized platforms for compute, storage, and network functions. With unmatched scale, portfolio breadth, and ecosystem support, we are uniquely positioned to enable the world to unleash the potential of data, unlocking value for peop</w:t>
      </w:r>
      <w:r>
        <w:rPr>
          <w:rFonts w:ascii="Arial" w:eastAsia="宋体" w:hAnsi="Arial" w:cs="Arial"/>
          <w:color w:val="262626"/>
          <w:sz w:val="18"/>
          <w:szCs w:val="18"/>
        </w:rPr>
        <w:t>le, business, and society on a global scale. Market segments include cloud service providers, enterprise and government, and communications service providers. We serve the global appetite for cloud computing and enable transformation of the network and edg</w:t>
      </w:r>
      <w:r>
        <w:rPr>
          <w:rFonts w:ascii="Arial" w:eastAsia="宋体" w:hAnsi="Arial" w:cs="Arial"/>
          <w:color w:val="262626"/>
          <w:sz w:val="18"/>
          <w:szCs w:val="18"/>
        </w:rPr>
        <w:t xml:space="preserve">e. In 2021, our DCG operating segment includes the results of our Intel Optane memory business. </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08009C" w14:paraId="5C7C6D7B" w14:textId="77777777">
        <w:tc>
          <w:tcPr>
            <w:tcW w:w="20" w:type="dxa"/>
            <w:shd w:val="clear" w:color="auto" w:fill="auto"/>
          </w:tcPr>
          <w:p w14:paraId="5C7C6D6F" w14:textId="77777777" w:rsidR="0008009C" w:rsidRDefault="0008009C">
            <w:pPr>
              <w:rPr>
                <w:rFonts w:ascii="宋体"/>
              </w:rPr>
            </w:pPr>
          </w:p>
        </w:tc>
        <w:tc>
          <w:tcPr>
            <w:tcW w:w="80" w:type="dxa"/>
            <w:shd w:val="clear" w:color="auto" w:fill="auto"/>
          </w:tcPr>
          <w:p w14:paraId="5C7C6D70" w14:textId="77777777" w:rsidR="0008009C" w:rsidRDefault="0008009C">
            <w:pPr>
              <w:rPr>
                <w:rFonts w:ascii="宋体"/>
              </w:rPr>
            </w:pPr>
          </w:p>
        </w:tc>
        <w:tc>
          <w:tcPr>
            <w:tcW w:w="20" w:type="dxa"/>
            <w:shd w:val="clear" w:color="auto" w:fill="auto"/>
          </w:tcPr>
          <w:p w14:paraId="5C7C6D71" w14:textId="77777777" w:rsidR="0008009C" w:rsidRDefault="0008009C">
            <w:pPr>
              <w:rPr>
                <w:rFonts w:ascii="宋体"/>
              </w:rPr>
            </w:pPr>
          </w:p>
        </w:tc>
        <w:tc>
          <w:tcPr>
            <w:tcW w:w="20" w:type="dxa"/>
            <w:shd w:val="clear" w:color="auto" w:fill="auto"/>
          </w:tcPr>
          <w:p w14:paraId="5C7C6D72" w14:textId="77777777" w:rsidR="0008009C" w:rsidRDefault="0008009C">
            <w:pPr>
              <w:rPr>
                <w:rFonts w:ascii="宋体"/>
              </w:rPr>
            </w:pPr>
          </w:p>
        </w:tc>
        <w:tc>
          <w:tcPr>
            <w:tcW w:w="5165" w:type="dxa"/>
            <w:shd w:val="clear" w:color="auto" w:fill="auto"/>
          </w:tcPr>
          <w:p w14:paraId="5C7C6D73" w14:textId="77777777" w:rsidR="0008009C" w:rsidRDefault="0008009C">
            <w:pPr>
              <w:rPr>
                <w:rFonts w:ascii="宋体"/>
              </w:rPr>
            </w:pPr>
          </w:p>
        </w:tc>
        <w:tc>
          <w:tcPr>
            <w:tcW w:w="20" w:type="dxa"/>
            <w:shd w:val="clear" w:color="auto" w:fill="auto"/>
          </w:tcPr>
          <w:p w14:paraId="5C7C6D74" w14:textId="77777777" w:rsidR="0008009C" w:rsidRDefault="0008009C">
            <w:pPr>
              <w:rPr>
                <w:rFonts w:ascii="宋体"/>
              </w:rPr>
            </w:pPr>
          </w:p>
        </w:tc>
        <w:tc>
          <w:tcPr>
            <w:tcW w:w="20" w:type="dxa"/>
            <w:shd w:val="clear" w:color="auto" w:fill="auto"/>
          </w:tcPr>
          <w:p w14:paraId="5C7C6D75" w14:textId="77777777" w:rsidR="0008009C" w:rsidRDefault="0008009C">
            <w:pPr>
              <w:rPr>
                <w:rFonts w:ascii="宋体"/>
              </w:rPr>
            </w:pPr>
          </w:p>
        </w:tc>
        <w:tc>
          <w:tcPr>
            <w:tcW w:w="260" w:type="dxa"/>
            <w:shd w:val="clear" w:color="auto" w:fill="auto"/>
          </w:tcPr>
          <w:p w14:paraId="5C7C6D76" w14:textId="77777777" w:rsidR="0008009C" w:rsidRDefault="0008009C">
            <w:pPr>
              <w:rPr>
                <w:rFonts w:ascii="宋体"/>
              </w:rPr>
            </w:pPr>
          </w:p>
        </w:tc>
        <w:tc>
          <w:tcPr>
            <w:tcW w:w="20" w:type="dxa"/>
            <w:shd w:val="clear" w:color="auto" w:fill="auto"/>
          </w:tcPr>
          <w:p w14:paraId="5C7C6D77" w14:textId="77777777" w:rsidR="0008009C" w:rsidRDefault="0008009C">
            <w:pPr>
              <w:rPr>
                <w:rFonts w:ascii="宋体"/>
              </w:rPr>
            </w:pPr>
          </w:p>
        </w:tc>
        <w:tc>
          <w:tcPr>
            <w:tcW w:w="20" w:type="dxa"/>
            <w:shd w:val="clear" w:color="auto" w:fill="auto"/>
          </w:tcPr>
          <w:p w14:paraId="5C7C6D78" w14:textId="77777777" w:rsidR="0008009C" w:rsidRDefault="0008009C">
            <w:pPr>
              <w:rPr>
                <w:rFonts w:ascii="宋体"/>
              </w:rPr>
            </w:pPr>
          </w:p>
        </w:tc>
        <w:tc>
          <w:tcPr>
            <w:tcW w:w="5165" w:type="dxa"/>
            <w:shd w:val="clear" w:color="auto" w:fill="auto"/>
          </w:tcPr>
          <w:p w14:paraId="5C7C6D79" w14:textId="77777777" w:rsidR="0008009C" w:rsidRDefault="0008009C">
            <w:pPr>
              <w:rPr>
                <w:rFonts w:ascii="宋体"/>
              </w:rPr>
            </w:pPr>
          </w:p>
        </w:tc>
        <w:tc>
          <w:tcPr>
            <w:tcW w:w="20" w:type="dxa"/>
            <w:shd w:val="clear" w:color="auto" w:fill="auto"/>
          </w:tcPr>
          <w:p w14:paraId="5C7C6D7A" w14:textId="77777777" w:rsidR="0008009C" w:rsidRDefault="0008009C">
            <w:pPr>
              <w:rPr>
                <w:rFonts w:ascii="宋体"/>
              </w:rPr>
            </w:pPr>
          </w:p>
        </w:tc>
      </w:tr>
      <w:tr w:rsidR="0008009C" w14:paraId="5C7C6D80" w14:textId="77777777">
        <w:trPr>
          <w:trHeight w:val="300"/>
        </w:trPr>
        <w:tc>
          <w:tcPr>
            <w:tcW w:w="0" w:type="auto"/>
            <w:gridSpan w:val="3"/>
            <w:shd w:val="clear" w:color="auto" w:fill="auto"/>
            <w:tcMar>
              <w:top w:w="0" w:type="dxa"/>
              <w:left w:w="20" w:type="dxa"/>
              <w:bottom w:w="0" w:type="dxa"/>
              <w:right w:w="20" w:type="dxa"/>
            </w:tcMar>
          </w:tcPr>
          <w:p w14:paraId="5C7C6D7C" w14:textId="77777777" w:rsidR="0008009C" w:rsidRDefault="0008009C">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D7D" w14:textId="77777777" w:rsidR="0008009C" w:rsidRDefault="00936FDF">
            <w:pPr>
              <w:jc w:val="center"/>
              <w:textAlignment w:val="bottom"/>
            </w:pPr>
            <w:r>
              <w:rPr>
                <w:rFonts w:ascii="Arial" w:eastAsia="宋体" w:hAnsi="Arial" w:cs="Arial"/>
                <w:color w:val="0068B5"/>
                <w:sz w:val="20"/>
                <w:szCs w:val="20"/>
              </w:rPr>
              <w:t>DCG Revenue $B</w:t>
            </w:r>
          </w:p>
        </w:tc>
        <w:tc>
          <w:tcPr>
            <w:tcW w:w="0" w:type="auto"/>
            <w:gridSpan w:val="3"/>
            <w:shd w:val="clear" w:color="auto" w:fill="auto"/>
            <w:tcMar>
              <w:top w:w="0" w:type="dxa"/>
              <w:left w:w="20" w:type="dxa"/>
              <w:bottom w:w="0" w:type="dxa"/>
              <w:right w:w="20" w:type="dxa"/>
            </w:tcMar>
          </w:tcPr>
          <w:p w14:paraId="5C7C6D7E" w14:textId="77777777" w:rsidR="0008009C" w:rsidRDefault="0008009C">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D7F" w14:textId="77777777" w:rsidR="0008009C" w:rsidRDefault="00936FDF">
            <w:pPr>
              <w:jc w:val="center"/>
              <w:textAlignment w:val="bottom"/>
            </w:pPr>
            <w:r>
              <w:rPr>
                <w:rFonts w:ascii="Arial" w:eastAsia="宋体" w:hAnsi="Arial" w:cs="Arial"/>
                <w:color w:val="0068B5"/>
                <w:sz w:val="20"/>
                <w:szCs w:val="20"/>
              </w:rPr>
              <w:t>DCG Operating Income $B</w:t>
            </w:r>
          </w:p>
        </w:tc>
      </w:tr>
    </w:tbl>
    <w:p w14:paraId="5C7C6D81"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2F" wp14:editId="5C7C7D30">
            <wp:extent cx="304800" cy="304800"/>
            <wp:effectExtent l="0" t="0" r="0" b="0"/>
            <wp:docPr id="56" name="图片 85"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85" descr="IMG_28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Viewer7_files/intc-202103</w:instrText>
      </w:r>
      <w:r>
        <w:rPr>
          <w:rFonts w:ascii="宋体" w:eastAsia="宋体" w:hAnsi="宋体" w:cs="宋体"/>
        </w:rPr>
        <w:instrText xml:space="preserve">27_g8.jpg"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31" wp14:editId="5C7C7D32">
            <wp:extent cx="304800" cy="304800"/>
            <wp:effectExtent l="0" t="0" r="0" b="0"/>
            <wp:docPr id="57" name="图片 86"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6" descr="IMG_28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1193"/>
        <w:gridCol w:w="36"/>
        <w:gridCol w:w="36"/>
        <w:gridCol w:w="1288"/>
        <w:gridCol w:w="36"/>
        <w:gridCol w:w="36"/>
        <w:gridCol w:w="8283"/>
        <w:gridCol w:w="36"/>
      </w:tblGrid>
      <w:tr w:rsidR="0008009C" w14:paraId="5C7C6D8B" w14:textId="77777777">
        <w:tc>
          <w:tcPr>
            <w:tcW w:w="20" w:type="dxa"/>
            <w:shd w:val="clear" w:color="auto" w:fill="auto"/>
          </w:tcPr>
          <w:p w14:paraId="5C7C6D82" w14:textId="77777777" w:rsidR="0008009C" w:rsidRDefault="0008009C">
            <w:pPr>
              <w:rPr>
                <w:rFonts w:ascii="宋体"/>
              </w:rPr>
            </w:pPr>
          </w:p>
        </w:tc>
        <w:tc>
          <w:tcPr>
            <w:tcW w:w="1205" w:type="dxa"/>
            <w:shd w:val="clear" w:color="auto" w:fill="auto"/>
          </w:tcPr>
          <w:p w14:paraId="5C7C6D83" w14:textId="77777777" w:rsidR="0008009C" w:rsidRDefault="0008009C">
            <w:pPr>
              <w:rPr>
                <w:rFonts w:ascii="宋体"/>
              </w:rPr>
            </w:pPr>
          </w:p>
        </w:tc>
        <w:tc>
          <w:tcPr>
            <w:tcW w:w="20" w:type="dxa"/>
            <w:shd w:val="clear" w:color="auto" w:fill="auto"/>
          </w:tcPr>
          <w:p w14:paraId="5C7C6D84" w14:textId="77777777" w:rsidR="0008009C" w:rsidRDefault="0008009C">
            <w:pPr>
              <w:rPr>
                <w:rFonts w:ascii="宋体"/>
              </w:rPr>
            </w:pPr>
          </w:p>
        </w:tc>
        <w:tc>
          <w:tcPr>
            <w:tcW w:w="20" w:type="dxa"/>
            <w:shd w:val="clear" w:color="auto" w:fill="auto"/>
          </w:tcPr>
          <w:p w14:paraId="5C7C6D85" w14:textId="77777777" w:rsidR="0008009C" w:rsidRDefault="0008009C">
            <w:pPr>
              <w:rPr>
                <w:rFonts w:ascii="宋体"/>
              </w:rPr>
            </w:pPr>
          </w:p>
        </w:tc>
        <w:tc>
          <w:tcPr>
            <w:tcW w:w="1295" w:type="dxa"/>
            <w:shd w:val="clear" w:color="auto" w:fill="auto"/>
          </w:tcPr>
          <w:p w14:paraId="5C7C6D86" w14:textId="77777777" w:rsidR="0008009C" w:rsidRDefault="0008009C">
            <w:pPr>
              <w:rPr>
                <w:rFonts w:ascii="宋体"/>
              </w:rPr>
            </w:pPr>
          </w:p>
        </w:tc>
        <w:tc>
          <w:tcPr>
            <w:tcW w:w="20" w:type="dxa"/>
            <w:shd w:val="clear" w:color="auto" w:fill="auto"/>
          </w:tcPr>
          <w:p w14:paraId="5C7C6D87" w14:textId="77777777" w:rsidR="0008009C" w:rsidRDefault="0008009C">
            <w:pPr>
              <w:rPr>
                <w:rFonts w:ascii="宋体"/>
              </w:rPr>
            </w:pPr>
          </w:p>
        </w:tc>
        <w:tc>
          <w:tcPr>
            <w:tcW w:w="20" w:type="dxa"/>
            <w:shd w:val="clear" w:color="auto" w:fill="auto"/>
          </w:tcPr>
          <w:p w14:paraId="5C7C6D88" w14:textId="77777777" w:rsidR="0008009C" w:rsidRDefault="0008009C">
            <w:pPr>
              <w:rPr>
                <w:rFonts w:ascii="宋体"/>
              </w:rPr>
            </w:pPr>
          </w:p>
        </w:tc>
        <w:tc>
          <w:tcPr>
            <w:tcW w:w="8360" w:type="dxa"/>
            <w:shd w:val="clear" w:color="auto" w:fill="auto"/>
          </w:tcPr>
          <w:p w14:paraId="5C7C6D89" w14:textId="77777777" w:rsidR="0008009C" w:rsidRDefault="0008009C">
            <w:pPr>
              <w:rPr>
                <w:rFonts w:ascii="宋体"/>
              </w:rPr>
            </w:pPr>
          </w:p>
        </w:tc>
        <w:tc>
          <w:tcPr>
            <w:tcW w:w="20" w:type="dxa"/>
            <w:shd w:val="clear" w:color="auto" w:fill="auto"/>
          </w:tcPr>
          <w:p w14:paraId="5C7C6D8A" w14:textId="77777777" w:rsidR="0008009C" w:rsidRDefault="0008009C">
            <w:pPr>
              <w:rPr>
                <w:rFonts w:ascii="宋体"/>
              </w:rPr>
            </w:pPr>
          </w:p>
        </w:tc>
      </w:tr>
      <w:tr w:rsidR="0008009C" w14:paraId="5C7C6D8F" w14:textId="77777777">
        <w:trPr>
          <w:trHeight w:val="300"/>
        </w:trPr>
        <w:tc>
          <w:tcPr>
            <w:tcW w:w="0" w:type="auto"/>
            <w:gridSpan w:val="3"/>
            <w:shd w:val="clear" w:color="auto" w:fill="auto"/>
            <w:tcMar>
              <w:top w:w="0" w:type="dxa"/>
              <w:left w:w="20" w:type="dxa"/>
              <w:bottom w:w="0" w:type="dxa"/>
              <w:right w:w="20" w:type="dxa"/>
            </w:tcMar>
          </w:tcPr>
          <w:p w14:paraId="5C7C6D8C"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center"/>
          </w:tcPr>
          <w:p w14:paraId="5C7C6D8D" w14:textId="77777777" w:rsidR="0008009C" w:rsidRDefault="00936FDF">
            <w:pPr>
              <w:textAlignment w:val="center"/>
            </w:pPr>
            <w:r>
              <w:rPr>
                <w:rFonts w:ascii="Arial" w:eastAsia="宋体" w:hAnsi="Arial" w:cs="Arial"/>
                <w:color w:val="004A86"/>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Platform</w:t>
            </w:r>
          </w:p>
        </w:tc>
        <w:tc>
          <w:tcPr>
            <w:tcW w:w="0" w:type="auto"/>
            <w:gridSpan w:val="3"/>
            <w:shd w:val="clear" w:color="auto" w:fill="auto"/>
            <w:tcMar>
              <w:top w:w="40" w:type="dxa"/>
              <w:left w:w="20" w:type="dxa"/>
              <w:bottom w:w="40" w:type="dxa"/>
              <w:right w:w="20" w:type="dxa"/>
            </w:tcMar>
            <w:vAlign w:val="center"/>
          </w:tcPr>
          <w:p w14:paraId="5C7C6D8E" w14:textId="77777777" w:rsidR="0008009C" w:rsidRDefault="00936FDF">
            <w:pPr>
              <w:textAlignment w:val="center"/>
            </w:pPr>
            <w:r>
              <w:rPr>
                <w:rFonts w:ascii="Arial" w:eastAsia="宋体" w:hAnsi="Arial" w:cs="Arial"/>
                <w:color w:val="FF8F51"/>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Adjacent</w:t>
            </w:r>
          </w:p>
        </w:tc>
      </w:tr>
    </w:tbl>
    <w:p w14:paraId="5C7C6D90"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8009C" w14:paraId="5C7C6D94" w14:textId="77777777">
        <w:tc>
          <w:tcPr>
            <w:tcW w:w="50" w:type="pct"/>
            <w:shd w:val="clear" w:color="auto" w:fill="auto"/>
          </w:tcPr>
          <w:p w14:paraId="5C7C6D91" w14:textId="77777777" w:rsidR="0008009C" w:rsidRDefault="0008009C">
            <w:pPr>
              <w:rPr>
                <w:rFonts w:ascii="宋体"/>
              </w:rPr>
            </w:pPr>
          </w:p>
        </w:tc>
        <w:tc>
          <w:tcPr>
            <w:tcW w:w="4945" w:type="pct"/>
            <w:shd w:val="clear" w:color="auto" w:fill="auto"/>
          </w:tcPr>
          <w:p w14:paraId="5C7C6D92" w14:textId="77777777" w:rsidR="0008009C" w:rsidRDefault="0008009C">
            <w:pPr>
              <w:rPr>
                <w:rFonts w:ascii="宋体"/>
              </w:rPr>
            </w:pPr>
          </w:p>
        </w:tc>
        <w:tc>
          <w:tcPr>
            <w:tcW w:w="5" w:type="pct"/>
            <w:shd w:val="clear" w:color="auto" w:fill="auto"/>
          </w:tcPr>
          <w:p w14:paraId="5C7C6D93" w14:textId="77777777" w:rsidR="0008009C" w:rsidRDefault="0008009C">
            <w:pPr>
              <w:rPr>
                <w:rFonts w:ascii="宋体"/>
              </w:rPr>
            </w:pPr>
          </w:p>
        </w:tc>
      </w:tr>
      <w:tr w:rsidR="0008009C" w14:paraId="5C7C6D96"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D95" w14:textId="77777777" w:rsidR="0008009C" w:rsidRDefault="00936FDF">
            <w:pPr>
              <w:textAlignment w:val="bottom"/>
            </w:pPr>
            <w:r>
              <w:rPr>
                <w:rFonts w:ascii="Arial" w:eastAsia="宋体" w:hAnsi="Arial" w:cs="Arial"/>
                <w:color w:val="0068B5"/>
                <w:sz w:val="20"/>
                <w:szCs w:val="20"/>
              </w:rPr>
              <w:t>Revenue Summary</w:t>
            </w:r>
          </w:p>
        </w:tc>
      </w:tr>
    </w:tbl>
    <w:p w14:paraId="5C7C6D97" w14:textId="77777777" w:rsidR="0008009C" w:rsidRDefault="00936FDF">
      <w:pPr>
        <w:spacing w:before="180" w:after="180"/>
      </w:pPr>
      <w:r>
        <w:rPr>
          <w:rFonts w:ascii="Arial" w:eastAsia="宋体" w:hAnsi="Arial" w:cs="Arial"/>
          <w:color w:val="262626"/>
          <w:sz w:val="18"/>
          <w:szCs w:val="18"/>
        </w:rPr>
        <w:t xml:space="preserve">Revenue in Q1 2021 was down 20% compared to Q1 2020, driven by decreased volume and lower ASPs on higher SoC volume and weaker core mix. The decline was </w:t>
      </w:r>
      <w:r>
        <w:rPr>
          <w:rFonts w:ascii="Arial" w:eastAsia="宋体" w:hAnsi="Arial" w:cs="Arial"/>
          <w:color w:val="262626"/>
          <w:sz w:val="18"/>
          <w:szCs w:val="18"/>
        </w:rPr>
        <w:t>partially offset by growth in adjacencies driven by 5G networking deployment. Year over year revenue in the cloud service providers market segment was down 29% due to a continued capacity digestion cycle, and the enterprise and government market segment wa</w:t>
      </w:r>
      <w:r>
        <w:rPr>
          <w:rFonts w:ascii="Arial" w:eastAsia="宋体" w:hAnsi="Arial" w:cs="Arial"/>
          <w:color w:val="262626"/>
          <w:sz w:val="18"/>
          <w:szCs w:val="18"/>
        </w:rPr>
        <w:t>s down 20% driven by weaker macroeconomic conditions due to COVID-19. The communications service providers market segment was up 5% year over year.</w:t>
      </w:r>
    </w:p>
    <w:p w14:paraId="5C7C6D98" w14:textId="77777777" w:rsidR="0008009C" w:rsidRDefault="00936FDF">
      <w:pPr>
        <w:spacing w:after="180"/>
      </w:pPr>
      <w:r>
        <w:rPr>
          <w:rFonts w:ascii="Arial" w:eastAsia="宋体" w:hAnsi="Arial" w:cs="Arial"/>
          <w:color w:val="262626"/>
          <w:sz w:val="18"/>
          <w:szCs w:val="18"/>
        </w:rPr>
        <w:t>We expect increased demand in the second half of the year as cloud digestion subsides, along with recovery i</w:t>
      </w:r>
      <w:r>
        <w:rPr>
          <w:rFonts w:ascii="Arial" w:eastAsia="宋体" w:hAnsi="Arial" w:cs="Arial"/>
          <w:color w:val="262626"/>
          <w:sz w:val="18"/>
          <w:szCs w:val="18"/>
        </w:rPr>
        <w:t xml:space="preserve">n our enterprise and government market segment. U.S. export licensing policies with China and parties on the U.S. government Entity List may have an adverse impact on demand. </w:t>
      </w:r>
    </w:p>
    <w:tbl>
      <w:tblPr>
        <w:tblW w:w="5000" w:type="pct"/>
        <w:tblCellMar>
          <w:top w:w="15" w:type="dxa"/>
          <w:left w:w="15" w:type="dxa"/>
          <w:bottom w:w="15" w:type="dxa"/>
          <w:right w:w="15" w:type="dxa"/>
        </w:tblCellMar>
        <w:tblLook w:val="04A0" w:firstRow="1" w:lastRow="0" w:firstColumn="1" w:lastColumn="0" w:noHBand="0" w:noVBand="1"/>
      </w:tblPr>
      <w:tblGrid>
        <w:gridCol w:w="48"/>
        <w:gridCol w:w="5455"/>
        <w:gridCol w:w="36"/>
        <w:gridCol w:w="36"/>
        <w:gridCol w:w="36"/>
        <w:gridCol w:w="36"/>
        <w:gridCol w:w="67"/>
        <w:gridCol w:w="398"/>
        <w:gridCol w:w="36"/>
        <w:gridCol w:w="64"/>
        <w:gridCol w:w="498"/>
        <w:gridCol w:w="36"/>
        <w:gridCol w:w="36"/>
        <w:gridCol w:w="36"/>
        <w:gridCol w:w="36"/>
        <w:gridCol w:w="122"/>
        <w:gridCol w:w="783"/>
        <w:gridCol w:w="37"/>
        <w:gridCol w:w="36"/>
        <w:gridCol w:w="36"/>
        <w:gridCol w:w="36"/>
        <w:gridCol w:w="36"/>
        <w:gridCol w:w="36"/>
        <w:gridCol w:w="36"/>
        <w:gridCol w:w="36"/>
        <w:gridCol w:w="36"/>
        <w:gridCol w:w="36"/>
        <w:gridCol w:w="36"/>
        <w:gridCol w:w="36"/>
        <w:gridCol w:w="36"/>
        <w:gridCol w:w="36"/>
        <w:gridCol w:w="36"/>
        <w:gridCol w:w="36"/>
      </w:tblGrid>
      <w:tr w:rsidR="0008009C" w14:paraId="5C7C6DB0" w14:textId="77777777">
        <w:tc>
          <w:tcPr>
            <w:tcW w:w="50" w:type="pct"/>
            <w:shd w:val="clear" w:color="auto" w:fill="auto"/>
          </w:tcPr>
          <w:p w14:paraId="5C7C6D99" w14:textId="77777777" w:rsidR="0008009C" w:rsidRDefault="0008009C">
            <w:pPr>
              <w:rPr>
                <w:rFonts w:ascii="宋体"/>
              </w:rPr>
            </w:pPr>
          </w:p>
        </w:tc>
        <w:tc>
          <w:tcPr>
            <w:tcW w:w="3517" w:type="pct"/>
            <w:shd w:val="clear" w:color="auto" w:fill="auto"/>
          </w:tcPr>
          <w:p w14:paraId="5C7C6D9A" w14:textId="77777777" w:rsidR="0008009C" w:rsidRDefault="0008009C">
            <w:pPr>
              <w:rPr>
                <w:rFonts w:ascii="宋体"/>
              </w:rPr>
            </w:pPr>
          </w:p>
        </w:tc>
        <w:tc>
          <w:tcPr>
            <w:tcW w:w="5" w:type="pct"/>
            <w:shd w:val="clear" w:color="auto" w:fill="auto"/>
          </w:tcPr>
          <w:p w14:paraId="5C7C6D9B" w14:textId="77777777" w:rsidR="0008009C" w:rsidRDefault="0008009C">
            <w:pPr>
              <w:rPr>
                <w:rFonts w:ascii="宋体"/>
              </w:rPr>
            </w:pPr>
          </w:p>
        </w:tc>
        <w:tc>
          <w:tcPr>
            <w:tcW w:w="5" w:type="pct"/>
            <w:shd w:val="clear" w:color="auto" w:fill="auto"/>
          </w:tcPr>
          <w:p w14:paraId="5C7C6D9C" w14:textId="77777777" w:rsidR="0008009C" w:rsidRDefault="0008009C">
            <w:pPr>
              <w:rPr>
                <w:rFonts w:ascii="宋体"/>
              </w:rPr>
            </w:pPr>
          </w:p>
        </w:tc>
        <w:tc>
          <w:tcPr>
            <w:tcW w:w="24" w:type="pct"/>
            <w:shd w:val="clear" w:color="auto" w:fill="auto"/>
          </w:tcPr>
          <w:p w14:paraId="5C7C6D9D" w14:textId="77777777" w:rsidR="0008009C" w:rsidRDefault="0008009C">
            <w:pPr>
              <w:rPr>
                <w:rFonts w:ascii="宋体"/>
              </w:rPr>
            </w:pPr>
          </w:p>
        </w:tc>
        <w:tc>
          <w:tcPr>
            <w:tcW w:w="5" w:type="pct"/>
            <w:shd w:val="clear" w:color="auto" w:fill="auto"/>
          </w:tcPr>
          <w:p w14:paraId="5C7C6D9E" w14:textId="77777777" w:rsidR="0008009C" w:rsidRDefault="0008009C">
            <w:pPr>
              <w:rPr>
                <w:rFonts w:ascii="宋体"/>
              </w:rPr>
            </w:pPr>
          </w:p>
        </w:tc>
        <w:tc>
          <w:tcPr>
            <w:tcW w:w="50" w:type="pct"/>
            <w:shd w:val="clear" w:color="auto" w:fill="auto"/>
          </w:tcPr>
          <w:p w14:paraId="5C7C6D9F" w14:textId="77777777" w:rsidR="0008009C" w:rsidRDefault="0008009C">
            <w:pPr>
              <w:rPr>
                <w:rFonts w:ascii="宋体"/>
              </w:rPr>
            </w:pPr>
          </w:p>
        </w:tc>
        <w:tc>
          <w:tcPr>
            <w:tcW w:w="300" w:type="pct"/>
            <w:shd w:val="clear" w:color="auto" w:fill="auto"/>
          </w:tcPr>
          <w:p w14:paraId="5C7C6DA0" w14:textId="77777777" w:rsidR="0008009C" w:rsidRDefault="0008009C">
            <w:pPr>
              <w:rPr>
                <w:rFonts w:ascii="宋体"/>
              </w:rPr>
            </w:pPr>
          </w:p>
        </w:tc>
        <w:tc>
          <w:tcPr>
            <w:tcW w:w="5" w:type="pct"/>
            <w:shd w:val="clear" w:color="auto" w:fill="auto"/>
          </w:tcPr>
          <w:p w14:paraId="5C7C6DA1" w14:textId="77777777" w:rsidR="0008009C" w:rsidRDefault="0008009C">
            <w:pPr>
              <w:rPr>
                <w:rFonts w:ascii="宋体"/>
              </w:rPr>
            </w:pPr>
          </w:p>
        </w:tc>
        <w:tc>
          <w:tcPr>
            <w:tcW w:w="50" w:type="pct"/>
            <w:shd w:val="clear" w:color="auto" w:fill="auto"/>
          </w:tcPr>
          <w:p w14:paraId="5C7C6DA2" w14:textId="77777777" w:rsidR="0008009C" w:rsidRDefault="0008009C">
            <w:pPr>
              <w:rPr>
                <w:rFonts w:ascii="宋体"/>
              </w:rPr>
            </w:pPr>
          </w:p>
        </w:tc>
        <w:tc>
          <w:tcPr>
            <w:tcW w:w="354" w:type="pct"/>
            <w:shd w:val="clear" w:color="auto" w:fill="auto"/>
          </w:tcPr>
          <w:p w14:paraId="5C7C6DA3" w14:textId="77777777" w:rsidR="0008009C" w:rsidRDefault="0008009C">
            <w:pPr>
              <w:rPr>
                <w:rFonts w:ascii="宋体"/>
              </w:rPr>
            </w:pPr>
          </w:p>
        </w:tc>
        <w:tc>
          <w:tcPr>
            <w:tcW w:w="5" w:type="pct"/>
            <w:shd w:val="clear" w:color="auto" w:fill="auto"/>
          </w:tcPr>
          <w:p w14:paraId="5C7C6DA4" w14:textId="77777777" w:rsidR="0008009C" w:rsidRDefault="0008009C">
            <w:pPr>
              <w:rPr>
                <w:rFonts w:ascii="宋体"/>
              </w:rPr>
            </w:pPr>
          </w:p>
        </w:tc>
        <w:tc>
          <w:tcPr>
            <w:tcW w:w="5" w:type="pct"/>
            <w:shd w:val="clear" w:color="auto" w:fill="auto"/>
          </w:tcPr>
          <w:p w14:paraId="5C7C6DA5" w14:textId="77777777" w:rsidR="0008009C" w:rsidRDefault="0008009C">
            <w:pPr>
              <w:rPr>
                <w:rFonts w:ascii="宋体"/>
              </w:rPr>
            </w:pPr>
          </w:p>
        </w:tc>
        <w:tc>
          <w:tcPr>
            <w:tcW w:w="24" w:type="pct"/>
            <w:shd w:val="clear" w:color="auto" w:fill="auto"/>
          </w:tcPr>
          <w:p w14:paraId="5C7C6DA6" w14:textId="77777777" w:rsidR="0008009C" w:rsidRDefault="0008009C">
            <w:pPr>
              <w:rPr>
                <w:rFonts w:ascii="宋体"/>
              </w:rPr>
            </w:pPr>
          </w:p>
        </w:tc>
        <w:tc>
          <w:tcPr>
            <w:tcW w:w="5" w:type="pct"/>
            <w:shd w:val="clear" w:color="auto" w:fill="auto"/>
          </w:tcPr>
          <w:p w14:paraId="5C7C6DA7" w14:textId="77777777" w:rsidR="0008009C" w:rsidRDefault="0008009C">
            <w:pPr>
              <w:rPr>
                <w:rFonts w:ascii="宋体"/>
              </w:rPr>
            </w:pPr>
          </w:p>
        </w:tc>
        <w:tc>
          <w:tcPr>
            <w:tcW w:w="50" w:type="pct"/>
            <w:shd w:val="clear" w:color="auto" w:fill="auto"/>
          </w:tcPr>
          <w:p w14:paraId="5C7C6DA8" w14:textId="77777777" w:rsidR="0008009C" w:rsidRDefault="0008009C">
            <w:pPr>
              <w:rPr>
                <w:rFonts w:ascii="宋体"/>
              </w:rPr>
            </w:pPr>
          </w:p>
        </w:tc>
        <w:tc>
          <w:tcPr>
            <w:tcW w:w="539" w:type="pct"/>
            <w:shd w:val="clear" w:color="auto" w:fill="auto"/>
          </w:tcPr>
          <w:p w14:paraId="5C7C6DA9" w14:textId="77777777" w:rsidR="0008009C" w:rsidRDefault="0008009C">
            <w:pPr>
              <w:rPr>
                <w:rFonts w:ascii="宋体"/>
              </w:rPr>
            </w:pPr>
          </w:p>
        </w:tc>
        <w:tc>
          <w:tcPr>
            <w:tcW w:w="5" w:type="pct"/>
            <w:shd w:val="clear" w:color="auto" w:fill="auto"/>
          </w:tcPr>
          <w:p w14:paraId="5C7C6DAA" w14:textId="77777777" w:rsidR="0008009C" w:rsidRDefault="0008009C">
            <w:pPr>
              <w:rPr>
                <w:rFonts w:ascii="宋体"/>
              </w:rPr>
            </w:pPr>
          </w:p>
        </w:tc>
        <w:tc>
          <w:tcPr>
            <w:tcW w:w="0" w:type="auto"/>
            <w:gridSpan w:val="3"/>
            <w:shd w:val="clear" w:color="auto" w:fill="auto"/>
          </w:tcPr>
          <w:p w14:paraId="5C7C6DAB" w14:textId="77777777" w:rsidR="0008009C" w:rsidRDefault="0008009C">
            <w:pPr>
              <w:rPr>
                <w:rFonts w:ascii="宋体"/>
                <w:vanish/>
              </w:rPr>
            </w:pPr>
          </w:p>
        </w:tc>
        <w:tc>
          <w:tcPr>
            <w:tcW w:w="0" w:type="auto"/>
            <w:gridSpan w:val="3"/>
            <w:shd w:val="clear" w:color="auto" w:fill="auto"/>
          </w:tcPr>
          <w:p w14:paraId="5C7C6DAC" w14:textId="77777777" w:rsidR="0008009C" w:rsidRDefault="0008009C">
            <w:pPr>
              <w:rPr>
                <w:rFonts w:ascii="宋体"/>
                <w:vanish/>
              </w:rPr>
            </w:pPr>
          </w:p>
        </w:tc>
        <w:tc>
          <w:tcPr>
            <w:tcW w:w="0" w:type="auto"/>
            <w:gridSpan w:val="3"/>
            <w:shd w:val="clear" w:color="auto" w:fill="auto"/>
          </w:tcPr>
          <w:p w14:paraId="5C7C6DAD" w14:textId="77777777" w:rsidR="0008009C" w:rsidRDefault="0008009C">
            <w:pPr>
              <w:rPr>
                <w:rFonts w:ascii="宋体"/>
                <w:vanish/>
              </w:rPr>
            </w:pPr>
          </w:p>
        </w:tc>
        <w:tc>
          <w:tcPr>
            <w:tcW w:w="0" w:type="auto"/>
            <w:gridSpan w:val="3"/>
            <w:shd w:val="clear" w:color="auto" w:fill="auto"/>
          </w:tcPr>
          <w:p w14:paraId="5C7C6DAE" w14:textId="77777777" w:rsidR="0008009C" w:rsidRDefault="0008009C">
            <w:pPr>
              <w:rPr>
                <w:rFonts w:ascii="宋体"/>
                <w:vanish/>
              </w:rPr>
            </w:pPr>
          </w:p>
        </w:tc>
        <w:tc>
          <w:tcPr>
            <w:tcW w:w="0" w:type="auto"/>
            <w:gridSpan w:val="3"/>
            <w:shd w:val="clear" w:color="auto" w:fill="auto"/>
          </w:tcPr>
          <w:p w14:paraId="5C7C6DAF" w14:textId="77777777" w:rsidR="0008009C" w:rsidRDefault="0008009C">
            <w:pPr>
              <w:rPr>
                <w:rFonts w:ascii="宋体"/>
                <w:vanish/>
              </w:rPr>
            </w:pPr>
          </w:p>
        </w:tc>
      </w:tr>
      <w:tr w:rsidR="0008009C" w14:paraId="5C7C6DBF" w14:textId="77777777">
        <w:tc>
          <w:tcPr>
            <w:tcW w:w="0" w:type="auto"/>
            <w:gridSpan w:val="3"/>
            <w:shd w:val="clear" w:color="auto" w:fill="auto"/>
            <w:tcMar>
              <w:top w:w="0" w:type="dxa"/>
              <w:left w:w="20" w:type="dxa"/>
              <w:bottom w:w="0" w:type="dxa"/>
              <w:right w:w="20" w:type="dxa"/>
            </w:tcMar>
          </w:tcPr>
          <w:p w14:paraId="5C7C6DB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DB2" w14:textId="77777777" w:rsidR="0008009C" w:rsidRDefault="0008009C">
            <w:pPr>
              <w:rPr>
                <w:rFonts w:ascii="宋体"/>
              </w:rPr>
            </w:pPr>
          </w:p>
        </w:tc>
        <w:tc>
          <w:tcPr>
            <w:tcW w:w="0" w:type="auto"/>
            <w:gridSpan w:val="12"/>
            <w:shd w:val="clear" w:color="auto" w:fill="auto"/>
            <w:tcMar>
              <w:top w:w="40" w:type="dxa"/>
              <w:left w:w="20" w:type="dxa"/>
              <w:bottom w:w="40" w:type="dxa"/>
              <w:right w:w="20" w:type="dxa"/>
            </w:tcMar>
            <w:vAlign w:val="bottom"/>
          </w:tcPr>
          <w:p w14:paraId="5C7C6DB3" w14:textId="77777777" w:rsidR="0008009C" w:rsidRDefault="00936FDF">
            <w:pPr>
              <w:jc w:val="center"/>
              <w:textAlignment w:val="bottom"/>
            </w:pPr>
            <w:r>
              <w:rPr>
                <w:rFonts w:ascii="Arial" w:eastAsia="宋体" w:hAnsi="Arial" w:cs="Arial"/>
                <w:b/>
                <w:bCs/>
                <w:color w:val="262626"/>
                <w:sz w:val="18"/>
                <w:szCs w:val="18"/>
              </w:rPr>
              <w:t>Q1 2021 vs. Q1 2020</w:t>
            </w:r>
          </w:p>
        </w:tc>
        <w:tc>
          <w:tcPr>
            <w:tcW w:w="0" w:type="auto"/>
            <w:gridSpan w:val="3"/>
            <w:shd w:val="clear" w:color="auto" w:fill="auto"/>
          </w:tcPr>
          <w:p w14:paraId="5C7C6DB4" w14:textId="77777777" w:rsidR="0008009C" w:rsidRDefault="0008009C">
            <w:pPr>
              <w:rPr>
                <w:rFonts w:ascii="宋体"/>
                <w:vanish/>
              </w:rPr>
            </w:pPr>
          </w:p>
        </w:tc>
        <w:tc>
          <w:tcPr>
            <w:tcW w:w="0" w:type="auto"/>
            <w:gridSpan w:val="3"/>
            <w:shd w:val="clear" w:color="auto" w:fill="auto"/>
          </w:tcPr>
          <w:p w14:paraId="5C7C6DB5" w14:textId="77777777" w:rsidR="0008009C" w:rsidRDefault="0008009C">
            <w:pPr>
              <w:rPr>
                <w:rFonts w:ascii="宋体"/>
                <w:vanish/>
              </w:rPr>
            </w:pPr>
          </w:p>
        </w:tc>
        <w:tc>
          <w:tcPr>
            <w:tcW w:w="0" w:type="auto"/>
            <w:shd w:val="clear" w:color="auto" w:fill="auto"/>
          </w:tcPr>
          <w:p w14:paraId="5C7C6DB6" w14:textId="77777777" w:rsidR="0008009C" w:rsidRDefault="0008009C">
            <w:pPr>
              <w:rPr>
                <w:rFonts w:ascii="宋体"/>
              </w:rPr>
            </w:pPr>
          </w:p>
        </w:tc>
        <w:tc>
          <w:tcPr>
            <w:tcW w:w="0" w:type="auto"/>
            <w:shd w:val="clear" w:color="auto" w:fill="auto"/>
          </w:tcPr>
          <w:p w14:paraId="5C7C6DB7" w14:textId="77777777" w:rsidR="0008009C" w:rsidRDefault="0008009C">
            <w:pPr>
              <w:rPr>
                <w:rFonts w:ascii="宋体"/>
              </w:rPr>
            </w:pPr>
          </w:p>
        </w:tc>
        <w:tc>
          <w:tcPr>
            <w:tcW w:w="0" w:type="auto"/>
            <w:shd w:val="clear" w:color="auto" w:fill="auto"/>
          </w:tcPr>
          <w:p w14:paraId="5C7C6DB8" w14:textId="77777777" w:rsidR="0008009C" w:rsidRDefault="0008009C">
            <w:pPr>
              <w:rPr>
                <w:rFonts w:ascii="宋体"/>
              </w:rPr>
            </w:pPr>
          </w:p>
        </w:tc>
        <w:tc>
          <w:tcPr>
            <w:tcW w:w="0" w:type="auto"/>
            <w:shd w:val="clear" w:color="auto" w:fill="auto"/>
          </w:tcPr>
          <w:p w14:paraId="5C7C6DB9" w14:textId="77777777" w:rsidR="0008009C" w:rsidRDefault="0008009C">
            <w:pPr>
              <w:rPr>
                <w:rFonts w:ascii="宋体"/>
              </w:rPr>
            </w:pPr>
          </w:p>
        </w:tc>
        <w:tc>
          <w:tcPr>
            <w:tcW w:w="0" w:type="auto"/>
            <w:shd w:val="clear" w:color="auto" w:fill="auto"/>
          </w:tcPr>
          <w:p w14:paraId="5C7C6DBA" w14:textId="77777777" w:rsidR="0008009C" w:rsidRDefault="0008009C">
            <w:pPr>
              <w:rPr>
                <w:rFonts w:ascii="宋体"/>
              </w:rPr>
            </w:pPr>
          </w:p>
        </w:tc>
        <w:tc>
          <w:tcPr>
            <w:tcW w:w="0" w:type="auto"/>
            <w:shd w:val="clear" w:color="auto" w:fill="auto"/>
          </w:tcPr>
          <w:p w14:paraId="5C7C6DBB" w14:textId="77777777" w:rsidR="0008009C" w:rsidRDefault="0008009C">
            <w:pPr>
              <w:rPr>
                <w:rFonts w:ascii="宋体"/>
              </w:rPr>
            </w:pPr>
          </w:p>
        </w:tc>
        <w:tc>
          <w:tcPr>
            <w:tcW w:w="0" w:type="auto"/>
            <w:shd w:val="clear" w:color="auto" w:fill="auto"/>
          </w:tcPr>
          <w:p w14:paraId="5C7C6DBC" w14:textId="77777777" w:rsidR="0008009C" w:rsidRDefault="0008009C">
            <w:pPr>
              <w:rPr>
                <w:rFonts w:ascii="宋体"/>
              </w:rPr>
            </w:pPr>
          </w:p>
        </w:tc>
        <w:tc>
          <w:tcPr>
            <w:tcW w:w="0" w:type="auto"/>
            <w:shd w:val="clear" w:color="auto" w:fill="auto"/>
          </w:tcPr>
          <w:p w14:paraId="5C7C6DBD" w14:textId="77777777" w:rsidR="0008009C" w:rsidRDefault="0008009C">
            <w:pPr>
              <w:rPr>
                <w:rFonts w:ascii="宋体"/>
              </w:rPr>
            </w:pPr>
          </w:p>
        </w:tc>
        <w:tc>
          <w:tcPr>
            <w:tcW w:w="0" w:type="auto"/>
            <w:shd w:val="clear" w:color="auto" w:fill="auto"/>
          </w:tcPr>
          <w:p w14:paraId="5C7C6DBE" w14:textId="77777777" w:rsidR="0008009C" w:rsidRDefault="0008009C">
            <w:pPr>
              <w:rPr>
                <w:rFonts w:ascii="宋体"/>
              </w:rPr>
            </w:pPr>
          </w:p>
        </w:tc>
      </w:tr>
      <w:tr w:rsidR="0008009C" w14:paraId="5C7C6DCC" w14:textId="77777777">
        <w:tc>
          <w:tcPr>
            <w:tcW w:w="0" w:type="auto"/>
            <w:gridSpan w:val="3"/>
            <w:shd w:val="clear" w:color="auto" w:fill="auto"/>
            <w:tcMar>
              <w:top w:w="40" w:type="dxa"/>
              <w:left w:w="20" w:type="dxa"/>
              <w:bottom w:w="40" w:type="dxa"/>
              <w:right w:w="20" w:type="dxa"/>
            </w:tcMar>
            <w:vAlign w:val="bottom"/>
          </w:tcPr>
          <w:p w14:paraId="5C7C6DC0"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6DC1" w14:textId="77777777" w:rsidR="0008009C" w:rsidRDefault="0008009C">
            <w:pPr>
              <w:rPr>
                <w:rFonts w:ascii="宋体"/>
              </w:rPr>
            </w:pPr>
          </w:p>
        </w:tc>
        <w:tc>
          <w:tcPr>
            <w:tcW w:w="0" w:type="auto"/>
            <w:gridSpan w:val="6"/>
            <w:tcBorders>
              <w:top w:val="single" w:sz="8" w:space="0" w:color="0068B5"/>
            </w:tcBorders>
            <w:shd w:val="clear" w:color="auto" w:fill="auto"/>
            <w:tcMar>
              <w:top w:w="40" w:type="dxa"/>
              <w:left w:w="20" w:type="dxa"/>
              <w:bottom w:w="40" w:type="dxa"/>
              <w:right w:w="20" w:type="dxa"/>
            </w:tcMar>
            <w:vAlign w:val="bottom"/>
          </w:tcPr>
          <w:p w14:paraId="5C7C6DC2" w14:textId="77777777" w:rsidR="0008009C" w:rsidRDefault="00936FDF">
            <w:pPr>
              <w:jc w:val="center"/>
              <w:textAlignment w:val="bottom"/>
            </w:pPr>
            <w:r>
              <w:rPr>
                <w:rFonts w:ascii="Arial" w:eastAsia="宋体" w:hAnsi="Arial" w:cs="Arial"/>
                <w:b/>
                <w:bCs/>
                <w:color w:val="262626"/>
                <w:sz w:val="18"/>
                <w:szCs w:val="18"/>
              </w:rPr>
              <w:t xml:space="preserve">% </w:t>
            </w:r>
          </w:p>
        </w:tc>
        <w:tc>
          <w:tcPr>
            <w:tcW w:w="0" w:type="auto"/>
            <w:gridSpan w:val="3"/>
            <w:tcBorders>
              <w:top w:val="single" w:sz="8" w:space="0" w:color="0068B5"/>
            </w:tcBorders>
            <w:shd w:val="clear" w:color="auto" w:fill="auto"/>
            <w:tcMar>
              <w:top w:w="0" w:type="dxa"/>
              <w:left w:w="20" w:type="dxa"/>
              <w:bottom w:w="0" w:type="dxa"/>
              <w:right w:w="20" w:type="dxa"/>
            </w:tcMar>
          </w:tcPr>
          <w:p w14:paraId="5C7C6DC3"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DC4" w14:textId="77777777" w:rsidR="0008009C" w:rsidRDefault="00936FDF">
            <w:pPr>
              <w:jc w:val="center"/>
              <w:textAlignment w:val="bottom"/>
            </w:pPr>
            <w:r>
              <w:rPr>
                <w:rFonts w:ascii="Arial" w:eastAsia="宋体" w:hAnsi="Arial" w:cs="Arial"/>
                <w:b/>
                <w:bCs/>
                <w:color w:val="262626"/>
                <w:sz w:val="18"/>
                <w:szCs w:val="18"/>
              </w:rPr>
              <w:t>$ Impact</w:t>
            </w:r>
          </w:p>
        </w:tc>
        <w:tc>
          <w:tcPr>
            <w:tcW w:w="0" w:type="auto"/>
            <w:gridSpan w:val="3"/>
            <w:shd w:val="clear" w:color="auto" w:fill="auto"/>
          </w:tcPr>
          <w:p w14:paraId="5C7C6DC5" w14:textId="77777777" w:rsidR="0008009C" w:rsidRDefault="0008009C">
            <w:pPr>
              <w:rPr>
                <w:rFonts w:ascii="宋体"/>
                <w:vanish/>
              </w:rPr>
            </w:pPr>
          </w:p>
        </w:tc>
        <w:tc>
          <w:tcPr>
            <w:tcW w:w="0" w:type="auto"/>
            <w:gridSpan w:val="3"/>
            <w:shd w:val="clear" w:color="auto" w:fill="auto"/>
          </w:tcPr>
          <w:p w14:paraId="5C7C6DC6" w14:textId="77777777" w:rsidR="0008009C" w:rsidRDefault="0008009C">
            <w:pPr>
              <w:rPr>
                <w:rFonts w:ascii="宋体"/>
                <w:vanish/>
              </w:rPr>
            </w:pPr>
          </w:p>
        </w:tc>
        <w:tc>
          <w:tcPr>
            <w:tcW w:w="0" w:type="auto"/>
            <w:gridSpan w:val="3"/>
            <w:shd w:val="clear" w:color="auto" w:fill="auto"/>
          </w:tcPr>
          <w:p w14:paraId="5C7C6DC7" w14:textId="77777777" w:rsidR="0008009C" w:rsidRDefault="0008009C">
            <w:pPr>
              <w:rPr>
                <w:rFonts w:ascii="宋体"/>
                <w:vanish/>
              </w:rPr>
            </w:pPr>
          </w:p>
        </w:tc>
        <w:tc>
          <w:tcPr>
            <w:tcW w:w="0" w:type="auto"/>
            <w:gridSpan w:val="3"/>
            <w:shd w:val="clear" w:color="auto" w:fill="auto"/>
          </w:tcPr>
          <w:p w14:paraId="5C7C6DC8" w14:textId="77777777" w:rsidR="0008009C" w:rsidRDefault="0008009C">
            <w:pPr>
              <w:rPr>
                <w:rFonts w:ascii="宋体"/>
                <w:vanish/>
              </w:rPr>
            </w:pPr>
          </w:p>
        </w:tc>
        <w:tc>
          <w:tcPr>
            <w:tcW w:w="0" w:type="auto"/>
            <w:shd w:val="clear" w:color="auto" w:fill="auto"/>
          </w:tcPr>
          <w:p w14:paraId="5C7C6DC9" w14:textId="77777777" w:rsidR="0008009C" w:rsidRDefault="0008009C">
            <w:pPr>
              <w:rPr>
                <w:rFonts w:ascii="宋体"/>
              </w:rPr>
            </w:pPr>
          </w:p>
        </w:tc>
        <w:tc>
          <w:tcPr>
            <w:tcW w:w="0" w:type="auto"/>
            <w:shd w:val="clear" w:color="auto" w:fill="auto"/>
          </w:tcPr>
          <w:p w14:paraId="5C7C6DCA" w14:textId="77777777" w:rsidR="0008009C" w:rsidRDefault="0008009C">
            <w:pPr>
              <w:rPr>
                <w:rFonts w:ascii="宋体"/>
              </w:rPr>
            </w:pPr>
          </w:p>
        </w:tc>
        <w:tc>
          <w:tcPr>
            <w:tcW w:w="0" w:type="auto"/>
            <w:shd w:val="clear" w:color="auto" w:fill="auto"/>
          </w:tcPr>
          <w:p w14:paraId="5C7C6DCB" w14:textId="77777777" w:rsidR="0008009C" w:rsidRDefault="0008009C">
            <w:pPr>
              <w:rPr>
                <w:rFonts w:ascii="宋体"/>
              </w:rPr>
            </w:pPr>
          </w:p>
        </w:tc>
      </w:tr>
      <w:tr w:rsidR="0008009C" w14:paraId="5C7C6DD8" w14:textId="77777777">
        <w:trPr>
          <w:hidden/>
        </w:trPr>
        <w:tc>
          <w:tcPr>
            <w:tcW w:w="0" w:type="auto"/>
            <w:gridSpan w:val="3"/>
            <w:shd w:val="clear" w:color="auto" w:fill="auto"/>
          </w:tcPr>
          <w:p w14:paraId="5C7C6DCD" w14:textId="77777777" w:rsidR="0008009C" w:rsidRDefault="0008009C">
            <w:pPr>
              <w:rPr>
                <w:rFonts w:ascii="宋体"/>
                <w:vanish/>
              </w:rPr>
            </w:pPr>
          </w:p>
        </w:tc>
        <w:tc>
          <w:tcPr>
            <w:tcW w:w="0" w:type="auto"/>
            <w:gridSpan w:val="3"/>
            <w:shd w:val="clear" w:color="auto" w:fill="auto"/>
          </w:tcPr>
          <w:p w14:paraId="5C7C6DCE" w14:textId="77777777" w:rsidR="0008009C" w:rsidRDefault="0008009C">
            <w:pPr>
              <w:rPr>
                <w:rFonts w:ascii="宋体"/>
                <w:vanish/>
              </w:rPr>
            </w:pPr>
          </w:p>
        </w:tc>
        <w:tc>
          <w:tcPr>
            <w:tcW w:w="0" w:type="auto"/>
            <w:gridSpan w:val="3"/>
            <w:shd w:val="clear" w:color="auto" w:fill="auto"/>
          </w:tcPr>
          <w:p w14:paraId="5C7C6DCF" w14:textId="77777777" w:rsidR="0008009C" w:rsidRDefault="0008009C">
            <w:pPr>
              <w:rPr>
                <w:rFonts w:ascii="宋体"/>
                <w:vanish/>
              </w:rPr>
            </w:pPr>
          </w:p>
        </w:tc>
        <w:tc>
          <w:tcPr>
            <w:tcW w:w="0" w:type="auto"/>
            <w:gridSpan w:val="3"/>
            <w:shd w:val="clear" w:color="auto" w:fill="auto"/>
          </w:tcPr>
          <w:p w14:paraId="5C7C6DD0" w14:textId="77777777" w:rsidR="0008009C" w:rsidRDefault="0008009C">
            <w:pPr>
              <w:rPr>
                <w:rFonts w:ascii="宋体"/>
                <w:vanish/>
              </w:rPr>
            </w:pPr>
          </w:p>
        </w:tc>
        <w:tc>
          <w:tcPr>
            <w:tcW w:w="0" w:type="auto"/>
            <w:gridSpan w:val="3"/>
            <w:shd w:val="clear" w:color="auto" w:fill="auto"/>
          </w:tcPr>
          <w:p w14:paraId="5C7C6DD1" w14:textId="77777777" w:rsidR="0008009C" w:rsidRDefault="0008009C">
            <w:pPr>
              <w:rPr>
                <w:rFonts w:ascii="宋体"/>
                <w:vanish/>
              </w:rPr>
            </w:pPr>
          </w:p>
        </w:tc>
        <w:tc>
          <w:tcPr>
            <w:tcW w:w="0" w:type="auto"/>
            <w:gridSpan w:val="3"/>
            <w:shd w:val="clear" w:color="auto" w:fill="auto"/>
          </w:tcPr>
          <w:p w14:paraId="5C7C6DD2" w14:textId="77777777" w:rsidR="0008009C" w:rsidRDefault="0008009C">
            <w:pPr>
              <w:rPr>
                <w:rFonts w:ascii="宋体"/>
                <w:vanish/>
              </w:rPr>
            </w:pPr>
          </w:p>
        </w:tc>
        <w:tc>
          <w:tcPr>
            <w:tcW w:w="0" w:type="auto"/>
            <w:gridSpan w:val="3"/>
            <w:shd w:val="clear" w:color="auto" w:fill="auto"/>
          </w:tcPr>
          <w:p w14:paraId="5C7C6DD3" w14:textId="77777777" w:rsidR="0008009C" w:rsidRDefault="0008009C">
            <w:pPr>
              <w:rPr>
                <w:rFonts w:ascii="宋体"/>
                <w:vanish/>
              </w:rPr>
            </w:pPr>
          </w:p>
        </w:tc>
        <w:tc>
          <w:tcPr>
            <w:tcW w:w="0" w:type="auto"/>
            <w:gridSpan w:val="3"/>
            <w:shd w:val="clear" w:color="auto" w:fill="auto"/>
          </w:tcPr>
          <w:p w14:paraId="5C7C6DD4" w14:textId="77777777" w:rsidR="0008009C" w:rsidRDefault="0008009C">
            <w:pPr>
              <w:rPr>
                <w:rFonts w:ascii="宋体"/>
                <w:vanish/>
              </w:rPr>
            </w:pPr>
          </w:p>
        </w:tc>
        <w:tc>
          <w:tcPr>
            <w:tcW w:w="0" w:type="auto"/>
            <w:gridSpan w:val="3"/>
            <w:shd w:val="clear" w:color="auto" w:fill="auto"/>
          </w:tcPr>
          <w:p w14:paraId="5C7C6DD5" w14:textId="77777777" w:rsidR="0008009C" w:rsidRDefault="0008009C">
            <w:pPr>
              <w:rPr>
                <w:rFonts w:ascii="宋体"/>
                <w:vanish/>
              </w:rPr>
            </w:pPr>
          </w:p>
        </w:tc>
        <w:tc>
          <w:tcPr>
            <w:tcW w:w="0" w:type="auto"/>
            <w:gridSpan w:val="3"/>
            <w:shd w:val="clear" w:color="auto" w:fill="auto"/>
          </w:tcPr>
          <w:p w14:paraId="5C7C6DD6" w14:textId="77777777" w:rsidR="0008009C" w:rsidRDefault="0008009C">
            <w:pPr>
              <w:rPr>
                <w:rFonts w:ascii="宋体"/>
                <w:vanish/>
              </w:rPr>
            </w:pPr>
          </w:p>
        </w:tc>
        <w:tc>
          <w:tcPr>
            <w:tcW w:w="0" w:type="auto"/>
            <w:gridSpan w:val="3"/>
            <w:shd w:val="clear" w:color="auto" w:fill="auto"/>
          </w:tcPr>
          <w:p w14:paraId="5C7C6DD7" w14:textId="77777777" w:rsidR="0008009C" w:rsidRDefault="0008009C">
            <w:pPr>
              <w:rPr>
                <w:rFonts w:ascii="宋体"/>
                <w:vanish/>
              </w:rPr>
            </w:pPr>
          </w:p>
        </w:tc>
      </w:tr>
      <w:tr w:rsidR="0008009C" w14:paraId="5C7C6DE6"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DD9" w14:textId="77777777" w:rsidR="0008009C" w:rsidRDefault="00936FDF">
            <w:pPr>
              <w:textAlignment w:val="center"/>
            </w:pPr>
            <w:r>
              <w:rPr>
                <w:rFonts w:ascii="Arial" w:eastAsia="宋体" w:hAnsi="Arial" w:cs="Arial"/>
                <w:color w:val="262626"/>
                <w:sz w:val="18"/>
                <w:szCs w:val="18"/>
              </w:rPr>
              <w:t>Platform volume</w:t>
            </w:r>
          </w:p>
        </w:tc>
        <w:tc>
          <w:tcPr>
            <w:tcW w:w="0" w:type="auto"/>
            <w:gridSpan w:val="3"/>
            <w:shd w:val="clear" w:color="auto" w:fill="auto"/>
            <w:tcMar>
              <w:top w:w="0" w:type="dxa"/>
              <w:left w:w="20" w:type="dxa"/>
              <w:bottom w:w="0" w:type="dxa"/>
              <w:right w:w="20" w:type="dxa"/>
            </w:tcMar>
          </w:tcPr>
          <w:p w14:paraId="5C7C6DDA"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DDB" w14:textId="77777777" w:rsidR="0008009C" w:rsidRDefault="00936FDF">
            <w:pPr>
              <w:jc w:val="right"/>
              <w:textAlignment w:val="center"/>
            </w:pPr>
            <w:r>
              <w:rPr>
                <w:rFonts w:ascii="Arial" w:eastAsia="宋体" w:hAnsi="Arial" w:cs="Arial"/>
                <w:color w:val="0068B5"/>
                <w:sz w:val="18"/>
                <w:szCs w:val="18"/>
              </w:rPr>
              <w:t>down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DDC" w14:textId="77777777" w:rsidR="0008009C" w:rsidRDefault="00936FDF">
            <w:pPr>
              <w:textAlignment w:val="center"/>
            </w:pPr>
            <w:r>
              <w:rPr>
                <w:rFonts w:ascii="Arial" w:eastAsia="宋体" w:hAnsi="Arial" w:cs="Arial"/>
                <w:color w:val="0068B5"/>
                <w:sz w:val="18"/>
                <w:szCs w:val="18"/>
              </w:rPr>
              <w:t>(13)%</w:t>
            </w:r>
          </w:p>
        </w:tc>
        <w:tc>
          <w:tcPr>
            <w:tcW w:w="0" w:type="auto"/>
            <w:gridSpan w:val="3"/>
            <w:shd w:val="clear" w:color="auto" w:fill="auto"/>
            <w:tcMar>
              <w:top w:w="0" w:type="dxa"/>
              <w:left w:w="20" w:type="dxa"/>
              <w:bottom w:w="0" w:type="dxa"/>
              <w:right w:w="20" w:type="dxa"/>
            </w:tcMar>
          </w:tcPr>
          <w:p w14:paraId="5C7C6DDD"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center"/>
          </w:tcPr>
          <w:p w14:paraId="5C7C6DDE" w14:textId="77777777" w:rsidR="0008009C" w:rsidRDefault="00936FDF">
            <w:pPr>
              <w:textAlignment w:val="center"/>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center"/>
          </w:tcPr>
          <w:p w14:paraId="5C7C6DDF" w14:textId="77777777" w:rsidR="0008009C" w:rsidRDefault="00936FDF">
            <w:pPr>
              <w:jc w:val="right"/>
              <w:textAlignment w:val="center"/>
            </w:pPr>
            <w:r>
              <w:rPr>
                <w:rFonts w:ascii="Arial" w:eastAsia="宋体" w:hAnsi="Arial" w:cs="Arial"/>
                <w:color w:val="0068B5"/>
                <w:sz w:val="18"/>
                <w:szCs w:val="18"/>
              </w:rPr>
              <w:t>(832)</w:t>
            </w:r>
          </w:p>
        </w:tc>
        <w:tc>
          <w:tcPr>
            <w:tcW w:w="0" w:type="auto"/>
            <w:tcBorders>
              <w:top w:val="single" w:sz="8" w:space="0" w:color="0068B5"/>
            </w:tcBorders>
            <w:shd w:val="clear" w:color="auto" w:fill="auto"/>
            <w:tcMar>
              <w:top w:w="40" w:type="dxa"/>
              <w:left w:w="0" w:type="dxa"/>
              <w:bottom w:w="40" w:type="dxa"/>
              <w:right w:w="20" w:type="dxa"/>
            </w:tcMar>
            <w:vAlign w:val="center"/>
          </w:tcPr>
          <w:p w14:paraId="5C7C6DE0" w14:textId="77777777" w:rsidR="0008009C" w:rsidRDefault="0008009C">
            <w:pPr>
              <w:jc w:val="right"/>
              <w:rPr>
                <w:rFonts w:ascii="宋体"/>
              </w:rPr>
            </w:pPr>
          </w:p>
        </w:tc>
        <w:tc>
          <w:tcPr>
            <w:tcW w:w="0" w:type="auto"/>
            <w:gridSpan w:val="3"/>
            <w:shd w:val="clear" w:color="auto" w:fill="auto"/>
          </w:tcPr>
          <w:p w14:paraId="5C7C6DE1" w14:textId="77777777" w:rsidR="0008009C" w:rsidRDefault="0008009C">
            <w:pPr>
              <w:rPr>
                <w:rFonts w:ascii="宋体"/>
                <w:vanish/>
              </w:rPr>
            </w:pPr>
          </w:p>
        </w:tc>
        <w:tc>
          <w:tcPr>
            <w:tcW w:w="0" w:type="auto"/>
            <w:gridSpan w:val="3"/>
            <w:shd w:val="clear" w:color="auto" w:fill="auto"/>
          </w:tcPr>
          <w:p w14:paraId="5C7C6DE2" w14:textId="77777777" w:rsidR="0008009C" w:rsidRDefault="0008009C">
            <w:pPr>
              <w:rPr>
                <w:rFonts w:ascii="宋体"/>
                <w:vanish/>
              </w:rPr>
            </w:pPr>
          </w:p>
        </w:tc>
        <w:tc>
          <w:tcPr>
            <w:tcW w:w="0" w:type="auto"/>
            <w:gridSpan w:val="3"/>
            <w:shd w:val="clear" w:color="auto" w:fill="auto"/>
          </w:tcPr>
          <w:p w14:paraId="5C7C6DE3" w14:textId="77777777" w:rsidR="0008009C" w:rsidRDefault="0008009C">
            <w:pPr>
              <w:rPr>
                <w:rFonts w:ascii="宋体"/>
                <w:vanish/>
              </w:rPr>
            </w:pPr>
          </w:p>
        </w:tc>
        <w:tc>
          <w:tcPr>
            <w:tcW w:w="0" w:type="auto"/>
            <w:gridSpan w:val="3"/>
            <w:shd w:val="clear" w:color="auto" w:fill="auto"/>
          </w:tcPr>
          <w:p w14:paraId="5C7C6DE4" w14:textId="77777777" w:rsidR="0008009C" w:rsidRDefault="0008009C">
            <w:pPr>
              <w:rPr>
                <w:rFonts w:ascii="宋体"/>
                <w:vanish/>
              </w:rPr>
            </w:pPr>
          </w:p>
        </w:tc>
        <w:tc>
          <w:tcPr>
            <w:tcW w:w="0" w:type="auto"/>
            <w:gridSpan w:val="3"/>
            <w:shd w:val="clear" w:color="auto" w:fill="auto"/>
          </w:tcPr>
          <w:p w14:paraId="5C7C6DE5" w14:textId="77777777" w:rsidR="0008009C" w:rsidRDefault="0008009C">
            <w:pPr>
              <w:rPr>
                <w:rFonts w:ascii="宋体"/>
                <w:vanish/>
              </w:rPr>
            </w:pPr>
          </w:p>
        </w:tc>
      </w:tr>
      <w:tr w:rsidR="0008009C" w14:paraId="5C7C6DF3" w14:textId="77777777">
        <w:tc>
          <w:tcPr>
            <w:tcW w:w="0" w:type="auto"/>
            <w:gridSpan w:val="3"/>
            <w:shd w:val="clear" w:color="auto" w:fill="auto"/>
            <w:tcMar>
              <w:top w:w="40" w:type="dxa"/>
              <w:left w:w="20" w:type="dxa"/>
              <w:bottom w:w="40" w:type="dxa"/>
              <w:right w:w="20" w:type="dxa"/>
            </w:tcMar>
            <w:vAlign w:val="bottom"/>
          </w:tcPr>
          <w:p w14:paraId="5C7C6DE7" w14:textId="77777777" w:rsidR="0008009C" w:rsidRDefault="00936FDF">
            <w:pPr>
              <w:textAlignment w:val="bottom"/>
            </w:pPr>
            <w:r>
              <w:rPr>
                <w:rFonts w:ascii="Arial" w:eastAsia="宋体" w:hAnsi="Arial" w:cs="Arial"/>
                <w:color w:val="262626"/>
                <w:sz w:val="18"/>
                <w:szCs w:val="18"/>
              </w:rPr>
              <w:t>Platform ASP</w:t>
            </w:r>
          </w:p>
        </w:tc>
        <w:tc>
          <w:tcPr>
            <w:tcW w:w="0" w:type="auto"/>
            <w:gridSpan w:val="3"/>
            <w:shd w:val="clear" w:color="auto" w:fill="auto"/>
            <w:tcMar>
              <w:top w:w="0" w:type="dxa"/>
              <w:left w:w="20" w:type="dxa"/>
              <w:bottom w:w="0" w:type="dxa"/>
              <w:right w:w="20" w:type="dxa"/>
            </w:tcMar>
          </w:tcPr>
          <w:p w14:paraId="5C7C6DE8"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center"/>
          </w:tcPr>
          <w:p w14:paraId="5C7C6DE9" w14:textId="77777777" w:rsidR="0008009C" w:rsidRDefault="00936FDF">
            <w:pPr>
              <w:jc w:val="right"/>
              <w:textAlignment w:val="center"/>
            </w:pPr>
            <w:r>
              <w:rPr>
                <w:rFonts w:ascii="Arial" w:eastAsia="宋体" w:hAnsi="Arial" w:cs="Arial"/>
                <w:color w:val="0068B5"/>
                <w:sz w:val="18"/>
                <w:szCs w:val="18"/>
              </w:rPr>
              <w:t>down</w:t>
            </w:r>
          </w:p>
        </w:tc>
        <w:tc>
          <w:tcPr>
            <w:tcW w:w="0" w:type="auto"/>
            <w:gridSpan w:val="3"/>
            <w:shd w:val="clear" w:color="auto" w:fill="auto"/>
            <w:tcMar>
              <w:top w:w="40" w:type="dxa"/>
              <w:left w:w="20" w:type="dxa"/>
              <w:bottom w:w="40" w:type="dxa"/>
              <w:right w:w="20" w:type="dxa"/>
            </w:tcMar>
            <w:vAlign w:val="center"/>
          </w:tcPr>
          <w:p w14:paraId="5C7C6DEA" w14:textId="77777777" w:rsidR="0008009C" w:rsidRDefault="00936FDF">
            <w:pPr>
              <w:textAlignment w:val="center"/>
            </w:pPr>
            <w:r>
              <w:rPr>
                <w:rFonts w:ascii="Arial" w:eastAsia="宋体" w:hAnsi="Arial" w:cs="Arial"/>
                <w:color w:val="0068B5"/>
                <w:sz w:val="18"/>
                <w:szCs w:val="18"/>
              </w:rPr>
              <w:t>(14)%</w:t>
            </w:r>
          </w:p>
        </w:tc>
        <w:tc>
          <w:tcPr>
            <w:tcW w:w="0" w:type="auto"/>
            <w:gridSpan w:val="3"/>
            <w:shd w:val="clear" w:color="auto" w:fill="auto"/>
            <w:tcMar>
              <w:top w:w="0" w:type="dxa"/>
              <w:left w:w="20" w:type="dxa"/>
              <w:bottom w:w="0" w:type="dxa"/>
              <w:right w:w="20" w:type="dxa"/>
            </w:tcMar>
          </w:tcPr>
          <w:p w14:paraId="5C7C6DE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center"/>
          </w:tcPr>
          <w:p w14:paraId="5C7C6DEC" w14:textId="77777777" w:rsidR="0008009C" w:rsidRDefault="00936FDF">
            <w:pPr>
              <w:jc w:val="right"/>
              <w:textAlignment w:val="center"/>
            </w:pPr>
            <w:r>
              <w:rPr>
                <w:rFonts w:ascii="Arial" w:eastAsia="宋体" w:hAnsi="Arial" w:cs="Arial"/>
                <w:color w:val="0068B5"/>
                <w:sz w:val="18"/>
                <w:szCs w:val="18"/>
              </w:rPr>
              <w:t>(784)</w:t>
            </w:r>
          </w:p>
        </w:tc>
        <w:tc>
          <w:tcPr>
            <w:tcW w:w="0" w:type="auto"/>
            <w:shd w:val="clear" w:color="auto" w:fill="auto"/>
            <w:tcMar>
              <w:top w:w="40" w:type="dxa"/>
              <w:left w:w="0" w:type="dxa"/>
              <w:bottom w:w="40" w:type="dxa"/>
              <w:right w:w="20" w:type="dxa"/>
            </w:tcMar>
            <w:vAlign w:val="center"/>
          </w:tcPr>
          <w:p w14:paraId="5C7C6DED" w14:textId="77777777" w:rsidR="0008009C" w:rsidRDefault="0008009C">
            <w:pPr>
              <w:jc w:val="right"/>
              <w:rPr>
                <w:rFonts w:ascii="宋体"/>
              </w:rPr>
            </w:pPr>
          </w:p>
        </w:tc>
        <w:tc>
          <w:tcPr>
            <w:tcW w:w="0" w:type="auto"/>
            <w:gridSpan w:val="3"/>
            <w:shd w:val="clear" w:color="auto" w:fill="auto"/>
          </w:tcPr>
          <w:p w14:paraId="5C7C6DEE" w14:textId="77777777" w:rsidR="0008009C" w:rsidRDefault="0008009C">
            <w:pPr>
              <w:rPr>
                <w:rFonts w:ascii="宋体"/>
                <w:vanish/>
              </w:rPr>
            </w:pPr>
          </w:p>
        </w:tc>
        <w:tc>
          <w:tcPr>
            <w:tcW w:w="0" w:type="auto"/>
            <w:gridSpan w:val="3"/>
            <w:shd w:val="clear" w:color="auto" w:fill="auto"/>
          </w:tcPr>
          <w:p w14:paraId="5C7C6DEF" w14:textId="77777777" w:rsidR="0008009C" w:rsidRDefault="0008009C">
            <w:pPr>
              <w:rPr>
                <w:rFonts w:ascii="宋体"/>
                <w:vanish/>
              </w:rPr>
            </w:pPr>
          </w:p>
        </w:tc>
        <w:tc>
          <w:tcPr>
            <w:tcW w:w="0" w:type="auto"/>
            <w:gridSpan w:val="3"/>
            <w:shd w:val="clear" w:color="auto" w:fill="auto"/>
          </w:tcPr>
          <w:p w14:paraId="5C7C6DF0" w14:textId="77777777" w:rsidR="0008009C" w:rsidRDefault="0008009C">
            <w:pPr>
              <w:rPr>
                <w:rFonts w:ascii="宋体"/>
                <w:vanish/>
              </w:rPr>
            </w:pPr>
          </w:p>
        </w:tc>
        <w:tc>
          <w:tcPr>
            <w:tcW w:w="0" w:type="auto"/>
            <w:gridSpan w:val="3"/>
            <w:shd w:val="clear" w:color="auto" w:fill="auto"/>
          </w:tcPr>
          <w:p w14:paraId="5C7C6DF1" w14:textId="77777777" w:rsidR="0008009C" w:rsidRDefault="0008009C">
            <w:pPr>
              <w:rPr>
                <w:rFonts w:ascii="宋体"/>
                <w:vanish/>
              </w:rPr>
            </w:pPr>
          </w:p>
        </w:tc>
        <w:tc>
          <w:tcPr>
            <w:tcW w:w="0" w:type="auto"/>
            <w:gridSpan w:val="3"/>
            <w:shd w:val="clear" w:color="auto" w:fill="auto"/>
          </w:tcPr>
          <w:p w14:paraId="5C7C6DF2" w14:textId="77777777" w:rsidR="0008009C" w:rsidRDefault="0008009C">
            <w:pPr>
              <w:rPr>
                <w:rFonts w:ascii="宋体"/>
                <w:vanish/>
              </w:rPr>
            </w:pPr>
          </w:p>
        </w:tc>
      </w:tr>
      <w:tr w:rsidR="0008009C" w14:paraId="5C7C6E00" w14:textId="77777777">
        <w:tc>
          <w:tcPr>
            <w:tcW w:w="0" w:type="auto"/>
            <w:gridSpan w:val="3"/>
            <w:shd w:val="clear" w:color="auto" w:fill="auto"/>
            <w:tcMar>
              <w:top w:w="40" w:type="dxa"/>
              <w:left w:w="20" w:type="dxa"/>
              <w:bottom w:w="40" w:type="dxa"/>
              <w:right w:w="20" w:type="dxa"/>
            </w:tcMar>
            <w:vAlign w:val="bottom"/>
          </w:tcPr>
          <w:p w14:paraId="5C7C6DF4" w14:textId="77777777" w:rsidR="0008009C" w:rsidRDefault="00936FDF">
            <w:pPr>
              <w:textAlignment w:val="bottom"/>
            </w:pPr>
            <w:r>
              <w:rPr>
                <w:rFonts w:ascii="Arial" w:eastAsia="宋体" w:hAnsi="Arial" w:cs="Arial"/>
                <w:color w:val="262626"/>
                <w:sz w:val="18"/>
                <w:szCs w:val="18"/>
              </w:rPr>
              <w:t>Adjacent products</w:t>
            </w:r>
          </w:p>
        </w:tc>
        <w:tc>
          <w:tcPr>
            <w:tcW w:w="0" w:type="auto"/>
            <w:gridSpan w:val="3"/>
            <w:shd w:val="clear" w:color="auto" w:fill="auto"/>
            <w:tcMar>
              <w:top w:w="0" w:type="dxa"/>
              <w:left w:w="20" w:type="dxa"/>
              <w:bottom w:w="0" w:type="dxa"/>
              <w:right w:w="20" w:type="dxa"/>
            </w:tcMar>
          </w:tcPr>
          <w:p w14:paraId="5C7C6DF5"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center"/>
          </w:tcPr>
          <w:p w14:paraId="5C7C6DF6" w14:textId="77777777" w:rsidR="0008009C" w:rsidRDefault="00936FDF">
            <w:pPr>
              <w:jc w:val="right"/>
              <w:textAlignment w:val="center"/>
            </w:pPr>
            <w:r>
              <w:rPr>
                <w:rFonts w:ascii="Arial" w:eastAsia="宋体" w:hAnsi="Arial" w:cs="Arial"/>
                <w:color w:val="0068B5"/>
                <w:sz w:val="18"/>
                <w:szCs w:val="18"/>
              </w:rPr>
              <w:t>up</w:t>
            </w:r>
          </w:p>
        </w:tc>
        <w:tc>
          <w:tcPr>
            <w:tcW w:w="0" w:type="auto"/>
            <w:gridSpan w:val="3"/>
            <w:shd w:val="clear" w:color="auto" w:fill="auto"/>
            <w:tcMar>
              <w:top w:w="40" w:type="dxa"/>
              <w:left w:w="20" w:type="dxa"/>
              <w:bottom w:w="40" w:type="dxa"/>
              <w:right w:w="20" w:type="dxa"/>
            </w:tcMar>
            <w:vAlign w:val="center"/>
          </w:tcPr>
          <w:p w14:paraId="5C7C6DF7" w14:textId="77777777" w:rsidR="0008009C" w:rsidRDefault="00936FDF">
            <w:pPr>
              <w:textAlignment w:val="center"/>
            </w:pPr>
            <w:r>
              <w:rPr>
                <w:rFonts w:ascii="Arial" w:eastAsia="宋体" w:hAnsi="Arial" w:cs="Arial"/>
                <w:color w:val="0068B5"/>
                <w:sz w:val="18"/>
                <w:szCs w:val="18"/>
              </w:rPr>
              <w:t>33%</w:t>
            </w:r>
          </w:p>
        </w:tc>
        <w:tc>
          <w:tcPr>
            <w:tcW w:w="0" w:type="auto"/>
            <w:gridSpan w:val="3"/>
            <w:shd w:val="clear" w:color="auto" w:fill="auto"/>
            <w:tcMar>
              <w:top w:w="0" w:type="dxa"/>
              <w:left w:w="20" w:type="dxa"/>
              <w:bottom w:w="0" w:type="dxa"/>
              <w:right w:w="20" w:type="dxa"/>
            </w:tcMar>
          </w:tcPr>
          <w:p w14:paraId="5C7C6DF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center"/>
          </w:tcPr>
          <w:p w14:paraId="5C7C6DF9" w14:textId="77777777" w:rsidR="0008009C" w:rsidRDefault="00936FDF">
            <w:pPr>
              <w:jc w:val="right"/>
              <w:textAlignment w:val="center"/>
            </w:pPr>
            <w:r>
              <w:rPr>
                <w:rFonts w:ascii="Arial" w:eastAsia="宋体" w:hAnsi="Arial" w:cs="Arial"/>
                <w:color w:val="0068B5"/>
                <w:sz w:val="18"/>
                <w:szCs w:val="18"/>
              </w:rPr>
              <w:t>187 </w:t>
            </w:r>
          </w:p>
        </w:tc>
        <w:tc>
          <w:tcPr>
            <w:tcW w:w="0" w:type="auto"/>
            <w:shd w:val="clear" w:color="auto" w:fill="auto"/>
            <w:tcMar>
              <w:top w:w="40" w:type="dxa"/>
              <w:left w:w="0" w:type="dxa"/>
              <w:bottom w:w="40" w:type="dxa"/>
              <w:right w:w="20" w:type="dxa"/>
            </w:tcMar>
            <w:vAlign w:val="center"/>
          </w:tcPr>
          <w:p w14:paraId="5C7C6DFA" w14:textId="77777777" w:rsidR="0008009C" w:rsidRDefault="0008009C">
            <w:pPr>
              <w:jc w:val="right"/>
              <w:rPr>
                <w:rFonts w:ascii="宋体"/>
              </w:rPr>
            </w:pPr>
          </w:p>
        </w:tc>
        <w:tc>
          <w:tcPr>
            <w:tcW w:w="0" w:type="auto"/>
            <w:gridSpan w:val="3"/>
            <w:shd w:val="clear" w:color="auto" w:fill="auto"/>
          </w:tcPr>
          <w:p w14:paraId="5C7C6DFB" w14:textId="77777777" w:rsidR="0008009C" w:rsidRDefault="0008009C">
            <w:pPr>
              <w:rPr>
                <w:rFonts w:ascii="宋体"/>
                <w:vanish/>
              </w:rPr>
            </w:pPr>
          </w:p>
        </w:tc>
        <w:tc>
          <w:tcPr>
            <w:tcW w:w="0" w:type="auto"/>
            <w:gridSpan w:val="3"/>
            <w:shd w:val="clear" w:color="auto" w:fill="auto"/>
          </w:tcPr>
          <w:p w14:paraId="5C7C6DFC" w14:textId="77777777" w:rsidR="0008009C" w:rsidRDefault="0008009C">
            <w:pPr>
              <w:rPr>
                <w:rFonts w:ascii="宋体"/>
                <w:vanish/>
              </w:rPr>
            </w:pPr>
          </w:p>
        </w:tc>
        <w:tc>
          <w:tcPr>
            <w:tcW w:w="0" w:type="auto"/>
            <w:gridSpan w:val="3"/>
            <w:shd w:val="clear" w:color="auto" w:fill="auto"/>
          </w:tcPr>
          <w:p w14:paraId="5C7C6DFD" w14:textId="77777777" w:rsidR="0008009C" w:rsidRDefault="0008009C">
            <w:pPr>
              <w:rPr>
                <w:rFonts w:ascii="宋体"/>
                <w:vanish/>
              </w:rPr>
            </w:pPr>
          </w:p>
        </w:tc>
        <w:tc>
          <w:tcPr>
            <w:tcW w:w="0" w:type="auto"/>
            <w:gridSpan w:val="3"/>
            <w:shd w:val="clear" w:color="auto" w:fill="auto"/>
          </w:tcPr>
          <w:p w14:paraId="5C7C6DFE" w14:textId="77777777" w:rsidR="0008009C" w:rsidRDefault="0008009C">
            <w:pPr>
              <w:rPr>
                <w:rFonts w:ascii="宋体"/>
                <w:vanish/>
              </w:rPr>
            </w:pPr>
          </w:p>
        </w:tc>
        <w:tc>
          <w:tcPr>
            <w:tcW w:w="0" w:type="auto"/>
            <w:gridSpan w:val="3"/>
            <w:shd w:val="clear" w:color="auto" w:fill="auto"/>
          </w:tcPr>
          <w:p w14:paraId="5C7C6DFF" w14:textId="77777777" w:rsidR="0008009C" w:rsidRDefault="0008009C">
            <w:pPr>
              <w:rPr>
                <w:rFonts w:ascii="宋体"/>
                <w:vanish/>
              </w:rPr>
            </w:pPr>
          </w:p>
        </w:tc>
      </w:tr>
      <w:tr w:rsidR="0008009C" w14:paraId="5C7C6E0C" w14:textId="77777777">
        <w:trPr>
          <w:hidden/>
        </w:trPr>
        <w:tc>
          <w:tcPr>
            <w:tcW w:w="0" w:type="auto"/>
            <w:gridSpan w:val="3"/>
            <w:shd w:val="clear" w:color="auto" w:fill="auto"/>
          </w:tcPr>
          <w:p w14:paraId="5C7C6E01" w14:textId="77777777" w:rsidR="0008009C" w:rsidRDefault="0008009C">
            <w:pPr>
              <w:rPr>
                <w:rFonts w:ascii="宋体"/>
                <w:vanish/>
              </w:rPr>
            </w:pPr>
          </w:p>
        </w:tc>
        <w:tc>
          <w:tcPr>
            <w:tcW w:w="0" w:type="auto"/>
            <w:gridSpan w:val="3"/>
            <w:shd w:val="clear" w:color="auto" w:fill="auto"/>
          </w:tcPr>
          <w:p w14:paraId="5C7C6E02" w14:textId="77777777" w:rsidR="0008009C" w:rsidRDefault="0008009C">
            <w:pPr>
              <w:rPr>
                <w:rFonts w:ascii="宋体"/>
                <w:vanish/>
              </w:rPr>
            </w:pPr>
          </w:p>
        </w:tc>
        <w:tc>
          <w:tcPr>
            <w:tcW w:w="0" w:type="auto"/>
            <w:gridSpan w:val="3"/>
            <w:shd w:val="clear" w:color="auto" w:fill="auto"/>
          </w:tcPr>
          <w:p w14:paraId="5C7C6E03" w14:textId="77777777" w:rsidR="0008009C" w:rsidRDefault="0008009C">
            <w:pPr>
              <w:rPr>
                <w:rFonts w:ascii="宋体"/>
                <w:vanish/>
              </w:rPr>
            </w:pPr>
          </w:p>
        </w:tc>
        <w:tc>
          <w:tcPr>
            <w:tcW w:w="0" w:type="auto"/>
            <w:gridSpan w:val="3"/>
            <w:shd w:val="clear" w:color="auto" w:fill="auto"/>
          </w:tcPr>
          <w:p w14:paraId="5C7C6E04" w14:textId="77777777" w:rsidR="0008009C" w:rsidRDefault="0008009C">
            <w:pPr>
              <w:rPr>
                <w:rFonts w:ascii="宋体"/>
                <w:vanish/>
              </w:rPr>
            </w:pPr>
          </w:p>
        </w:tc>
        <w:tc>
          <w:tcPr>
            <w:tcW w:w="0" w:type="auto"/>
            <w:gridSpan w:val="3"/>
            <w:shd w:val="clear" w:color="auto" w:fill="auto"/>
          </w:tcPr>
          <w:p w14:paraId="5C7C6E05" w14:textId="77777777" w:rsidR="0008009C" w:rsidRDefault="0008009C">
            <w:pPr>
              <w:rPr>
                <w:rFonts w:ascii="宋体"/>
                <w:vanish/>
              </w:rPr>
            </w:pPr>
          </w:p>
        </w:tc>
        <w:tc>
          <w:tcPr>
            <w:tcW w:w="0" w:type="auto"/>
            <w:gridSpan w:val="3"/>
            <w:shd w:val="clear" w:color="auto" w:fill="auto"/>
          </w:tcPr>
          <w:p w14:paraId="5C7C6E06" w14:textId="77777777" w:rsidR="0008009C" w:rsidRDefault="0008009C">
            <w:pPr>
              <w:rPr>
                <w:rFonts w:ascii="宋体"/>
                <w:vanish/>
              </w:rPr>
            </w:pPr>
          </w:p>
        </w:tc>
        <w:tc>
          <w:tcPr>
            <w:tcW w:w="0" w:type="auto"/>
            <w:gridSpan w:val="3"/>
            <w:shd w:val="clear" w:color="auto" w:fill="auto"/>
          </w:tcPr>
          <w:p w14:paraId="5C7C6E07" w14:textId="77777777" w:rsidR="0008009C" w:rsidRDefault="0008009C">
            <w:pPr>
              <w:rPr>
                <w:rFonts w:ascii="宋体"/>
                <w:vanish/>
              </w:rPr>
            </w:pPr>
          </w:p>
        </w:tc>
        <w:tc>
          <w:tcPr>
            <w:tcW w:w="0" w:type="auto"/>
            <w:gridSpan w:val="3"/>
            <w:shd w:val="clear" w:color="auto" w:fill="auto"/>
          </w:tcPr>
          <w:p w14:paraId="5C7C6E08" w14:textId="77777777" w:rsidR="0008009C" w:rsidRDefault="0008009C">
            <w:pPr>
              <w:rPr>
                <w:rFonts w:ascii="宋体"/>
                <w:vanish/>
              </w:rPr>
            </w:pPr>
          </w:p>
        </w:tc>
        <w:tc>
          <w:tcPr>
            <w:tcW w:w="0" w:type="auto"/>
            <w:gridSpan w:val="3"/>
            <w:shd w:val="clear" w:color="auto" w:fill="auto"/>
          </w:tcPr>
          <w:p w14:paraId="5C7C6E09" w14:textId="77777777" w:rsidR="0008009C" w:rsidRDefault="0008009C">
            <w:pPr>
              <w:rPr>
                <w:rFonts w:ascii="宋体"/>
                <w:vanish/>
              </w:rPr>
            </w:pPr>
          </w:p>
        </w:tc>
        <w:tc>
          <w:tcPr>
            <w:tcW w:w="0" w:type="auto"/>
            <w:gridSpan w:val="3"/>
            <w:shd w:val="clear" w:color="auto" w:fill="auto"/>
          </w:tcPr>
          <w:p w14:paraId="5C7C6E0A" w14:textId="77777777" w:rsidR="0008009C" w:rsidRDefault="0008009C">
            <w:pPr>
              <w:rPr>
                <w:rFonts w:ascii="宋体"/>
                <w:vanish/>
              </w:rPr>
            </w:pPr>
          </w:p>
        </w:tc>
        <w:tc>
          <w:tcPr>
            <w:tcW w:w="0" w:type="auto"/>
            <w:gridSpan w:val="3"/>
            <w:shd w:val="clear" w:color="auto" w:fill="auto"/>
          </w:tcPr>
          <w:p w14:paraId="5C7C6E0B" w14:textId="77777777" w:rsidR="0008009C" w:rsidRDefault="0008009C">
            <w:pPr>
              <w:rPr>
                <w:rFonts w:ascii="宋体"/>
                <w:vanish/>
              </w:rPr>
            </w:pPr>
          </w:p>
        </w:tc>
      </w:tr>
      <w:tr w:rsidR="0008009C" w14:paraId="5C7C6E1A" w14:textId="77777777">
        <w:tc>
          <w:tcPr>
            <w:tcW w:w="0" w:type="auto"/>
            <w:gridSpan w:val="3"/>
            <w:shd w:val="clear" w:color="auto" w:fill="auto"/>
            <w:tcMar>
              <w:top w:w="40" w:type="dxa"/>
              <w:left w:w="20" w:type="dxa"/>
              <w:bottom w:w="40" w:type="dxa"/>
              <w:right w:w="20" w:type="dxa"/>
            </w:tcMar>
            <w:vAlign w:val="bottom"/>
          </w:tcPr>
          <w:p w14:paraId="5C7C6E0D" w14:textId="77777777" w:rsidR="0008009C" w:rsidRDefault="00936FDF">
            <w:pPr>
              <w:textAlignment w:val="bottom"/>
            </w:pPr>
            <w:r>
              <w:rPr>
                <w:rFonts w:ascii="Arial" w:eastAsia="宋体" w:hAnsi="Arial" w:cs="Arial"/>
                <w:b/>
                <w:bCs/>
                <w:color w:val="262626"/>
                <w:sz w:val="18"/>
                <w:szCs w:val="18"/>
              </w:rPr>
              <w:t>Total change in revenue</w:t>
            </w:r>
          </w:p>
        </w:tc>
        <w:tc>
          <w:tcPr>
            <w:tcW w:w="0" w:type="auto"/>
            <w:gridSpan w:val="3"/>
            <w:shd w:val="clear" w:color="auto" w:fill="auto"/>
            <w:tcMar>
              <w:top w:w="0" w:type="dxa"/>
              <w:left w:w="20" w:type="dxa"/>
              <w:bottom w:w="0" w:type="dxa"/>
              <w:right w:w="20" w:type="dxa"/>
            </w:tcMar>
          </w:tcPr>
          <w:p w14:paraId="5C7C6E0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E0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E1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E11"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6E12"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6E13" w14:textId="77777777" w:rsidR="0008009C" w:rsidRDefault="00936FDF">
            <w:pPr>
              <w:jc w:val="right"/>
              <w:textAlignment w:val="bottom"/>
            </w:pPr>
            <w:r>
              <w:rPr>
                <w:rFonts w:ascii="Arial" w:eastAsia="宋体" w:hAnsi="Arial" w:cs="Arial"/>
                <w:b/>
                <w:bCs/>
                <w:color w:val="0068B5"/>
                <w:sz w:val="18"/>
                <w:szCs w:val="18"/>
              </w:rPr>
              <w:t>(1,429)</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6E14" w14:textId="77777777" w:rsidR="0008009C" w:rsidRDefault="0008009C">
            <w:pPr>
              <w:jc w:val="right"/>
              <w:rPr>
                <w:rFonts w:ascii="宋体"/>
              </w:rPr>
            </w:pPr>
          </w:p>
        </w:tc>
        <w:tc>
          <w:tcPr>
            <w:tcW w:w="0" w:type="auto"/>
            <w:gridSpan w:val="3"/>
            <w:shd w:val="clear" w:color="auto" w:fill="auto"/>
          </w:tcPr>
          <w:p w14:paraId="5C7C6E15" w14:textId="77777777" w:rsidR="0008009C" w:rsidRDefault="0008009C">
            <w:pPr>
              <w:rPr>
                <w:rFonts w:ascii="宋体"/>
                <w:vanish/>
              </w:rPr>
            </w:pPr>
          </w:p>
        </w:tc>
        <w:tc>
          <w:tcPr>
            <w:tcW w:w="0" w:type="auto"/>
            <w:gridSpan w:val="3"/>
            <w:shd w:val="clear" w:color="auto" w:fill="auto"/>
          </w:tcPr>
          <w:p w14:paraId="5C7C6E16" w14:textId="77777777" w:rsidR="0008009C" w:rsidRDefault="0008009C">
            <w:pPr>
              <w:rPr>
                <w:rFonts w:ascii="宋体"/>
                <w:vanish/>
              </w:rPr>
            </w:pPr>
          </w:p>
        </w:tc>
        <w:tc>
          <w:tcPr>
            <w:tcW w:w="0" w:type="auto"/>
            <w:gridSpan w:val="3"/>
            <w:shd w:val="clear" w:color="auto" w:fill="auto"/>
          </w:tcPr>
          <w:p w14:paraId="5C7C6E17" w14:textId="77777777" w:rsidR="0008009C" w:rsidRDefault="0008009C">
            <w:pPr>
              <w:rPr>
                <w:rFonts w:ascii="宋体"/>
                <w:vanish/>
              </w:rPr>
            </w:pPr>
          </w:p>
        </w:tc>
        <w:tc>
          <w:tcPr>
            <w:tcW w:w="0" w:type="auto"/>
            <w:gridSpan w:val="3"/>
            <w:shd w:val="clear" w:color="auto" w:fill="auto"/>
          </w:tcPr>
          <w:p w14:paraId="5C7C6E18" w14:textId="77777777" w:rsidR="0008009C" w:rsidRDefault="0008009C">
            <w:pPr>
              <w:rPr>
                <w:rFonts w:ascii="宋体"/>
                <w:vanish/>
              </w:rPr>
            </w:pPr>
          </w:p>
        </w:tc>
        <w:tc>
          <w:tcPr>
            <w:tcW w:w="0" w:type="auto"/>
            <w:gridSpan w:val="3"/>
            <w:shd w:val="clear" w:color="auto" w:fill="auto"/>
          </w:tcPr>
          <w:p w14:paraId="5C7C6E19" w14:textId="77777777" w:rsidR="0008009C" w:rsidRDefault="0008009C">
            <w:pPr>
              <w:rPr>
                <w:rFonts w:ascii="宋体"/>
                <w:vanish/>
              </w:rPr>
            </w:pPr>
          </w:p>
        </w:tc>
      </w:tr>
      <w:tr w:rsidR="0008009C" w14:paraId="5C7C6E26" w14:textId="77777777">
        <w:trPr>
          <w:hidden/>
        </w:trPr>
        <w:tc>
          <w:tcPr>
            <w:tcW w:w="0" w:type="auto"/>
            <w:gridSpan w:val="3"/>
            <w:shd w:val="clear" w:color="auto" w:fill="auto"/>
          </w:tcPr>
          <w:p w14:paraId="5C7C6E1B" w14:textId="77777777" w:rsidR="0008009C" w:rsidRDefault="0008009C">
            <w:pPr>
              <w:rPr>
                <w:rFonts w:ascii="宋体"/>
                <w:vanish/>
              </w:rPr>
            </w:pPr>
          </w:p>
        </w:tc>
        <w:tc>
          <w:tcPr>
            <w:tcW w:w="0" w:type="auto"/>
            <w:gridSpan w:val="3"/>
            <w:shd w:val="clear" w:color="auto" w:fill="auto"/>
          </w:tcPr>
          <w:p w14:paraId="5C7C6E1C" w14:textId="77777777" w:rsidR="0008009C" w:rsidRDefault="0008009C">
            <w:pPr>
              <w:rPr>
                <w:rFonts w:ascii="宋体"/>
                <w:vanish/>
              </w:rPr>
            </w:pPr>
          </w:p>
        </w:tc>
        <w:tc>
          <w:tcPr>
            <w:tcW w:w="0" w:type="auto"/>
            <w:gridSpan w:val="3"/>
            <w:shd w:val="clear" w:color="auto" w:fill="auto"/>
          </w:tcPr>
          <w:p w14:paraId="5C7C6E1D" w14:textId="77777777" w:rsidR="0008009C" w:rsidRDefault="0008009C">
            <w:pPr>
              <w:rPr>
                <w:rFonts w:ascii="宋体"/>
                <w:vanish/>
              </w:rPr>
            </w:pPr>
          </w:p>
        </w:tc>
        <w:tc>
          <w:tcPr>
            <w:tcW w:w="0" w:type="auto"/>
            <w:gridSpan w:val="3"/>
            <w:shd w:val="clear" w:color="auto" w:fill="auto"/>
          </w:tcPr>
          <w:p w14:paraId="5C7C6E1E" w14:textId="77777777" w:rsidR="0008009C" w:rsidRDefault="0008009C">
            <w:pPr>
              <w:rPr>
                <w:rFonts w:ascii="宋体"/>
                <w:vanish/>
              </w:rPr>
            </w:pPr>
          </w:p>
        </w:tc>
        <w:tc>
          <w:tcPr>
            <w:tcW w:w="0" w:type="auto"/>
            <w:gridSpan w:val="3"/>
            <w:shd w:val="clear" w:color="auto" w:fill="auto"/>
          </w:tcPr>
          <w:p w14:paraId="5C7C6E1F" w14:textId="77777777" w:rsidR="0008009C" w:rsidRDefault="0008009C">
            <w:pPr>
              <w:rPr>
                <w:rFonts w:ascii="宋体"/>
                <w:vanish/>
              </w:rPr>
            </w:pPr>
          </w:p>
        </w:tc>
        <w:tc>
          <w:tcPr>
            <w:tcW w:w="0" w:type="auto"/>
            <w:gridSpan w:val="3"/>
            <w:shd w:val="clear" w:color="auto" w:fill="auto"/>
          </w:tcPr>
          <w:p w14:paraId="5C7C6E20" w14:textId="77777777" w:rsidR="0008009C" w:rsidRDefault="0008009C">
            <w:pPr>
              <w:rPr>
                <w:rFonts w:ascii="宋体"/>
                <w:vanish/>
              </w:rPr>
            </w:pPr>
          </w:p>
        </w:tc>
        <w:tc>
          <w:tcPr>
            <w:tcW w:w="0" w:type="auto"/>
            <w:gridSpan w:val="3"/>
            <w:shd w:val="clear" w:color="auto" w:fill="auto"/>
          </w:tcPr>
          <w:p w14:paraId="5C7C6E21" w14:textId="77777777" w:rsidR="0008009C" w:rsidRDefault="0008009C">
            <w:pPr>
              <w:rPr>
                <w:rFonts w:ascii="宋体"/>
                <w:vanish/>
              </w:rPr>
            </w:pPr>
          </w:p>
        </w:tc>
        <w:tc>
          <w:tcPr>
            <w:tcW w:w="0" w:type="auto"/>
            <w:gridSpan w:val="3"/>
            <w:shd w:val="clear" w:color="auto" w:fill="auto"/>
          </w:tcPr>
          <w:p w14:paraId="5C7C6E22" w14:textId="77777777" w:rsidR="0008009C" w:rsidRDefault="0008009C">
            <w:pPr>
              <w:rPr>
                <w:rFonts w:ascii="宋体"/>
                <w:vanish/>
              </w:rPr>
            </w:pPr>
          </w:p>
        </w:tc>
        <w:tc>
          <w:tcPr>
            <w:tcW w:w="0" w:type="auto"/>
            <w:gridSpan w:val="3"/>
            <w:shd w:val="clear" w:color="auto" w:fill="auto"/>
          </w:tcPr>
          <w:p w14:paraId="5C7C6E23" w14:textId="77777777" w:rsidR="0008009C" w:rsidRDefault="0008009C">
            <w:pPr>
              <w:rPr>
                <w:rFonts w:ascii="宋体"/>
                <w:vanish/>
              </w:rPr>
            </w:pPr>
          </w:p>
        </w:tc>
        <w:tc>
          <w:tcPr>
            <w:tcW w:w="0" w:type="auto"/>
            <w:gridSpan w:val="3"/>
            <w:shd w:val="clear" w:color="auto" w:fill="auto"/>
          </w:tcPr>
          <w:p w14:paraId="5C7C6E24" w14:textId="77777777" w:rsidR="0008009C" w:rsidRDefault="0008009C">
            <w:pPr>
              <w:rPr>
                <w:rFonts w:ascii="宋体"/>
                <w:vanish/>
              </w:rPr>
            </w:pPr>
          </w:p>
        </w:tc>
        <w:tc>
          <w:tcPr>
            <w:tcW w:w="0" w:type="auto"/>
            <w:gridSpan w:val="3"/>
            <w:shd w:val="clear" w:color="auto" w:fill="auto"/>
          </w:tcPr>
          <w:p w14:paraId="5C7C6E25" w14:textId="77777777" w:rsidR="0008009C" w:rsidRDefault="0008009C">
            <w:pPr>
              <w:rPr>
                <w:rFonts w:ascii="宋体"/>
                <w:vanish/>
              </w:rPr>
            </w:pPr>
          </w:p>
        </w:tc>
      </w:tr>
      <w:tr w:rsidR="0008009C" w14:paraId="5C7C6E32" w14:textId="77777777">
        <w:trPr>
          <w:hidden/>
        </w:trPr>
        <w:tc>
          <w:tcPr>
            <w:tcW w:w="0" w:type="auto"/>
            <w:gridSpan w:val="3"/>
            <w:shd w:val="clear" w:color="auto" w:fill="auto"/>
          </w:tcPr>
          <w:p w14:paraId="5C7C6E27" w14:textId="77777777" w:rsidR="0008009C" w:rsidRDefault="0008009C">
            <w:pPr>
              <w:rPr>
                <w:rFonts w:ascii="宋体"/>
                <w:vanish/>
              </w:rPr>
            </w:pPr>
          </w:p>
        </w:tc>
        <w:tc>
          <w:tcPr>
            <w:tcW w:w="0" w:type="auto"/>
            <w:gridSpan w:val="3"/>
            <w:shd w:val="clear" w:color="auto" w:fill="auto"/>
          </w:tcPr>
          <w:p w14:paraId="5C7C6E28" w14:textId="77777777" w:rsidR="0008009C" w:rsidRDefault="0008009C">
            <w:pPr>
              <w:rPr>
                <w:rFonts w:ascii="宋体"/>
                <w:vanish/>
              </w:rPr>
            </w:pPr>
          </w:p>
        </w:tc>
        <w:tc>
          <w:tcPr>
            <w:tcW w:w="0" w:type="auto"/>
            <w:gridSpan w:val="3"/>
            <w:shd w:val="clear" w:color="auto" w:fill="auto"/>
          </w:tcPr>
          <w:p w14:paraId="5C7C6E29" w14:textId="77777777" w:rsidR="0008009C" w:rsidRDefault="0008009C">
            <w:pPr>
              <w:rPr>
                <w:rFonts w:ascii="宋体"/>
                <w:vanish/>
              </w:rPr>
            </w:pPr>
          </w:p>
        </w:tc>
        <w:tc>
          <w:tcPr>
            <w:tcW w:w="0" w:type="auto"/>
            <w:gridSpan w:val="3"/>
            <w:shd w:val="clear" w:color="auto" w:fill="auto"/>
          </w:tcPr>
          <w:p w14:paraId="5C7C6E2A" w14:textId="77777777" w:rsidR="0008009C" w:rsidRDefault="0008009C">
            <w:pPr>
              <w:rPr>
                <w:rFonts w:ascii="宋体"/>
                <w:vanish/>
              </w:rPr>
            </w:pPr>
          </w:p>
        </w:tc>
        <w:tc>
          <w:tcPr>
            <w:tcW w:w="0" w:type="auto"/>
            <w:gridSpan w:val="3"/>
            <w:shd w:val="clear" w:color="auto" w:fill="auto"/>
          </w:tcPr>
          <w:p w14:paraId="5C7C6E2B" w14:textId="77777777" w:rsidR="0008009C" w:rsidRDefault="0008009C">
            <w:pPr>
              <w:rPr>
                <w:rFonts w:ascii="宋体"/>
                <w:vanish/>
              </w:rPr>
            </w:pPr>
          </w:p>
        </w:tc>
        <w:tc>
          <w:tcPr>
            <w:tcW w:w="0" w:type="auto"/>
            <w:gridSpan w:val="3"/>
            <w:shd w:val="clear" w:color="auto" w:fill="auto"/>
          </w:tcPr>
          <w:p w14:paraId="5C7C6E2C" w14:textId="77777777" w:rsidR="0008009C" w:rsidRDefault="0008009C">
            <w:pPr>
              <w:rPr>
                <w:rFonts w:ascii="宋体"/>
                <w:vanish/>
              </w:rPr>
            </w:pPr>
          </w:p>
        </w:tc>
        <w:tc>
          <w:tcPr>
            <w:tcW w:w="0" w:type="auto"/>
            <w:gridSpan w:val="3"/>
            <w:shd w:val="clear" w:color="auto" w:fill="auto"/>
          </w:tcPr>
          <w:p w14:paraId="5C7C6E2D" w14:textId="77777777" w:rsidR="0008009C" w:rsidRDefault="0008009C">
            <w:pPr>
              <w:rPr>
                <w:rFonts w:ascii="宋体"/>
                <w:vanish/>
              </w:rPr>
            </w:pPr>
          </w:p>
        </w:tc>
        <w:tc>
          <w:tcPr>
            <w:tcW w:w="0" w:type="auto"/>
            <w:gridSpan w:val="3"/>
            <w:shd w:val="clear" w:color="auto" w:fill="auto"/>
          </w:tcPr>
          <w:p w14:paraId="5C7C6E2E" w14:textId="77777777" w:rsidR="0008009C" w:rsidRDefault="0008009C">
            <w:pPr>
              <w:rPr>
                <w:rFonts w:ascii="宋体"/>
                <w:vanish/>
              </w:rPr>
            </w:pPr>
          </w:p>
        </w:tc>
        <w:tc>
          <w:tcPr>
            <w:tcW w:w="0" w:type="auto"/>
            <w:gridSpan w:val="3"/>
            <w:shd w:val="clear" w:color="auto" w:fill="auto"/>
          </w:tcPr>
          <w:p w14:paraId="5C7C6E2F" w14:textId="77777777" w:rsidR="0008009C" w:rsidRDefault="0008009C">
            <w:pPr>
              <w:rPr>
                <w:rFonts w:ascii="宋体"/>
                <w:vanish/>
              </w:rPr>
            </w:pPr>
          </w:p>
        </w:tc>
        <w:tc>
          <w:tcPr>
            <w:tcW w:w="0" w:type="auto"/>
            <w:gridSpan w:val="3"/>
            <w:shd w:val="clear" w:color="auto" w:fill="auto"/>
          </w:tcPr>
          <w:p w14:paraId="5C7C6E30" w14:textId="77777777" w:rsidR="0008009C" w:rsidRDefault="0008009C">
            <w:pPr>
              <w:rPr>
                <w:rFonts w:ascii="宋体"/>
                <w:vanish/>
              </w:rPr>
            </w:pPr>
          </w:p>
        </w:tc>
        <w:tc>
          <w:tcPr>
            <w:tcW w:w="0" w:type="auto"/>
            <w:gridSpan w:val="3"/>
            <w:shd w:val="clear" w:color="auto" w:fill="auto"/>
          </w:tcPr>
          <w:p w14:paraId="5C7C6E31" w14:textId="77777777" w:rsidR="0008009C" w:rsidRDefault="0008009C">
            <w:pPr>
              <w:rPr>
                <w:rFonts w:ascii="宋体"/>
                <w:vanish/>
              </w:rPr>
            </w:pPr>
          </w:p>
        </w:tc>
      </w:tr>
      <w:tr w:rsidR="0008009C" w14:paraId="5C7C6E3E" w14:textId="77777777">
        <w:trPr>
          <w:hidden/>
        </w:trPr>
        <w:tc>
          <w:tcPr>
            <w:tcW w:w="0" w:type="auto"/>
            <w:gridSpan w:val="3"/>
            <w:shd w:val="clear" w:color="auto" w:fill="auto"/>
          </w:tcPr>
          <w:p w14:paraId="5C7C6E33" w14:textId="77777777" w:rsidR="0008009C" w:rsidRDefault="0008009C">
            <w:pPr>
              <w:rPr>
                <w:rFonts w:ascii="宋体"/>
                <w:vanish/>
              </w:rPr>
            </w:pPr>
          </w:p>
        </w:tc>
        <w:tc>
          <w:tcPr>
            <w:tcW w:w="0" w:type="auto"/>
            <w:gridSpan w:val="3"/>
            <w:shd w:val="clear" w:color="auto" w:fill="auto"/>
          </w:tcPr>
          <w:p w14:paraId="5C7C6E34" w14:textId="77777777" w:rsidR="0008009C" w:rsidRDefault="0008009C">
            <w:pPr>
              <w:rPr>
                <w:rFonts w:ascii="宋体"/>
                <w:vanish/>
              </w:rPr>
            </w:pPr>
          </w:p>
        </w:tc>
        <w:tc>
          <w:tcPr>
            <w:tcW w:w="0" w:type="auto"/>
            <w:gridSpan w:val="3"/>
            <w:shd w:val="clear" w:color="auto" w:fill="auto"/>
          </w:tcPr>
          <w:p w14:paraId="5C7C6E35" w14:textId="77777777" w:rsidR="0008009C" w:rsidRDefault="0008009C">
            <w:pPr>
              <w:rPr>
                <w:rFonts w:ascii="宋体"/>
                <w:vanish/>
              </w:rPr>
            </w:pPr>
          </w:p>
        </w:tc>
        <w:tc>
          <w:tcPr>
            <w:tcW w:w="0" w:type="auto"/>
            <w:gridSpan w:val="3"/>
            <w:shd w:val="clear" w:color="auto" w:fill="auto"/>
          </w:tcPr>
          <w:p w14:paraId="5C7C6E36" w14:textId="77777777" w:rsidR="0008009C" w:rsidRDefault="0008009C">
            <w:pPr>
              <w:rPr>
                <w:rFonts w:ascii="宋体"/>
                <w:vanish/>
              </w:rPr>
            </w:pPr>
          </w:p>
        </w:tc>
        <w:tc>
          <w:tcPr>
            <w:tcW w:w="0" w:type="auto"/>
            <w:gridSpan w:val="3"/>
            <w:shd w:val="clear" w:color="auto" w:fill="auto"/>
          </w:tcPr>
          <w:p w14:paraId="5C7C6E37" w14:textId="77777777" w:rsidR="0008009C" w:rsidRDefault="0008009C">
            <w:pPr>
              <w:rPr>
                <w:rFonts w:ascii="宋体"/>
                <w:vanish/>
              </w:rPr>
            </w:pPr>
          </w:p>
        </w:tc>
        <w:tc>
          <w:tcPr>
            <w:tcW w:w="0" w:type="auto"/>
            <w:gridSpan w:val="3"/>
            <w:shd w:val="clear" w:color="auto" w:fill="auto"/>
          </w:tcPr>
          <w:p w14:paraId="5C7C6E38" w14:textId="77777777" w:rsidR="0008009C" w:rsidRDefault="0008009C">
            <w:pPr>
              <w:rPr>
                <w:rFonts w:ascii="宋体"/>
                <w:vanish/>
              </w:rPr>
            </w:pPr>
          </w:p>
        </w:tc>
        <w:tc>
          <w:tcPr>
            <w:tcW w:w="0" w:type="auto"/>
            <w:gridSpan w:val="3"/>
            <w:shd w:val="clear" w:color="auto" w:fill="auto"/>
          </w:tcPr>
          <w:p w14:paraId="5C7C6E39" w14:textId="77777777" w:rsidR="0008009C" w:rsidRDefault="0008009C">
            <w:pPr>
              <w:rPr>
                <w:rFonts w:ascii="宋体"/>
                <w:vanish/>
              </w:rPr>
            </w:pPr>
          </w:p>
        </w:tc>
        <w:tc>
          <w:tcPr>
            <w:tcW w:w="0" w:type="auto"/>
            <w:gridSpan w:val="3"/>
            <w:shd w:val="clear" w:color="auto" w:fill="auto"/>
          </w:tcPr>
          <w:p w14:paraId="5C7C6E3A" w14:textId="77777777" w:rsidR="0008009C" w:rsidRDefault="0008009C">
            <w:pPr>
              <w:rPr>
                <w:rFonts w:ascii="宋体"/>
                <w:vanish/>
              </w:rPr>
            </w:pPr>
          </w:p>
        </w:tc>
        <w:tc>
          <w:tcPr>
            <w:tcW w:w="0" w:type="auto"/>
            <w:gridSpan w:val="3"/>
            <w:shd w:val="clear" w:color="auto" w:fill="auto"/>
          </w:tcPr>
          <w:p w14:paraId="5C7C6E3B" w14:textId="77777777" w:rsidR="0008009C" w:rsidRDefault="0008009C">
            <w:pPr>
              <w:rPr>
                <w:rFonts w:ascii="宋体"/>
                <w:vanish/>
              </w:rPr>
            </w:pPr>
          </w:p>
        </w:tc>
        <w:tc>
          <w:tcPr>
            <w:tcW w:w="0" w:type="auto"/>
            <w:gridSpan w:val="3"/>
            <w:shd w:val="clear" w:color="auto" w:fill="auto"/>
          </w:tcPr>
          <w:p w14:paraId="5C7C6E3C" w14:textId="77777777" w:rsidR="0008009C" w:rsidRDefault="0008009C">
            <w:pPr>
              <w:rPr>
                <w:rFonts w:ascii="宋体"/>
                <w:vanish/>
              </w:rPr>
            </w:pPr>
          </w:p>
        </w:tc>
        <w:tc>
          <w:tcPr>
            <w:tcW w:w="0" w:type="auto"/>
            <w:gridSpan w:val="3"/>
            <w:shd w:val="clear" w:color="auto" w:fill="auto"/>
          </w:tcPr>
          <w:p w14:paraId="5C7C6E3D" w14:textId="77777777" w:rsidR="0008009C" w:rsidRDefault="0008009C">
            <w:pPr>
              <w:rPr>
                <w:rFonts w:ascii="宋体"/>
                <w:vanish/>
              </w:rPr>
            </w:pPr>
          </w:p>
        </w:tc>
      </w:tr>
      <w:tr w:rsidR="0008009C" w14:paraId="5C7C6E4A" w14:textId="77777777">
        <w:trPr>
          <w:hidden/>
        </w:trPr>
        <w:tc>
          <w:tcPr>
            <w:tcW w:w="0" w:type="auto"/>
            <w:gridSpan w:val="3"/>
            <w:shd w:val="clear" w:color="auto" w:fill="auto"/>
          </w:tcPr>
          <w:p w14:paraId="5C7C6E3F" w14:textId="77777777" w:rsidR="0008009C" w:rsidRDefault="0008009C">
            <w:pPr>
              <w:rPr>
                <w:rFonts w:ascii="宋体"/>
                <w:vanish/>
              </w:rPr>
            </w:pPr>
          </w:p>
        </w:tc>
        <w:tc>
          <w:tcPr>
            <w:tcW w:w="0" w:type="auto"/>
            <w:gridSpan w:val="3"/>
            <w:shd w:val="clear" w:color="auto" w:fill="auto"/>
          </w:tcPr>
          <w:p w14:paraId="5C7C6E40" w14:textId="77777777" w:rsidR="0008009C" w:rsidRDefault="0008009C">
            <w:pPr>
              <w:rPr>
                <w:rFonts w:ascii="宋体"/>
                <w:vanish/>
              </w:rPr>
            </w:pPr>
          </w:p>
        </w:tc>
        <w:tc>
          <w:tcPr>
            <w:tcW w:w="0" w:type="auto"/>
            <w:gridSpan w:val="3"/>
            <w:shd w:val="clear" w:color="auto" w:fill="auto"/>
          </w:tcPr>
          <w:p w14:paraId="5C7C6E41" w14:textId="77777777" w:rsidR="0008009C" w:rsidRDefault="0008009C">
            <w:pPr>
              <w:rPr>
                <w:rFonts w:ascii="宋体"/>
                <w:vanish/>
              </w:rPr>
            </w:pPr>
          </w:p>
        </w:tc>
        <w:tc>
          <w:tcPr>
            <w:tcW w:w="0" w:type="auto"/>
            <w:gridSpan w:val="3"/>
            <w:shd w:val="clear" w:color="auto" w:fill="auto"/>
          </w:tcPr>
          <w:p w14:paraId="5C7C6E42" w14:textId="77777777" w:rsidR="0008009C" w:rsidRDefault="0008009C">
            <w:pPr>
              <w:rPr>
                <w:rFonts w:ascii="宋体"/>
                <w:vanish/>
              </w:rPr>
            </w:pPr>
          </w:p>
        </w:tc>
        <w:tc>
          <w:tcPr>
            <w:tcW w:w="0" w:type="auto"/>
            <w:gridSpan w:val="3"/>
            <w:shd w:val="clear" w:color="auto" w:fill="auto"/>
          </w:tcPr>
          <w:p w14:paraId="5C7C6E43" w14:textId="77777777" w:rsidR="0008009C" w:rsidRDefault="0008009C">
            <w:pPr>
              <w:rPr>
                <w:rFonts w:ascii="宋体"/>
                <w:vanish/>
              </w:rPr>
            </w:pPr>
          </w:p>
        </w:tc>
        <w:tc>
          <w:tcPr>
            <w:tcW w:w="0" w:type="auto"/>
            <w:gridSpan w:val="3"/>
            <w:shd w:val="clear" w:color="auto" w:fill="auto"/>
          </w:tcPr>
          <w:p w14:paraId="5C7C6E44" w14:textId="77777777" w:rsidR="0008009C" w:rsidRDefault="0008009C">
            <w:pPr>
              <w:rPr>
                <w:rFonts w:ascii="宋体"/>
                <w:vanish/>
              </w:rPr>
            </w:pPr>
          </w:p>
        </w:tc>
        <w:tc>
          <w:tcPr>
            <w:tcW w:w="0" w:type="auto"/>
            <w:gridSpan w:val="3"/>
            <w:shd w:val="clear" w:color="auto" w:fill="auto"/>
          </w:tcPr>
          <w:p w14:paraId="5C7C6E45" w14:textId="77777777" w:rsidR="0008009C" w:rsidRDefault="0008009C">
            <w:pPr>
              <w:rPr>
                <w:rFonts w:ascii="宋体"/>
                <w:vanish/>
              </w:rPr>
            </w:pPr>
          </w:p>
        </w:tc>
        <w:tc>
          <w:tcPr>
            <w:tcW w:w="0" w:type="auto"/>
            <w:gridSpan w:val="3"/>
            <w:shd w:val="clear" w:color="auto" w:fill="auto"/>
          </w:tcPr>
          <w:p w14:paraId="5C7C6E46" w14:textId="77777777" w:rsidR="0008009C" w:rsidRDefault="0008009C">
            <w:pPr>
              <w:rPr>
                <w:rFonts w:ascii="宋体"/>
                <w:vanish/>
              </w:rPr>
            </w:pPr>
          </w:p>
        </w:tc>
        <w:tc>
          <w:tcPr>
            <w:tcW w:w="0" w:type="auto"/>
            <w:gridSpan w:val="3"/>
            <w:shd w:val="clear" w:color="auto" w:fill="auto"/>
          </w:tcPr>
          <w:p w14:paraId="5C7C6E47" w14:textId="77777777" w:rsidR="0008009C" w:rsidRDefault="0008009C">
            <w:pPr>
              <w:rPr>
                <w:rFonts w:ascii="宋体"/>
                <w:vanish/>
              </w:rPr>
            </w:pPr>
          </w:p>
        </w:tc>
        <w:tc>
          <w:tcPr>
            <w:tcW w:w="0" w:type="auto"/>
            <w:gridSpan w:val="3"/>
            <w:shd w:val="clear" w:color="auto" w:fill="auto"/>
          </w:tcPr>
          <w:p w14:paraId="5C7C6E48" w14:textId="77777777" w:rsidR="0008009C" w:rsidRDefault="0008009C">
            <w:pPr>
              <w:rPr>
                <w:rFonts w:ascii="宋体"/>
                <w:vanish/>
              </w:rPr>
            </w:pPr>
          </w:p>
        </w:tc>
        <w:tc>
          <w:tcPr>
            <w:tcW w:w="0" w:type="auto"/>
            <w:gridSpan w:val="3"/>
            <w:shd w:val="clear" w:color="auto" w:fill="auto"/>
          </w:tcPr>
          <w:p w14:paraId="5C7C6E49" w14:textId="77777777" w:rsidR="0008009C" w:rsidRDefault="0008009C">
            <w:pPr>
              <w:rPr>
                <w:rFonts w:ascii="宋体"/>
                <w:vanish/>
              </w:rPr>
            </w:pPr>
          </w:p>
        </w:tc>
      </w:tr>
      <w:tr w:rsidR="0008009C" w14:paraId="5C7C6E56" w14:textId="77777777">
        <w:trPr>
          <w:hidden/>
        </w:trPr>
        <w:tc>
          <w:tcPr>
            <w:tcW w:w="0" w:type="auto"/>
            <w:gridSpan w:val="3"/>
            <w:shd w:val="clear" w:color="auto" w:fill="auto"/>
          </w:tcPr>
          <w:p w14:paraId="5C7C6E4B" w14:textId="77777777" w:rsidR="0008009C" w:rsidRDefault="0008009C">
            <w:pPr>
              <w:rPr>
                <w:rFonts w:ascii="宋体"/>
                <w:vanish/>
              </w:rPr>
            </w:pPr>
          </w:p>
        </w:tc>
        <w:tc>
          <w:tcPr>
            <w:tcW w:w="0" w:type="auto"/>
            <w:gridSpan w:val="3"/>
            <w:shd w:val="clear" w:color="auto" w:fill="auto"/>
          </w:tcPr>
          <w:p w14:paraId="5C7C6E4C" w14:textId="77777777" w:rsidR="0008009C" w:rsidRDefault="0008009C">
            <w:pPr>
              <w:rPr>
                <w:rFonts w:ascii="宋体"/>
                <w:vanish/>
              </w:rPr>
            </w:pPr>
          </w:p>
        </w:tc>
        <w:tc>
          <w:tcPr>
            <w:tcW w:w="0" w:type="auto"/>
            <w:gridSpan w:val="3"/>
            <w:shd w:val="clear" w:color="auto" w:fill="auto"/>
          </w:tcPr>
          <w:p w14:paraId="5C7C6E4D" w14:textId="77777777" w:rsidR="0008009C" w:rsidRDefault="0008009C">
            <w:pPr>
              <w:rPr>
                <w:rFonts w:ascii="宋体"/>
                <w:vanish/>
              </w:rPr>
            </w:pPr>
          </w:p>
        </w:tc>
        <w:tc>
          <w:tcPr>
            <w:tcW w:w="0" w:type="auto"/>
            <w:gridSpan w:val="3"/>
            <w:shd w:val="clear" w:color="auto" w:fill="auto"/>
          </w:tcPr>
          <w:p w14:paraId="5C7C6E4E" w14:textId="77777777" w:rsidR="0008009C" w:rsidRDefault="0008009C">
            <w:pPr>
              <w:rPr>
                <w:rFonts w:ascii="宋体"/>
                <w:vanish/>
              </w:rPr>
            </w:pPr>
          </w:p>
        </w:tc>
        <w:tc>
          <w:tcPr>
            <w:tcW w:w="0" w:type="auto"/>
            <w:gridSpan w:val="3"/>
            <w:shd w:val="clear" w:color="auto" w:fill="auto"/>
          </w:tcPr>
          <w:p w14:paraId="5C7C6E4F" w14:textId="77777777" w:rsidR="0008009C" w:rsidRDefault="0008009C">
            <w:pPr>
              <w:rPr>
                <w:rFonts w:ascii="宋体"/>
                <w:vanish/>
              </w:rPr>
            </w:pPr>
          </w:p>
        </w:tc>
        <w:tc>
          <w:tcPr>
            <w:tcW w:w="0" w:type="auto"/>
            <w:gridSpan w:val="3"/>
            <w:shd w:val="clear" w:color="auto" w:fill="auto"/>
          </w:tcPr>
          <w:p w14:paraId="5C7C6E50" w14:textId="77777777" w:rsidR="0008009C" w:rsidRDefault="0008009C">
            <w:pPr>
              <w:rPr>
                <w:rFonts w:ascii="宋体"/>
                <w:vanish/>
              </w:rPr>
            </w:pPr>
          </w:p>
        </w:tc>
        <w:tc>
          <w:tcPr>
            <w:tcW w:w="0" w:type="auto"/>
            <w:gridSpan w:val="3"/>
            <w:shd w:val="clear" w:color="auto" w:fill="auto"/>
          </w:tcPr>
          <w:p w14:paraId="5C7C6E51" w14:textId="77777777" w:rsidR="0008009C" w:rsidRDefault="0008009C">
            <w:pPr>
              <w:rPr>
                <w:rFonts w:ascii="宋体"/>
                <w:vanish/>
              </w:rPr>
            </w:pPr>
          </w:p>
        </w:tc>
        <w:tc>
          <w:tcPr>
            <w:tcW w:w="0" w:type="auto"/>
            <w:gridSpan w:val="3"/>
            <w:shd w:val="clear" w:color="auto" w:fill="auto"/>
          </w:tcPr>
          <w:p w14:paraId="5C7C6E52" w14:textId="77777777" w:rsidR="0008009C" w:rsidRDefault="0008009C">
            <w:pPr>
              <w:rPr>
                <w:rFonts w:ascii="宋体"/>
                <w:vanish/>
              </w:rPr>
            </w:pPr>
          </w:p>
        </w:tc>
        <w:tc>
          <w:tcPr>
            <w:tcW w:w="0" w:type="auto"/>
            <w:gridSpan w:val="3"/>
            <w:shd w:val="clear" w:color="auto" w:fill="auto"/>
          </w:tcPr>
          <w:p w14:paraId="5C7C6E53" w14:textId="77777777" w:rsidR="0008009C" w:rsidRDefault="0008009C">
            <w:pPr>
              <w:rPr>
                <w:rFonts w:ascii="宋体"/>
                <w:vanish/>
              </w:rPr>
            </w:pPr>
          </w:p>
        </w:tc>
        <w:tc>
          <w:tcPr>
            <w:tcW w:w="0" w:type="auto"/>
            <w:gridSpan w:val="3"/>
            <w:shd w:val="clear" w:color="auto" w:fill="auto"/>
          </w:tcPr>
          <w:p w14:paraId="5C7C6E54" w14:textId="77777777" w:rsidR="0008009C" w:rsidRDefault="0008009C">
            <w:pPr>
              <w:rPr>
                <w:rFonts w:ascii="宋体"/>
                <w:vanish/>
              </w:rPr>
            </w:pPr>
          </w:p>
        </w:tc>
        <w:tc>
          <w:tcPr>
            <w:tcW w:w="0" w:type="auto"/>
            <w:gridSpan w:val="3"/>
            <w:shd w:val="clear" w:color="auto" w:fill="auto"/>
          </w:tcPr>
          <w:p w14:paraId="5C7C6E55" w14:textId="77777777" w:rsidR="0008009C" w:rsidRDefault="0008009C">
            <w:pPr>
              <w:rPr>
                <w:rFonts w:ascii="宋体"/>
                <w:vanish/>
              </w:rPr>
            </w:pPr>
          </w:p>
        </w:tc>
      </w:tr>
      <w:tr w:rsidR="0008009C" w14:paraId="5C7C6E72" w14:textId="77777777">
        <w:trPr>
          <w:hidden/>
        </w:trPr>
        <w:tc>
          <w:tcPr>
            <w:tcW w:w="0" w:type="auto"/>
            <w:gridSpan w:val="3"/>
            <w:shd w:val="clear" w:color="auto" w:fill="auto"/>
          </w:tcPr>
          <w:p w14:paraId="5C7C6E57" w14:textId="77777777" w:rsidR="0008009C" w:rsidRDefault="0008009C">
            <w:pPr>
              <w:rPr>
                <w:rFonts w:ascii="宋体"/>
                <w:vanish/>
              </w:rPr>
            </w:pPr>
          </w:p>
        </w:tc>
        <w:tc>
          <w:tcPr>
            <w:tcW w:w="0" w:type="auto"/>
            <w:gridSpan w:val="3"/>
            <w:shd w:val="clear" w:color="auto" w:fill="auto"/>
          </w:tcPr>
          <w:p w14:paraId="5C7C6E58" w14:textId="77777777" w:rsidR="0008009C" w:rsidRDefault="0008009C">
            <w:pPr>
              <w:rPr>
                <w:rFonts w:ascii="宋体"/>
                <w:vanish/>
              </w:rPr>
            </w:pPr>
          </w:p>
        </w:tc>
        <w:tc>
          <w:tcPr>
            <w:tcW w:w="0" w:type="auto"/>
            <w:gridSpan w:val="3"/>
            <w:shd w:val="clear" w:color="auto" w:fill="auto"/>
          </w:tcPr>
          <w:p w14:paraId="5C7C6E59" w14:textId="77777777" w:rsidR="0008009C" w:rsidRDefault="0008009C">
            <w:pPr>
              <w:rPr>
                <w:rFonts w:ascii="宋体"/>
                <w:vanish/>
              </w:rPr>
            </w:pPr>
          </w:p>
        </w:tc>
        <w:tc>
          <w:tcPr>
            <w:tcW w:w="0" w:type="auto"/>
            <w:shd w:val="clear" w:color="auto" w:fill="auto"/>
          </w:tcPr>
          <w:p w14:paraId="5C7C6E5A" w14:textId="77777777" w:rsidR="0008009C" w:rsidRDefault="0008009C">
            <w:pPr>
              <w:rPr>
                <w:rFonts w:ascii="宋体"/>
              </w:rPr>
            </w:pPr>
          </w:p>
        </w:tc>
        <w:tc>
          <w:tcPr>
            <w:tcW w:w="0" w:type="auto"/>
            <w:shd w:val="clear" w:color="auto" w:fill="auto"/>
          </w:tcPr>
          <w:p w14:paraId="5C7C6E5B" w14:textId="77777777" w:rsidR="0008009C" w:rsidRDefault="0008009C">
            <w:pPr>
              <w:rPr>
                <w:rFonts w:ascii="宋体"/>
              </w:rPr>
            </w:pPr>
          </w:p>
        </w:tc>
        <w:tc>
          <w:tcPr>
            <w:tcW w:w="0" w:type="auto"/>
            <w:shd w:val="clear" w:color="auto" w:fill="auto"/>
          </w:tcPr>
          <w:p w14:paraId="5C7C6E5C" w14:textId="77777777" w:rsidR="0008009C" w:rsidRDefault="0008009C">
            <w:pPr>
              <w:rPr>
                <w:rFonts w:ascii="宋体"/>
              </w:rPr>
            </w:pPr>
          </w:p>
        </w:tc>
        <w:tc>
          <w:tcPr>
            <w:tcW w:w="0" w:type="auto"/>
            <w:shd w:val="clear" w:color="auto" w:fill="auto"/>
          </w:tcPr>
          <w:p w14:paraId="5C7C6E5D" w14:textId="77777777" w:rsidR="0008009C" w:rsidRDefault="0008009C">
            <w:pPr>
              <w:rPr>
                <w:rFonts w:ascii="宋体"/>
              </w:rPr>
            </w:pPr>
          </w:p>
        </w:tc>
        <w:tc>
          <w:tcPr>
            <w:tcW w:w="0" w:type="auto"/>
            <w:shd w:val="clear" w:color="auto" w:fill="auto"/>
          </w:tcPr>
          <w:p w14:paraId="5C7C6E5E" w14:textId="77777777" w:rsidR="0008009C" w:rsidRDefault="0008009C">
            <w:pPr>
              <w:rPr>
                <w:rFonts w:ascii="宋体"/>
              </w:rPr>
            </w:pPr>
          </w:p>
        </w:tc>
        <w:tc>
          <w:tcPr>
            <w:tcW w:w="0" w:type="auto"/>
            <w:shd w:val="clear" w:color="auto" w:fill="auto"/>
          </w:tcPr>
          <w:p w14:paraId="5C7C6E5F" w14:textId="77777777" w:rsidR="0008009C" w:rsidRDefault="0008009C">
            <w:pPr>
              <w:rPr>
                <w:rFonts w:ascii="宋体"/>
              </w:rPr>
            </w:pPr>
          </w:p>
        </w:tc>
        <w:tc>
          <w:tcPr>
            <w:tcW w:w="0" w:type="auto"/>
            <w:shd w:val="clear" w:color="auto" w:fill="auto"/>
          </w:tcPr>
          <w:p w14:paraId="5C7C6E60" w14:textId="77777777" w:rsidR="0008009C" w:rsidRDefault="0008009C">
            <w:pPr>
              <w:rPr>
                <w:rFonts w:ascii="宋体"/>
              </w:rPr>
            </w:pPr>
          </w:p>
        </w:tc>
        <w:tc>
          <w:tcPr>
            <w:tcW w:w="0" w:type="auto"/>
            <w:shd w:val="clear" w:color="auto" w:fill="auto"/>
          </w:tcPr>
          <w:p w14:paraId="5C7C6E61" w14:textId="77777777" w:rsidR="0008009C" w:rsidRDefault="0008009C">
            <w:pPr>
              <w:rPr>
                <w:rFonts w:ascii="宋体"/>
              </w:rPr>
            </w:pPr>
          </w:p>
        </w:tc>
        <w:tc>
          <w:tcPr>
            <w:tcW w:w="0" w:type="auto"/>
            <w:shd w:val="clear" w:color="auto" w:fill="auto"/>
          </w:tcPr>
          <w:p w14:paraId="5C7C6E62" w14:textId="77777777" w:rsidR="0008009C" w:rsidRDefault="0008009C">
            <w:pPr>
              <w:rPr>
                <w:rFonts w:ascii="宋体"/>
              </w:rPr>
            </w:pPr>
          </w:p>
        </w:tc>
        <w:tc>
          <w:tcPr>
            <w:tcW w:w="0" w:type="auto"/>
            <w:shd w:val="clear" w:color="auto" w:fill="auto"/>
          </w:tcPr>
          <w:p w14:paraId="5C7C6E63" w14:textId="77777777" w:rsidR="0008009C" w:rsidRDefault="0008009C">
            <w:pPr>
              <w:rPr>
                <w:rFonts w:ascii="宋体"/>
              </w:rPr>
            </w:pPr>
          </w:p>
        </w:tc>
        <w:tc>
          <w:tcPr>
            <w:tcW w:w="0" w:type="auto"/>
            <w:shd w:val="clear" w:color="auto" w:fill="auto"/>
          </w:tcPr>
          <w:p w14:paraId="5C7C6E64" w14:textId="77777777" w:rsidR="0008009C" w:rsidRDefault="0008009C">
            <w:pPr>
              <w:rPr>
                <w:rFonts w:ascii="宋体"/>
              </w:rPr>
            </w:pPr>
          </w:p>
        </w:tc>
        <w:tc>
          <w:tcPr>
            <w:tcW w:w="0" w:type="auto"/>
            <w:shd w:val="clear" w:color="auto" w:fill="auto"/>
          </w:tcPr>
          <w:p w14:paraId="5C7C6E65" w14:textId="77777777" w:rsidR="0008009C" w:rsidRDefault="0008009C">
            <w:pPr>
              <w:rPr>
                <w:rFonts w:ascii="宋体"/>
              </w:rPr>
            </w:pPr>
          </w:p>
        </w:tc>
        <w:tc>
          <w:tcPr>
            <w:tcW w:w="0" w:type="auto"/>
            <w:shd w:val="clear" w:color="auto" w:fill="auto"/>
          </w:tcPr>
          <w:p w14:paraId="5C7C6E66" w14:textId="77777777" w:rsidR="0008009C" w:rsidRDefault="0008009C">
            <w:pPr>
              <w:rPr>
                <w:rFonts w:ascii="宋体"/>
              </w:rPr>
            </w:pPr>
          </w:p>
        </w:tc>
        <w:tc>
          <w:tcPr>
            <w:tcW w:w="0" w:type="auto"/>
            <w:shd w:val="clear" w:color="auto" w:fill="auto"/>
          </w:tcPr>
          <w:p w14:paraId="5C7C6E67" w14:textId="77777777" w:rsidR="0008009C" w:rsidRDefault="0008009C">
            <w:pPr>
              <w:rPr>
                <w:rFonts w:ascii="宋体"/>
              </w:rPr>
            </w:pPr>
          </w:p>
        </w:tc>
        <w:tc>
          <w:tcPr>
            <w:tcW w:w="0" w:type="auto"/>
            <w:shd w:val="clear" w:color="auto" w:fill="auto"/>
          </w:tcPr>
          <w:p w14:paraId="5C7C6E68" w14:textId="77777777" w:rsidR="0008009C" w:rsidRDefault="0008009C">
            <w:pPr>
              <w:rPr>
                <w:rFonts w:ascii="宋体"/>
              </w:rPr>
            </w:pPr>
          </w:p>
        </w:tc>
        <w:tc>
          <w:tcPr>
            <w:tcW w:w="0" w:type="auto"/>
            <w:shd w:val="clear" w:color="auto" w:fill="auto"/>
          </w:tcPr>
          <w:p w14:paraId="5C7C6E69" w14:textId="77777777" w:rsidR="0008009C" w:rsidRDefault="0008009C">
            <w:pPr>
              <w:rPr>
                <w:rFonts w:ascii="宋体"/>
              </w:rPr>
            </w:pPr>
          </w:p>
        </w:tc>
        <w:tc>
          <w:tcPr>
            <w:tcW w:w="0" w:type="auto"/>
            <w:shd w:val="clear" w:color="auto" w:fill="auto"/>
          </w:tcPr>
          <w:p w14:paraId="5C7C6E6A" w14:textId="77777777" w:rsidR="0008009C" w:rsidRDefault="0008009C">
            <w:pPr>
              <w:rPr>
                <w:rFonts w:ascii="宋体"/>
              </w:rPr>
            </w:pPr>
          </w:p>
        </w:tc>
        <w:tc>
          <w:tcPr>
            <w:tcW w:w="0" w:type="auto"/>
            <w:shd w:val="clear" w:color="auto" w:fill="auto"/>
          </w:tcPr>
          <w:p w14:paraId="5C7C6E6B" w14:textId="77777777" w:rsidR="0008009C" w:rsidRDefault="0008009C">
            <w:pPr>
              <w:rPr>
                <w:rFonts w:ascii="宋体"/>
              </w:rPr>
            </w:pPr>
          </w:p>
        </w:tc>
        <w:tc>
          <w:tcPr>
            <w:tcW w:w="0" w:type="auto"/>
            <w:shd w:val="clear" w:color="auto" w:fill="auto"/>
          </w:tcPr>
          <w:p w14:paraId="5C7C6E6C" w14:textId="77777777" w:rsidR="0008009C" w:rsidRDefault="0008009C">
            <w:pPr>
              <w:rPr>
                <w:rFonts w:ascii="宋体"/>
              </w:rPr>
            </w:pPr>
          </w:p>
        </w:tc>
        <w:tc>
          <w:tcPr>
            <w:tcW w:w="0" w:type="auto"/>
            <w:shd w:val="clear" w:color="auto" w:fill="auto"/>
          </w:tcPr>
          <w:p w14:paraId="5C7C6E6D" w14:textId="77777777" w:rsidR="0008009C" w:rsidRDefault="0008009C">
            <w:pPr>
              <w:rPr>
                <w:rFonts w:ascii="宋体"/>
              </w:rPr>
            </w:pPr>
          </w:p>
        </w:tc>
        <w:tc>
          <w:tcPr>
            <w:tcW w:w="0" w:type="auto"/>
            <w:shd w:val="clear" w:color="auto" w:fill="auto"/>
          </w:tcPr>
          <w:p w14:paraId="5C7C6E6E" w14:textId="77777777" w:rsidR="0008009C" w:rsidRDefault="0008009C">
            <w:pPr>
              <w:rPr>
                <w:rFonts w:ascii="宋体"/>
              </w:rPr>
            </w:pPr>
          </w:p>
        </w:tc>
        <w:tc>
          <w:tcPr>
            <w:tcW w:w="0" w:type="auto"/>
            <w:shd w:val="clear" w:color="auto" w:fill="auto"/>
          </w:tcPr>
          <w:p w14:paraId="5C7C6E6F" w14:textId="77777777" w:rsidR="0008009C" w:rsidRDefault="0008009C">
            <w:pPr>
              <w:rPr>
                <w:rFonts w:ascii="宋体"/>
              </w:rPr>
            </w:pPr>
          </w:p>
        </w:tc>
        <w:tc>
          <w:tcPr>
            <w:tcW w:w="0" w:type="auto"/>
            <w:shd w:val="clear" w:color="auto" w:fill="auto"/>
          </w:tcPr>
          <w:p w14:paraId="5C7C6E70" w14:textId="77777777" w:rsidR="0008009C" w:rsidRDefault="0008009C">
            <w:pPr>
              <w:rPr>
                <w:rFonts w:ascii="宋体"/>
              </w:rPr>
            </w:pPr>
          </w:p>
        </w:tc>
        <w:tc>
          <w:tcPr>
            <w:tcW w:w="0" w:type="auto"/>
            <w:shd w:val="clear" w:color="auto" w:fill="auto"/>
          </w:tcPr>
          <w:p w14:paraId="5C7C6E71" w14:textId="77777777" w:rsidR="0008009C" w:rsidRDefault="0008009C">
            <w:pPr>
              <w:rPr>
                <w:rFonts w:ascii="宋体"/>
              </w:rPr>
            </w:pPr>
          </w:p>
        </w:tc>
      </w:tr>
    </w:tbl>
    <w:p w14:paraId="5C7C6E73"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8009C" w14:paraId="5C7C6E77" w14:textId="77777777">
        <w:tc>
          <w:tcPr>
            <w:tcW w:w="50" w:type="pct"/>
            <w:shd w:val="clear" w:color="auto" w:fill="auto"/>
          </w:tcPr>
          <w:p w14:paraId="5C7C6E74" w14:textId="77777777" w:rsidR="0008009C" w:rsidRDefault="0008009C">
            <w:pPr>
              <w:rPr>
                <w:rFonts w:ascii="宋体"/>
              </w:rPr>
            </w:pPr>
          </w:p>
        </w:tc>
        <w:tc>
          <w:tcPr>
            <w:tcW w:w="4945" w:type="pct"/>
            <w:shd w:val="clear" w:color="auto" w:fill="auto"/>
          </w:tcPr>
          <w:p w14:paraId="5C7C6E75" w14:textId="77777777" w:rsidR="0008009C" w:rsidRDefault="0008009C">
            <w:pPr>
              <w:rPr>
                <w:rFonts w:ascii="宋体"/>
              </w:rPr>
            </w:pPr>
          </w:p>
        </w:tc>
        <w:tc>
          <w:tcPr>
            <w:tcW w:w="5" w:type="pct"/>
            <w:shd w:val="clear" w:color="auto" w:fill="auto"/>
          </w:tcPr>
          <w:p w14:paraId="5C7C6E76" w14:textId="77777777" w:rsidR="0008009C" w:rsidRDefault="0008009C">
            <w:pPr>
              <w:rPr>
                <w:rFonts w:ascii="宋体"/>
              </w:rPr>
            </w:pPr>
          </w:p>
        </w:tc>
      </w:tr>
      <w:tr w:rsidR="0008009C" w14:paraId="5C7C6E79"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E78" w14:textId="77777777" w:rsidR="0008009C" w:rsidRDefault="00936FDF">
            <w:pPr>
              <w:textAlignment w:val="bottom"/>
            </w:pPr>
            <w:r>
              <w:rPr>
                <w:rFonts w:ascii="Arial" w:eastAsia="宋体" w:hAnsi="Arial" w:cs="Arial"/>
                <w:color w:val="0068B5"/>
                <w:sz w:val="20"/>
                <w:szCs w:val="20"/>
              </w:rPr>
              <w:t>Operating Income Summary</w:t>
            </w:r>
          </w:p>
        </w:tc>
      </w:tr>
    </w:tbl>
    <w:p w14:paraId="5C7C6E7A" w14:textId="77777777" w:rsidR="0008009C" w:rsidRDefault="00936FDF">
      <w:pPr>
        <w:spacing w:after="180"/>
      </w:pPr>
      <w:r>
        <w:rPr>
          <w:rFonts w:ascii="Arial" w:eastAsia="宋体" w:hAnsi="Arial" w:cs="Arial"/>
          <w:color w:val="262626"/>
          <w:sz w:val="18"/>
          <w:szCs w:val="18"/>
        </w:rPr>
        <w:t xml:space="preserve">Operating income in Q1 2021 decreased 64% from Q1 2020, with an operating margin of 23%. </w:t>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38"/>
        <w:gridCol w:w="7134"/>
        <w:gridCol w:w="37"/>
      </w:tblGrid>
      <w:tr w:rsidR="0008009C" w14:paraId="5C7C6E84" w14:textId="77777777">
        <w:tc>
          <w:tcPr>
            <w:tcW w:w="50" w:type="pct"/>
            <w:shd w:val="clear" w:color="auto" w:fill="auto"/>
          </w:tcPr>
          <w:p w14:paraId="5C7C6E7B" w14:textId="77777777" w:rsidR="0008009C" w:rsidRDefault="0008009C">
            <w:pPr>
              <w:rPr>
                <w:rFonts w:ascii="宋体"/>
              </w:rPr>
            </w:pPr>
          </w:p>
        </w:tc>
        <w:tc>
          <w:tcPr>
            <w:tcW w:w="539" w:type="pct"/>
            <w:shd w:val="clear" w:color="auto" w:fill="auto"/>
          </w:tcPr>
          <w:p w14:paraId="5C7C6E7C" w14:textId="77777777" w:rsidR="0008009C" w:rsidRDefault="0008009C">
            <w:pPr>
              <w:rPr>
                <w:rFonts w:ascii="宋体"/>
              </w:rPr>
            </w:pPr>
          </w:p>
        </w:tc>
        <w:tc>
          <w:tcPr>
            <w:tcW w:w="5" w:type="pct"/>
            <w:shd w:val="clear" w:color="auto" w:fill="auto"/>
          </w:tcPr>
          <w:p w14:paraId="5C7C6E7D" w14:textId="77777777" w:rsidR="0008009C" w:rsidRDefault="0008009C">
            <w:pPr>
              <w:rPr>
                <w:rFonts w:ascii="宋体"/>
              </w:rPr>
            </w:pPr>
          </w:p>
        </w:tc>
        <w:tc>
          <w:tcPr>
            <w:tcW w:w="5" w:type="pct"/>
            <w:shd w:val="clear" w:color="auto" w:fill="auto"/>
          </w:tcPr>
          <w:p w14:paraId="5C7C6E7E" w14:textId="77777777" w:rsidR="0008009C" w:rsidRDefault="0008009C">
            <w:pPr>
              <w:rPr>
                <w:rFonts w:ascii="宋体"/>
              </w:rPr>
            </w:pPr>
          </w:p>
        </w:tc>
        <w:tc>
          <w:tcPr>
            <w:tcW w:w="24" w:type="pct"/>
            <w:shd w:val="clear" w:color="auto" w:fill="auto"/>
          </w:tcPr>
          <w:p w14:paraId="5C7C6E7F" w14:textId="77777777" w:rsidR="0008009C" w:rsidRDefault="0008009C">
            <w:pPr>
              <w:rPr>
                <w:rFonts w:ascii="宋体"/>
              </w:rPr>
            </w:pPr>
          </w:p>
        </w:tc>
        <w:tc>
          <w:tcPr>
            <w:tcW w:w="5" w:type="pct"/>
            <w:shd w:val="clear" w:color="auto" w:fill="auto"/>
          </w:tcPr>
          <w:p w14:paraId="5C7C6E80" w14:textId="77777777" w:rsidR="0008009C" w:rsidRDefault="0008009C">
            <w:pPr>
              <w:rPr>
                <w:rFonts w:ascii="宋体"/>
              </w:rPr>
            </w:pPr>
          </w:p>
        </w:tc>
        <w:tc>
          <w:tcPr>
            <w:tcW w:w="50" w:type="pct"/>
            <w:shd w:val="clear" w:color="auto" w:fill="auto"/>
          </w:tcPr>
          <w:p w14:paraId="5C7C6E81" w14:textId="77777777" w:rsidR="0008009C" w:rsidRDefault="0008009C">
            <w:pPr>
              <w:rPr>
                <w:rFonts w:ascii="宋体"/>
              </w:rPr>
            </w:pPr>
          </w:p>
        </w:tc>
        <w:tc>
          <w:tcPr>
            <w:tcW w:w="4316" w:type="pct"/>
            <w:shd w:val="clear" w:color="auto" w:fill="auto"/>
          </w:tcPr>
          <w:p w14:paraId="5C7C6E82" w14:textId="77777777" w:rsidR="0008009C" w:rsidRDefault="0008009C">
            <w:pPr>
              <w:rPr>
                <w:rFonts w:ascii="宋体"/>
              </w:rPr>
            </w:pPr>
          </w:p>
        </w:tc>
        <w:tc>
          <w:tcPr>
            <w:tcW w:w="5" w:type="pct"/>
            <w:shd w:val="clear" w:color="auto" w:fill="auto"/>
          </w:tcPr>
          <w:p w14:paraId="5C7C6E83" w14:textId="77777777" w:rsidR="0008009C" w:rsidRDefault="0008009C">
            <w:pPr>
              <w:rPr>
                <w:rFonts w:ascii="宋体"/>
              </w:rPr>
            </w:pPr>
          </w:p>
        </w:tc>
      </w:tr>
      <w:tr w:rsidR="0008009C" w14:paraId="5C7C6E88" w14:textId="77777777">
        <w:tc>
          <w:tcPr>
            <w:tcW w:w="0" w:type="auto"/>
            <w:gridSpan w:val="3"/>
            <w:shd w:val="clear" w:color="auto" w:fill="auto"/>
            <w:tcMar>
              <w:top w:w="40" w:type="dxa"/>
              <w:left w:w="20" w:type="dxa"/>
              <w:bottom w:w="40" w:type="dxa"/>
              <w:right w:w="20" w:type="dxa"/>
            </w:tcMar>
            <w:vAlign w:val="bottom"/>
          </w:tcPr>
          <w:p w14:paraId="5C7C6E85"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6E8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E87" w14:textId="77777777" w:rsidR="0008009C" w:rsidRDefault="0008009C">
            <w:pPr>
              <w:rPr>
                <w:rFonts w:ascii="宋体"/>
              </w:rPr>
            </w:pPr>
          </w:p>
        </w:tc>
      </w:tr>
      <w:tr w:rsidR="0008009C" w14:paraId="5C7C6E8E"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5C7C6E89"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6E8A" w14:textId="77777777" w:rsidR="0008009C" w:rsidRDefault="00936FDF">
            <w:pPr>
              <w:jc w:val="right"/>
              <w:textAlignment w:val="bottom"/>
            </w:pPr>
            <w:r>
              <w:rPr>
                <w:rFonts w:ascii="Arial" w:eastAsia="宋体" w:hAnsi="Arial" w:cs="Arial"/>
                <w:b/>
                <w:bCs/>
                <w:color w:val="0068B5"/>
                <w:sz w:val="18"/>
                <w:szCs w:val="18"/>
              </w:rPr>
              <w:t>1,273</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6E8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E8C"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6E8D" w14:textId="77777777" w:rsidR="0008009C" w:rsidRDefault="00936FDF">
            <w:pPr>
              <w:textAlignment w:val="bottom"/>
            </w:pPr>
            <w:r>
              <w:rPr>
                <w:rFonts w:ascii="Arial" w:eastAsia="宋体" w:hAnsi="Arial" w:cs="Arial"/>
                <w:b/>
                <w:bCs/>
                <w:color w:val="262626"/>
                <w:sz w:val="18"/>
                <w:szCs w:val="18"/>
              </w:rPr>
              <w:t>Q1 2021 DCG Operating Income</w:t>
            </w:r>
          </w:p>
        </w:tc>
      </w:tr>
      <w:tr w:rsidR="0008009C" w14:paraId="5C7C6E93" w14:textId="77777777">
        <w:tc>
          <w:tcPr>
            <w:tcW w:w="0" w:type="auto"/>
            <w:gridSpan w:val="2"/>
            <w:tcBorders>
              <w:top w:val="single" w:sz="8" w:space="0" w:color="262626"/>
            </w:tcBorders>
            <w:shd w:val="clear" w:color="auto" w:fill="auto"/>
            <w:tcMar>
              <w:top w:w="40" w:type="dxa"/>
              <w:left w:w="20" w:type="dxa"/>
              <w:bottom w:w="40" w:type="dxa"/>
              <w:right w:w="0" w:type="dxa"/>
            </w:tcMar>
          </w:tcPr>
          <w:p w14:paraId="5C7C6E8F" w14:textId="77777777" w:rsidR="0008009C" w:rsidRDefault="00936FDF">
            <w:pPr>
              <w:jc w:val="right"/>
              <w:textAlignment w:val="top"/>
            </w:pPr>
            <w:r>
              <w:rPr>
                <w:rFonts w:ascii="Arial" w:eastAsia="宋体" w:hAnsi="Arial" w:cs="Arial"/>
                <w:color w:val="0068B5"/>
                <w:sz w:val="18"/>
                <w:szCs w:val="18"/>
              </w:rPr>
              <w:t>(1,520)</w:t>
            </w:r>
          </w:p>
        </w:tc>
        <w:tc>
          <w:tcPr>
            <w:tcW w:w="0" w:type="auto"/>
            <w:tcBorders>
              <w:top w:val="single" w:sz="8" w:space="0" w:color="262626"/>
            </w:tcBorders>
            <w:shd w:val="clear" w:color="auto" w:fill="auto"/>
            <w:tcMar>
              <w:top w:w="40" w:type="dxa"/>
              <w:left w:w="0" w:type="dxa"/>
              <w:bottom w:w="40" w:type="dxa"/>
              <w:right w:w="20" w:type="dxa"/>
            </w:tcMar>
          </w:tcPr>
          <w:p w14:paraId="5C7C6E9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E91" w14:textId="77777777" w:rsidR="0008009C" w:rsidRDefault="0008009C">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tcPr>
          <w:p w14:paraId="5C7C6E92" w14:textId="77777777" w:rsidR="0008009C" w:rsidRDefault="00936FDF">
            <w:pPr>
              <w:textAlignment w:val="top"/>
            </w:pPr>
            <w:r>
              <w:rPr>
                <w:rFonts w:ascii="Arial" w:eastAsia="宋体" w:hAnsi="Arial" w:cs="Arial"/>
                <w:color w:val="0068B5"/>
                <w:sz w:val="18"/>
                <w:szCs w:val="18"/>
              </w:rPr>
              <w:t>Lower gross margin from platform revenue</w:t>
            </w:r>
          </w:p>
        </w:tc>
      </w:tr>
      <w:tr w:rsidR="0008009C" w14:paraId="5C7C6E98" w14:textId="77777777">
        <w:tc>
          <w:tcPr>
            <w:tcW w:w="0" w:type="auto"/>
            <w:gridSpan w:val="2"/>
            <w:shd w:val="clear" w:color="auto" w:fill="auto"/>
            <w:tcMar>
              <w:top w:w="40" w:type="dxa"/>
              <w:left w:w="20" w:type="dxa"/>
              <w:bottom w:w="40" w:type="dxa"/>
              <w:right w:w="0" w:type="dxa"/>
            </w:tcMar>
          </w:tcPr>
          <w:p w14:paraId="5C7C6E94" w14:textId="77777777" w:rsidR="0008009C" w:rsidRDefault="00936FDF">
            <w:pPr>
              <w:jc w:val="right"/>
              <w:textAlignment w:val="top"/>
            </w:pPr>
            <w:r>
              <w:rPr>
                <w:rFonts w:ascii="Arial" w:eastAsia="宋体" w:hAnsi="Arial" w:cs="Arial"/>
                <w:color w:val="0068B5"/>
                <w:sz w:val="18"/>
                <w:szCs w:val="18"/>
              </w:rPr>
              <w:t>(240)</w:t>
            </w:r>
          </w:p>
        </w:tc>
        <w:tc>
          <w:tcPr>
            <w:tcW w:w="0" w:type="auto"/>
            <w:shd w:val="clear" w:color="auto" w:fill="auto"/>
            <w:tcMar>
              <w:top w:w="40" w:type="dxa"/>
              <w:left w:w="0" w:type="dxa"/>
              <w:bottom w:w="40" w:type="dxa"/>
              <w:right w:w="20" w:type="dxa"/>
            </w:tcMar>
          </w:tcPr>
          <w:p w14:paraId="5C7C6E9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E96"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E97" w14:textId="77777777" w:rsidR="0008009C" w:rsidRDefault="00936FDF">
            <w:pPr>
              <w:textAlignment w:val="top"/>
            </w:pPr>
            <w:r>
              <w:rPr>
                <w:rFonts w:ascii="Arial" w:eastAsia="宋体" w:hAnsi="Arial" w:cs="Arial"/>
                <w:color w:val="0068B5"/>
                <w:sz w:val="18"/>
                <w:szCs w:val="18"/>
              </w:rPr>
              <w:t xml:space="preserve">Higher operating expenses </w:t>
            </w:r>
          </w:p>
        </w:tc>
      </w:tr>
      <w:tr w:rsidR="0008009C" w14:paraId="5C7C6E9D" w14:textId="77777777">
        <w:tc>
          <w:tcPr>
            <w:tcW w:w="0" w:type="auto"/>
            <w:gridSpan w:val="2"/>
            <w:shd w:val="clear" w:color="auto" w:fill="auto"/>
            <w:tcMar>
              <w:top w:w="40" w:type="dxa"/>
              <w:left w:w="20" w:type="dxa"/>
              <w:bottom w:w="40" w:type="dxa"/>
              <w:right w:w="0" w:type="dxa"/>
            </w:tcMar>
          </w:tcPr>
          <w:p w14:paraId="5C7C6E99" w14:textId="77777777" w:rsidR="0008009C" w:rsidRDefault="00936FDF">
            <w:pPr>
              <w:jc w:val="right"/>
              <w:textAlignment w:val="top"/>
            </w:pPr>
            <w:r>
              <w:rPr>
                <w:rFonts w:ascii="Arial" w:eastAsia="宋体" w:hAnsi="Arial" w:cs="Arial"/>
                <w:color w:val="0068B5"/>
                <w:sz w:val="18"/>
                <w:szCs w:val="18"/>
              </w:rPr>
              <w:t>(185)</w:t>
            </w:r>
          </w:p>
        </w:tc>
        <w:tc>
          <w:tcPr>
            <w:tcW w:w="0" w:type="auto"/>
            <w:shd w:val="clear" w:color="auto" w:fill="auto"/>
            <w:tcMar>
              <w:top w:w="40" w:type="dxa"/>
              <w:left w:w="0" w:type="dxa"/>
              <w:bottom w:w="40" w:type="dxa"/>
              <w:right w:w="20" w:type="dxa"/>
            </w:tcMar>
          </w:tcPr>
          <w:p w14:paraId="5C7C6E9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E9B"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E9C" w14:textId="77777777" w:rsidR="0008009C" w:rsidRDefault="00936FDF">
            <w:pPr>
              <w:textAlignment w:val="top"/>
            </w:pPr>
            <w:r>
              <w:rPr>
                <w:rFonts w:ascii="Arial" w:eastAsia="宋体" w:hAnsi="Arial" w:cs="Arial"/>
                <w:color w:val="0068B5"/>
                <w:sz w:val="18"/>
                <w:szCs w:val="18"/>
              </w:rPr>
              <w:t>Higher platform unit cost primarily from increased mix of 10nm products</w:t>
            </w:r>
          </w:p>
        </w:tc>
      </w:tr>
      <w:tr w:rsidR="0008009C" w14:paraId="5C7C6EA2" w14:textId="77777777">
        <w:tc>
          <w:tcPr>
            <w:tcW w:w="0" w:type="auto"/>
            <w:gridSpan w:val="2"/>
            <w:shd w:val="clear" w:color="auto" w:fill="auto"/>
            <w:tcMar>
              <w:top w:w="40" w:type="dxa"/>
              <w:left w:w="20" w:type="dxa"/>
              <w:bottom w:w="40" w:type="dxa"/>
              <w:right w:w="0" w:type="dxa"/>
            </w:tcMar>
          </w:tcPr>
          <w:p w14:paraId="5C7C6E9E" w14:textId="77777777" w:rsidR="0008009C" w:rsidRDefault="00936FDF">
            <w:pPr>
              <w:jc w:val="right"/>
              <w:textAlignment w:val="top"/>
            </w:pPr>
            <w:r>
              <w:rPr>
                <w:rFonts w:ascii="Arial" w:eastAsia="宋体" w:hAnsi="Arial" w:cs="Arial"/>
                <w:color w:val="0068B5"/>
                <w:sz w:val="18"/>
                <w:szCs w:val="18"/>
              </w:rPr>
              <w:t>(142)</w:t>
            </w:r>
          </w:p>
        </w:tc>
        <w:tc>
          <w:tcPr>
            <w:tcW w:w="0" w:type="auto"/>
            <w:shd w:val="clear" w:color="auto" w:fill="auto"/>
            <w:tcMar>
              <w:top w:w="40" w:type="dxa"/>
              <w:left w:w="0" w:type="dxa"/>
              <w:bottom w:w="40" w:type="dxa"/>
              <w:right w:w="20" w:type="dxa"/>
            </w:tcMar>
          </w:tcPr>
          <w:p w14:paraId="5C7C6E9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EA0"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EA1" w14:textId="77777777" w:rsidR="0008009C" w:rsidRDefault="00936FDF">
            <w:pPr>
              <w:textAlignment w:val="top"/>
            </w:pPr>
            <w:r>
              <w:rPr>
                <w:rFonts w:ascii="Arial" w:eastAsia="宋体" w:hAnsi="Arial" w:cs="Arial"/>
                <w:color w:val="0068B5"/>
                <w:sz w:val="18"/>
                <w:szCs w:val="18"/>
              </w:rPr>
              <w:t>Higher DCG period charges primarily associated with 7nm and reserve of non-qualified platform products</w:t>
            </w:r>
          </w:p>
        </w:tc>
      </w:tr>
      <w:tr w:rsidR="0008009C" w14:paraId="5C7C6EA7" w14:textId="77777777">
        <w:tc>
          <w:tcPr>
            <w:tcW w:w="0" w:type="auto"/>
            <w:gridSpan w:val="2"/>
            <w:shd w:val="clear" w:color="auto" w:fill="auto"/>
            <w:tcMar>
              <w:top w:w="40" w:type="dxa"/>
              <w:left w:w="20" w:type="dxa"/>
              <w:bottom w:w="40" w:type="dxa"/>
              <w:right w:w="0" w:type="dxa"/>
            </w:tcMar>
          </w:tcPr>
          <w:p w14:paraId="5C7C6EA3" w14:textId="77777777" w:rsidR="0008009C" w:rsidRDefault="00936FDF">
            <w:pPr>
              <w:jc w:val="right"/>
              <w:textAlignment w:val="top"/>
            </w:pPr>
            <w:r>
              <w:rPr>
                <w:rFonts w:ascii="Arial" w:eastAsia="宋体" w:hAnsi="Arial" w:cs="Arial"/>
                <w:color w:val="0068B5"/>
                <w:sz w:val="18"/>
                <w:szCs w:val="18"/>
              </w:rPr>
              <w:t>(35)</w:t>
            </w:r>
          </w:p>
        </w:tc>
        <w:tc>
          <w:tcPr>
            <w:tcW w:w="0" w:type="auto"/>
            <w:shd w:val="clear" w:color="auto" w:fill="auto"/>
            <w:tcMar>
              <w:top w:w="40" w:type="dxa"/>
              <w:left w:w="0" w:type="dxa"/>
              <w:bottom w:w="40" w:type="dxa"/>
              <w:right w:w="20" w:type="dxa"/>
            </w:tcMar>
          </w:tcPr>
          <w:p w14:paraId="5C7C6EA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EA5"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EA6" w14:textId="77777777" w:rsidR="0008009C" w:rsidRDefault="00936FDF">
            <w:pPr>
              <w:textAlignment w:val="top"/>
            </w:pPr>
            <w:r>
              <w:rPr>
                <w:rFonts w:ascii="Arial" w:eastAsia="宋体" w:hAnsi="Arial" w:cs="Arial"/>
                <w:color w:val="0068B5"/>
                <w:sz w:val="18"/>
                <w:szCs w:val="18"/>
              </w:rPr>
              <w:t xml:space="preserve">Lower DCG adjacent </w:t>
            </w:r>
            <w:r>
              <w:rPr>
                <w:rFonts w:ascii="Arial" w:eastAsia="宋体" w:hAnsi="Arial" w:cs="Arial"/>
                <w:color w:val="0068B5"/>
                <w:sz w:val="18"/>
                <w:szCs w:val="18"/>
              </w:rPr>
              <w:t>margin</w:t>
            </w:r>
          </w:p>
        </w:tc>
      </w:tr>
      <w:tr w:rsidR="0008009C" w14:paraId="5C7C6EAB" w14:textId="77777777">
        <w:trPr>
          <w:hidden/>
        </w:trPr>
        <w:tc>
          <w:tcPr>
            <w:tcW w:w="0" w:type="auto"/>
            <w:gridSpan w:val="3"/>
            <w:shd w:val="clear" w:color="auto" w:fill="auto"/>
          </w:tcPr>
          <w:p w14:paraId="5C7C6EA8" w14:textId="77777777" w:rsidR="0008009C" w:rsidRDefault="0008009C">
            <w:pPr>
              <w:rPr>
                <w:rFonts w:ascii="宋体"/>
                <w:vanish/>
              </w:rPr>
            </w:pPr>
          </w:p>
        </w:tc>
        <w:tc>
          <w:tcPr>
            <w:tcW w:w="0" w:type="auto"/>
            <w:gridSpan w:val="3"/>
            <w:shd w:val="clear" w:color="auto" w:fill="auto"/>
          </w:tcPr>
          <w:p w14:paraId="5C7C6EA9" w14:textId="77777777" w:rsidR="0008009C" w:rsidRDefault="0008009C">
            <w:pPr>
              <w:rPr>
                <w:rFonts w:ascii="宋体"/>
                <w:vanish/>
              </w:rPr>
            </w:pPr>
          </w:p>
        </w:tc>
        <w:tc>
          <w:tcPr>
            <w:tcW w:w="0" w:type="auto"/>
            <w:gridSpan w:val="3"/>
            <w:shd w:val="clear" w:color="auto" w:fill="auto"/>
          </w:tcPr>
          <w:p w14:paraId="5C7C6EAA" w14:textId="77777777" w:rsidR="0008009C" w:rsidRDefault="0008009C">
            <w:pPr>
              <w:rPr>
                <w:rFonts w:ascii="宋体"/>
                <w:vanish/>
              </w:rPr>
            </w:pPr>
          </w:p>
        </w:tc>
      </w:tr>
      <w:tr w:rsidR="0008009C" w14:paraId="5C7C6EAF" w14:textId="77777777">
        <w:trPr>
          <w:hidden/>
        </w:trPr>
        <w:tc>
          <w:tcPr>
            <w:tcW w:w="0" w:type="auto"/>
            <w:gridSpan w:val="3"/>
            <w:shd w:val="clear" w:color="auto" w:fill="auto"/>
          </w:tcPr>
          <w:p w14:paraId="5C7C6EAC" w14:textId="77777777" w:rsidR="0008009C" w:rsidRDefault="0008009C">
            <w:pPr>
              <w:rPr>
                <w:rFonts w:ascii="宋体"/>
                <w:vanish/>
              </w:rPr>
            </w:pPr>
          </w:p>
        </w:tc>
        <w:tc>
          <w:tcPr>
            <w:tcW w:w="0" w:type="auto"/>
            <w:gridSpan w:val="3"/>
            <w:shd w:val="clear" w:color="auto" w:fill="auto"/>
          </w:tcPr>
          <w:p w14:paraId="5C7C6EAD" w14:textId="77777777" w:rsidR="0008009C" w:rsidRDefault="0008009C">
            <w:pPr>
              <w:rPr>
                <w:rFonts w:ascii="宋体"/>
                <w:vanish/>
              </w:rPr>
            </w:pPr>
          </w:p>
        </w:tc>
        <w:tc>
          <w:tcPr>
            <w:tcW w:w="0" w:type="auto"/>
            <w:gridSpan w:val="3"/>
            <w:shd w:val="clear" w:color="auto" w:fill="auto"/>
          </w:tcPr>
          <w:p w14:paraId="5C7C6EAE" w14:textId="77777777" w:rsidR="0008009C" w:rsidRDefault="0008009C">
            <w:pPr>
              <w:rPr>
                <w:rFonts w:ascii="宋体"/>
                <w:vanish/>
              </w:rPr>
            </w:pPr>
          </w:p>
        </w:tc>
      </w:tr>
      <w:tr w:rsidR="0008009C" w14:paraId="5C7C6EB3" w14:textId="77777777">
        <w:trPr>
          <w:hidden/>
        </w:trPr>
        <w:tc>
          <w:tcPr>
            <w:tcW w:w="0" w:type="auto"/>
            <w:gridSpan w:val="3"/>
            <w:shd w:val="clear" w:color="auto" w:fill="auto"/>
          </w:tcPr>
          <w:p w14:paraId="5C7C6EB0" w14:textId="77777777" w:rsidR="0008009C" w:rsidRDefault="0008009C">
            <w:pPr>
              <w:rPr>
                <w:rFonts w:ascii="宋体"/>
                <w:vanish/>
              </w:rPr>
            </w:pPr>
          </w:p>
        </w:tc>
        <w:tc>
          <w:tcPr>
            <w:tcW w:w="0" w:type="auto"/>
            <w:gridSpan w:val="3"/>
            <w:shd w:val="clear" w:color="auto" w:fill="auto"/>
          </w:tcPr>
          <w:p w14:paraId="5C7C6EB1" w14:textId="77777777" w:rsidR="0008009C" w:rsidRDefault="0008009C">
            <w:pPr>
              <w:rPr>
                <w:rFonts w:ascii="宋体"/>
                <w:vanish/>
              </w:rPr>
            </w:pPr>
          </w:p>
        </w:tc>
        <w:tc>
          <w:tcPr>
            <w:tcW w:w="0" w:type="auto"/>
            <w:gridSpan w:val="3"/>
            <w:shd w:val="clear" w:color="auto" w:fill="auto"/>
          </w:tcPr>
          <w:p w14:paraId="5C7C6EB2" w14:textId="77777777" w:rsidR="0008009C" w:rsidRDefault="0008009C">
            <w:pPr>
              <w:rPr>
                <w:rFonts w:ascii="宋体"/>
                <w:vanish/>
              </w:rPr>
            </w:pPr>
          </w:p>
        </w:tc>
      </w:tr>
      <w:tr w:rsidR="0008009C" w14:paraId="5C7C6EB7" w14:textId="77777777">
        <w:trPr>
          <w:hidden/>
        </w:trPr>
        <w:tc>
          <w:tcPr>
            <w:tcW w:w="0" w:type="auto"/>
            <w:gridSpan w:val="3"/>
            <w:shd w:val="clear" w:color="auto" w:fill="auto"/>
          </w:tcPr>
          <w:p w14:paraId="5C7C6EB4" w14:textId="77777777" w:rsidR="0008009C" w:rsidRDefault="0008009C">
            <w:pPr>
              <w:rPr>
                <w:rFonts w:ascii="宋体"/>
                <w:vanish/>
              </w:rPr>
            </w:pPr>
          </w:p>
        </w:tc>
        <w:tc>
          <w:tcPr>
            <w:tcW w:w="0" w:type="auto"/>
            <w:gridSpan w:val="3"/>
            <w:shd w:val="clear" w:color="auto" w:fill="auto"/>
          </w:tcPr>
          <w:p w14:paraId="5C7C6EB5" w14:textId="77777777" w:rsidR="0008009C" w:rsidRDefault="0008009C">
            <w:pPr>
              <w:rPr>
                <w:rFonts w:ascii="宋体"/>
                <w:vanish/>
              </w:rPr>
            </w:pPr>
          </w:p>
        </w:tc>
        <w:tc>
          <w:tcPr>
            <w:tcW w:w="0" w:type="auto"/>
            <w:gridSpan w:val="3"/>
            <w:shd w:val="clear" w:color="auto" w:fill="auto"/>
          </w:tcPr>
          <w:p w14:paraId="5C7C6EB6" w14:textId="77777777" w:rsidR="0008009C" w:rsidRDefault="0008009C">
            <w:pPr>
              <w:rPr>
                <w:rFonts w:ascii="宋体"/>
                <w:vanish/>
              </w:rPr>
            </w:pPr>
          </w:p>
        </w:tc>
      </w:tr>
      <w:tr w:rsidR="0008009C" w14:paraId="5C7C6EBB" w14:textId="77777777">
        <w:trPr>
          <w:hidden/>
        </w:trPr>
        <w:tc>
          <w:tcPr>
            <w:tcW w:w="0" w:type="auto"/>
            <w:gridSpan w:val="3"/>
            <w:shd w:val="clear" w:color="auto" w:fill="auto"/>
          </w:tcPr>
          <w:p w14:paraId="5C7C6EB8" w14:textId="77777777" w:rsidR="0008009C" w:rsidRDefault="0008009C">
            <w:pPr>
              <w:rPr>
                <w:rFonts w:ascii="宋体"/>
                <w:vanish/>
              </w:rPr>
            </w:pPr>
          </w:p>
        </w:tc>
        <w:tc>
          <w:tcPr>
            <w:tcW w:w="0" w:type="auto"/>
            <w:gridSpan w:val="3"/>
            <w:shd w:val="clear" w:color="auto" w:fill="auto"/>
          </w:tcPr>
          <w:p w14:paraId="5C7C6EB9" w14:textId="77777777" w:rsidR="0008009C" w:rsidRDefault="0008009C">
            <w:pPr>
              <w:rPr>
                <w:rFonts w:ascii="宋体"/>
                <w:vanish/>
              </w:rPr>
            </w:pPr>
          </w:p>
        </w:tc>
        <w:tc>
          <w:tcPr>
            <w:tcW w:w="0" w:type="auto"/>
            <w:gridSpan w:val="3"/>
            <w:shd w:val="clear" w:color="auto" w:fill="auto"/>
          </w:tcPr>
          <w:p w14:paraId="5C7C6EBA" w14:textId="77777777" w:rsidR="0008009C" w:rsidRDefault="0008009C">
            <w:pPr>
              <w:rPr>
                <w:rFonts w:ascii="宋体"/>
                <w:vanish/>
              </w:rPr>
            </w:pPr>
          </w:p>
        </w:tc>
      </w:tr>
      <w:tr w:rsidR="0008009C" w14:paraId="5C7C6EBF" w14:textId="77777777">
        <w:trPr>
          <w:hidden/>
        </w:trPr>
        <w:tc>
          <w:tcPr>
            <w:tcW w:w="0" w:type="auto"/>
            <w:gridSpan w:val="3"/>
            <w:shd w:val="clear" w:color="auto" w:fill="auto"/>
          </w:tcPr>
          <w:p w14:paraId="5C7C6EBC" w14:textId="77777777" w:rsidR="0008009C" w:rsidRDefault="0008009C">
            <w:pPr>
              <w:rPr>
                <w:rFonts w:ascii="宋体"/>
                <w:vanish/>
              </w:rPr>
            </w:pPr>
          </w:p>
        </w:tc>
        <w:tc>
          <w:tcPr>
            <w:tcW w:w="0" w:type="auto"/>
            <w:gridSpan w:val="3"/>
            <w:shd w:val="clear" w:color="auto" w:fill="auto"/>
          </w:tcPr>
          <w:p w14:paraId="5C7C6EBD" w14:textId="77777777" w:rsidR="0008009C" w:rsidRDefault="0008009C">
            <w:pPr>
              <w:rPr>
                <w:rFonts w:ascii="宋体"/>
                <w:vanish/>
              </w:rPr>
            </w:pPr>
          </w:p>
        </w:tc>
        <w:tc>
          <w:tcPr>
            <w:tcW w:w="0" w:type="auto"/>
            <w:gridSpan w:val="3"/>
            <w:shd w:val="clear" w:color="auto" w:fill="auto"/>
          </w:tcPr>
          <w:p w14:paraId="5C7C6EBE" w14:textId="77777777" w:rsidR="0008009C" w:rsidRDefault="0008009C">
            <w:pPr>
              <w:rPr>
                <w:rFonts w:ascii="宋体"/>
                <w:vanish/>
              </w:rPr>
            </w:pPr>
          </w:p>
        </w:tc>
      </w:tr>
      <w:tr w:rsidR="0008009C" w14:paraId="5C7C6EC3" w14:textId="77777777">
        <w:trPr>
          <w:hidden/>
        </w:trPr>
        <w:tc>
          <w:tcPr>
            <w:tcW w:w="0" w:type="auto"/>
            <w:gridSpan w:val="3"/>
            <w:shd w:val="clear" w:color="auto" w:fill="auto"/>
          </w:tcPr>
          <w:p w14:paraId="5C7C6EC0" w14:textId="77777777" w:rsidR="0008009C" w:rsidRDefault="0008009C">
            <w:pPr>
              <w:rPr>
                <w:rFonts w:ascii="宋体"/>
                <w:vanish/>
              </w:rPr>
            </w:pPr>
          </w:p>
        </w:tc>
        <w:tc>
          <w:tcPr>
            <w:tcW w:w="0" w:type="auto"/>
            <w:gridSpan w:val="3"/>
            <w:shd w:val="clear" w:color="auto" w:fill="auto"/>
          </w:tcPr>
          <w:p w14:paraId="5C7C6EC1" w14:textId="77777777" w:rsidR="0008009C" w:rsidRDefault="0008009C">
            <w:pPr>
              <w:rPr>
                <w:rFonts w:ascii="宋体"/>
                <w:vanish/>
              </w:rPr>
            </w:pPr>
          </w:p>
        </w:tc>
        <w:tc>
          <w:tcPr>
            <w:tcW w:w="0" w:type="auto"/>
            <w:gridSpan w:val="3"/>
            <w:shd w:val="clear" w:color="auto" w:fill="auto"/>
          </w:tcPr>
          <w:p w14:paraId="5C7C6EC2" w14:textId="77777777" w:rsidR="0008009C" w:rsidRDefault="0008009C">
            <w:pPr>
              <w:rPr>
                <w:rFonts w:ascii="宋体"/>
                <w:vanish/>
              </w:rPr>
            </w:pPr>
          </w:p>
        </w:tc>
      </w:tr>
      <w:tr w:rsidR="0008009C" w14:paraId="5C7C6EC8" w14:textId="77777777">
        <w:tc>
          <w:tcPr>
            <w:tcW w:w="0" w:type="auto"/>
            <w:gridSpan w:val="2"/>
            <w:shd w:val="clear" w:color="auto" w:fill="auto"/>
            <w:tcMar>
              <w:top w:w="40" w:type="dxa"/>
              <w:left w:w="20" w:type="dxa"/>
              <w:bottom w:w="40" w:type="dxa"/>
              <w:right w:w="0" w:type="dxa"/>
            </w:tcMar>
          </w:tcPr>
          <w:p w14:paraId="5C7C6EC4" w14:textId="77777777" w:rsidR="0008009C" w:rsidRDefault="00936FDF">
            <w:pPr>
              <w:jc w:val="right"/>
              <w:textAlignment w:val="top"/>
            </w:pPr>
            <w:r>
              <w:rPr>
                <w:rFonts w:ascii="Arial" w:eastAsia="宋体" w:hAnsi="Arial" w:cs="Arial"/>
                <w:color w:val="0068B5"/>
                <w:sz w:val="18"/>
                <w:szCs w:val="18"/>
              </w:rPr>
              <w:t>(97)</w:t>
            </w:r>
          </w:p>
        </w:tc>
        <w:tc>
          <w:tcPr>
            <w:tcW w:w="0" w:type="auto"/>
            <w:shd w:val="clear" w:color="auto" w:fill="auto"/>
            <w:tcMar>
              <w:top w:w="40" w:type="dxa"/>
              <w:left w:w="0" w:type="dxa"/>
              <w:bottom w:w="40" w:type="dxa"/>
              <w:right w:w="20" w:type="dxa"/>
            </w:tcMar>
          </w:tcPr>
          <w:p w14:paraId="5C7C6EC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EC6"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6EC7" w14:textId="77777777" w:rsidR="0008009C" w:rsidRDefault="00936FDF">
            <w:pPr>
              <w:textAlignment w:val="top"/>
            </w:pPr>
            <w:r>
              <w:rPr>
                <w:rFonts w:ascii="Arial" w:eastAsia="宋体" w:hAnsi="Arial" w:cs="Arial"/>
                <w:color w:val="0068B5"/>
                <w:sz w:val="18"/>
                <w:szCs w:val="18"/>
              </w:rPr>
              <w:t>Other</w:t>
            </w:r>
          </w:p>
        </w:tc>
      </w:tr>
      <w:tr w:rsidR="0008009C" w14:paraId="5C7C6ECE" w14:textId="77777777">
        <w:tc>
          <w:tcPr>
            <w:tcW w:w="0" w:type="auto"/>
            <w:tcBorders>
              <w:top w:val="single" w:sz="8" w:space="0" w:color="262626"/>
              <w:bottom w:val="single" w:sz="8" w:space="0" w:color="262626"/>
            </w:tcBorders>
            <w:shd w:val="clear" w:color="auto" w:fill="auto"/>
            <w:tcMar>
              <w:top w:w="40" w:type="dxa"/>
              <w:left w:w="20" w:type="dxa"/>
              <w:bottom w:w="40" w:type="dxa"/>
              <w:right w:w="0" w:type="dxa"/>
            </w:tcMar>
            <w:vAlign w:val="bottom"/>
          </w:tcPr>
          <w:p w14:paraId="5C7C6EC9"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single" w:sz="8" w:space="0" w:color="262626"/>
            </w:tcBorders>
            <w:shd w:val="clear" w:color="auto" w:fill="auto"/>
            <w:tcMar>
              <w:top w:w="40" w:type="dxa"/>
              <w:left w:w="0" w:type="dxa"/>
              <w:bottom w:w="40" w:type="dxa"/>
              <w:right w:w="0" w:type="dxa"/>
            </w:tcMar>
            <w:vAlign w:val="bottom"/>
          </w:tcPr>
          <w:p w14:paraId="5C7C6ECA" w14:textId="77777777" w:rsidR="0008009C" w:rsidRDefault="00936FDF">
            <w:pPr>
              <w:jc w:val="right"/>
              <w:textAlignment w:val="bottom"/>
            </w:pPr>
            <w:r>
              <w:rPr>
                <w:rFonts w:ascii="Arial" w:eastAsia="宋体" w:hAnsi="Arial" w:cs="Arial"/>
                <w:b/>
                <w:bCs/>
                <w:color w:val="262626"/>
                <w:sz w:val="18"/>
                <w:szCs w:val="18"/>
              </w:rPr>
              <w:t>3,492</w:t>
            </w:r>
            <w:r>
              <w:rPr>
                <w:rFonts w:ascii="Arial" w:eastAsia="宋体" w:hAnsi="Arial" w:cs="Arial"/>
                <w:color w:val="262626"/>
                <w:sz w:val="18"/>
                <w:szCs w:val="18"/>
              </w:rPr>
              <w:t> </w:t>
            </w:r>
          </w:p>
        </w:tc>
        <w:tc>
          <w:tcPr>
            <w:tcW w:w="0" w:type="auto"/>
            <w:tcBorders>
              <w:top w:val="single" w:sz="8" w:space="0" w:color="262626"/>
              <w:bottom w:val="single" w:sz="8" w:space="0" w:color="262626"/>
            </w:tcBorders>
            <w:shd w:val="clear" w:color="auto" w:fill="auto"/>
            <w:tcMar>
              <w:top w:w="40" w:type="dxa"/>
              <w:left w:w="0" w:type="dxa"/>
              <w:bottom w:w="40" w:type="dxa"/>
              <w:right w:w="20" w:type="dxa"/>
            </w:tcMar>
            <w:vAlign w:val="bottom"/>
          </w:tcPr>
          <w:p w14:paraId="5C7C6EC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6ECC" w14:textId="77777777" w:rsidR="0008009C" w:rsidRDefault="0008009C">
            <w:pPr>
              <w:rPr>
                <w:rFonts w:ascii="宋体"/>
              </w:rPr>
            </w:pPr>
          </w:p>
        </w:tc>
        <w:tc>
          <w:tcPr>
            <w:tcW w:w="0" w:type="auto"/>
            <w:gridSpan w:val="3"/>
            <w:tcBorders>
              <w:top w:val="single" w:sz="8" w:space="0" w:color="262626"/>
              <w:bottom w:val="single" w:sz="8" w:space="0" w:color="262626"/>
            </w:tcBorders>
            <w:shd w:val="clear" w:color="auto" w:fill="auto"/>
            <w:tcMar>
              <w:top w:w="40" w:type="dxa"/>
              <w:left w:w="20" w:type="dxa"/>
              <w:bottom w:w="40" w:type="dxa"/>
              <w:right w:w="20" w:type="dxa"/>
            </w:tcMar>
            <w:vAlign w:val="bottom"/>
          </w:tcPr>
          <w:p w14:paraId="5C7C6ECD" w14:textId="77777777" w:rsidR="0008009C" w:rsidRDefault="00936FDF">
            <w:pPr>
              <w:textAlignment w:val="bottom"/>
            </w:pPr>
            <w:r>
              <w:rPr>
                <w:rFonts w:ascii="Arial" w:eastAsia="宋体" w:hAnsi="Arial" w:cs="Arial"/>
                <w:b/>
                <w:bCs/>
                <w:color w:val="262626"/>
                <w:sz w:val="18"/>
                <w:szCs w:val="18"/>
              </w:rPr>
              <w:t>Q1 2020 DCG Operating Income</w:t>
            </w:r>
          </w:p>
        </w:tc>
      </w:tr>
      <w:tr w:rsidR="0008009C" w14:paraId="5C7C6ED2" w14:textId="77777777">
        <w:trPr>
          <w:hidden/>
        </w:trPr>
        <w:tc>
          <w:tcPr>
            <w:tcW w:w="0" w:type="auto"/>
            <w:gridSpan w:val="3"/>
            <w:shd w:val="clear" w:color="auto" w:fill="auto"/>
          </w:tcPr>
          <w:p w14:paraId="5C7C6ECF" w14:textId="77777777" w:rsidR="0008009C" w:rsidRDefault="0008009C">
            <w:pPr>
              <w:rPr>
                <w:rFonts w:ascii="宋体"/>
                <w:vanish/>
              </w:rPr>
            </w:pPr>
          </w:p>
        </w:tc>
        <w:tc>
          <w:tcPr>
            <w:tcW w:w="0" w:type="auto"/>
            <w:gridSpan w:val="3"/>
            <w:shd w:val="clear" w:color="auto" w:fill="auto"/>
          </w:tcPr>
          <w:p w14:paraId="5C7C6ED0" w14:textId="77777777" w:rsidR="0008009C" w:rsidRDefault="0008009C">
            <w:pPr>
              <w:rPr>
                <w:rFonts w:ascii="宋体"/>
                <w:vanish/>
              </w:rPr>
            </w:pPr>
          </w:p>
        </w:tc>
        <w:tc>
          <w:tcPr>
            <w:tcW w:w="0" w:type="auto"/>
            <w:gridSpan w:val="3"/>
            <w:shd w:val="clear" w:color="auto" w:fill="auto"/>
          </w:tcPr>
          <w:p w14:paraId="5C7C6ED1" w14:textId="77777777" w:rsidR="0008009C" w:rsidRDefault="0008009C">
            <w:pPr>
              <w:rPr>
                <w:rFonts w:ascii="宋体"/>
                <w:vanish/>
              </w:rPr>
            </w:pPr>
          </w:p>
        </w:tc>
      </w:tr>
      <w:tr w:rsidR="0008009C" w14:paraId="5C7C6ED6" w14:textId="77777777">
        <w:trPr>
          <w:hidden/>
        </w:trPr>
        <w:tc>
          <w:tcPr>
            <w:tcW w:w="0" w:type="auto"/>
            <w:gridSpan w:val="3"/>
            <w:shd w:val="clear" w:color="auto" w:fill="auto"/>
          </w:tcPr>
          <w:p w14:paraId="5C7C6ED3" w14:textId="77777777" w:rsidR="0008009C" w:rsidRDefault="0008009C">
            <w:pPr>
              <w:rPr>
                <w:rFonts w:ascii="宋体"/>
                <w:vanish/>
              </w:rPr>
            </w:pPr>
          </w:p>
        </w:tc>
        <w:tc>
          <w:tcPr>
            <w:tcW w:w="0" w:type="auto"/>
            <w:gridSpan w:val="3"/>
            <w:shd w:val="clear" w:color="auto" w:fill="auto"/>
          </w:tcPr>
          <w:p w14:paraId="5C7C6ED4" w14:textId="77777777" w:rsidR="0008009C" w:rsidRDefault="0008009C">
            <w:pPr>
              <w:rPr>
                <w:rFonts w:ascii="宋体"/>
                <w:vanish/>
              </w:rPr>
            </w:pPr>
          </w:p>
        </w:tc>
        <w:tc>
          <w:tcPr>
            <w:tcW w:w="0" w:type="auto"/>
            <w:gridSpan w:val="3"/>
            <w:shd w:val="clear" w:color="auto" w:fill="auto"/>
          </w:tcPr>
          <w:p w14:paraId="5C7C6ED5" w14:textId="77777777" w:rsidR="0008009C" w:rsidRDefault="0008009C">
            <w:pPr>
              <w:rPr>
                <w:rFonts w:ascii="宋体"/>
                <w:vanish/>
              </w:rPr>
            </w:pPr>
          </w:p>
        </w:tc>
      </w:tr>
      <w:tr w:rsidR="0008009C" w14:paraId="5C7C6EDA" w14:textId="77777777">
        <w:trPr>
          <w:hidden/>
        </w:trPr>
        <w:tc>
          <w:tcPr>
            <w:tcW w:w="0" w:type="auto"/>
            <w:gridSpan w:val="3"/>
            <w:shd w:val="clear" w:color="auto" w:fill="auto"/>
          </w:tcPr>
          <w:p w14:paraId="5C7C6ED7" w14:textId="77777777" w:rsidR="0008009C" w:rsidRDefault="0008009C">
            <w:pPr>
              <w:rPr>
                <w:rFonts w:ascii="宋体"/>
                <w:vanish/>
              </w:rPr>
            </w:pPr>
          </w:p>
        </w:tc>
        <w:tc>
          <w:tcPr>
            <w:tcW w:w="0" w:type="auto"/>
            <w:gridSpan w:val="3"/>
            <w:shd w:val="clear" w:color="auto" w:fill="auto"/>
          </w:tcPr>
          <w:p w14:paraId="5C7C6ED8" w14:textId="77777777" w:rsidR="0008009C" w:rsidRDefault="0008009C">
            <w:pPr>
              <w:rPr>
                <w:rFonts w:ascii="宋体"/>
                <w:vanish/>
              </w:rPr>
            </w:pPr>
          </w:p>
        </w:tc>
        <w:tc>
          <w:tcPr>
            <w:tcW w:w="0" w:type="auto"/>
            <w:gridSpan w:val="3"/>
            <w:shd w:val="clear" w:color="auto" w:fill="auto"/>
          </w:tcPr>
          <w:p w14:paraId="5C7C6ED9" w14:textId="77777777" w:rsidR="0008009C" w:rsidRDefault="0008009C">
            <w:pPr>
              <w:rPr>
                <w:rFonts w:ascii="宋体"/>
                <w:vanish/>
              </w:rPr>
            </w:pPr>
          </w:p>
        </w:tc>
      </w:tr>
      <w:tr w:rsidR="0008009C" w14:paraId="5C7C6EDE" w14:textId="77777777">
        <w:trPr>
          <w:hidden/>
        </w:trPr>
        <w:tc>
          <w:tcPr>
            <w:tcW w:w="0" w:type="auto"/>
            <w:gridSpan w:val="3"/>
            <w:shd w:val="clear" w:color="auto" w:fill="auto"/>
          </w:tcPr>
          <w:p w14:paraId="5C7C6EDB" w14:textId="77777777" w:rsidR="0008009C" w:rsidRDefault="0008009C">
            <w:pPr>
              <w:rPr>
                <w:rFonts w:ascii="宋体"/>
                <w:vanish/>
              </w:rPr>
            </w:pPr>
          </w:p>
        </w:tc>
        <w:tc>
          <w:tcPr>
            <w:tcW w:w="0" w:type="auto"/>
            <w:gridSpan w:val="3"/>
            <w:shd w:val="clear" w:color="auto" w:fill="auto"/>
          </w:tcPr>
          <w:p w14:paraId="5C7C6EDC" w14:textId="77777777" w:rsidR="0008009C" w:rsidRDefault="0008009C">
            <w:pPr>
              <w:rPr>
                <w:rFonts w:ascii="宋体"/>
                <w:vanish/>
              </w:rPr>
            </w:pPr>
          </w:p>
        </w:tc>
        <w:tc>
          <w:tcPr>
            <w:tcW w:w="0" w:type="auto"/>
            <w:gridSpan w:val="3"/>
            <w:shd w:val="clear" w:color="auto" w:fill="auto"/>
          </w:tcPr>
          <w:p w14:paraId="5C7C6EDD" w14:textId="77777777" w:rsidR="0008009C" w:rsidRDefault="0008009C">
            <w:pPr>
              <w:rPr>
                <w:rFonts w:ascii="宋体"/>
                <w:vanish/>
              </w:rPr>
            </w:pPr>
          </w:p>
        </w:tc>
      </w:tr>
      <w:tr w:rsidR="0008009C" w14:paraId="5C7C6EE2" w14:textId="77777777">
        <w:trPr>
          <w:hidden/>
        </w:trPr>
        <w:tc>
          <w:tcPr>
            <w:tcW w:w="0" w:type="auto"/>
            <w:gridSpan w:val="3"/>
            <w:shd w:val="clear" w:color="auto" w:fill="auto"/>
          </w:tcPr>
          <w:p w14:paraId="5C7C6EDF" w14:textId="77777777" w:rsidR="0008009C" w:rsidRDefault="0008009C">
            <w:pPr>
              <w:rPr>
                <w:rFonts w:ascii="宋体"/>
                <w:vanish/>
              </w:rPr>
            </w:pPr>
          </w:p>
        </w:tc>
        <w:tc>
          <w:tcPr>
            <w:tcW w:w="0" w:type="auto"/>
            <w:gridSpan w:val="3"/>
            <w:shd w:val="clear" w:color="auto" w:fill="auto"/>
          </w:tcPr>
          <w:p w14:paraId="5C7C6EE0" w14:textId="77777777" w:rsidR="0008009C" w:rsidRDefault="0008009C">
            <w:pPr>
              <w:rPr>
                <w:rFonts w:ascii="宋体"/>
                <w:vanish/>
              </w:rPr>
            </w:pPr>
          </w:p>
        </w:tc>
        <w:tc>
          <w:tcPr>
            <w:tcW w:w="0" w:type="auto"/>
            <w:gridSpan w:val="3"/>
            <w:shd w:val="clear" w:color="auto" w:fill="auto"/>
          </w:tcPr>
          <w:p w14:paraId="5C7C6EE1" w14:textId="77777777" w:rsidR="0008009C" w:rsidRDefault="0008009C">
            <w:pPr>
              <w:rPr>
                <w:rFonts w:ascii="宋体"/>
                <w:vanish/>
              </w:rPr>
            </w:pPr>
          </w:p>
        </w:tc>
      </w:tr>
      <w:tr w:rsidR="0008009C" w14:paraId="5C7C6EE6" w14:textId="77777777">
        <w:trPr>
          <w:hidden/>
        </w:trPr>
        <w:tc>
          <w:tcPr>
            <w:tcW w:w="0" w:type="auto"/>
            <w:gridSpan w:val="3"/>
            <w:shd w:val="clear" w:color="auto" w:fill="auto"/>
          </w:tcPr>
          <w:p w14:paraId="5C7C6EE3" w14:textId="77777777" w:rsidR="0008009C" w:rsidRDefault="0008009C">
            <w:pPr>
              <w:rPr>
                <w:rFonts w:ascii="宋体"/>
                <w:vanish/>
              </w:rPr>
            </w:pPr>
          </w:p>
        </w:tc>
        <w:tc>
          <w:tcPr>
            <w:tcW w:w="0" w:type="auto"/>
            <w:gridSpan w:val="3"/>
            <w:shd w:val="clear" w:color="auto" w:fill="auto"/>
          </w:tcPr>
          <w:p w14:paraId="5C7C6EE4" w14:textId="77777777" w:rsidR="0008009C" w:rsidRDefault="0008009C">
            <w:pPr>
              <w:rPr>
                <w:rFonts w:ascii="宋体"/>
                <w:vanish/>
              </w:rPr>
            </w:pPr>
          </w:p>
        </w:tc>
        <w:tc>
          <w:tcPr>
            <w:tcW w:w="0" w:type="auto"/>
            <w:gridSpan w:val="3"/>
            <w:shd w:val="clear" w:color="auto" w:fill="auto"/>
          </w:tcPr>
          <w:p w14:paraId="5C7C6EE5" w14:textId="77777777" w:rsidR="0008009C" w:rsidRDefault="0008009C">
            <w:pPr>
              <w:rPr>
                <w:rFonts w:ascii="宋体"/>
                <w:vanish/>
              </w:rPr>
            </w:pPr>
          </w:p>
        </w:tc>
      </w:tr>
      <w:tr w:rsidR="0008009C" w14:paraId="5C7C6EEA" w14:textId="77777777">
        <w:trPr>
          <w:hidden/>
        </w:trPr>
        <w:tc>
          <w:tcPr>
            <w:tcW w:w="0" w:type="auto"/>
            <w:gridSpan w:val="3"/>
            <w:shd w:val="clear" w:color="auto" w:fill="auto"/>
          </w:tcPr>
          <w:p w14:paraId="5C7C6EE7" w14:textId="77777777" w:rsidR="0008009C" w:rsidRDefault="0008009C">
            <w:pPr>
              <w:rPr>
                <w:rFonts w:ascii="宋体"/>
                <w:vanish/>
              </w:rPr>
            </w:pPr>
          </w:p>
        </w:tc>
        <w:tc>
          <w:tcPr>
            <w:tcW w:w="0" w:type="auto"/>
            <w:gridSpan w:val="3"/>
            <w:shd w:val="clear" w:color="auto" w:fill="auto"/>
          </w:tcPr>
          <w:p w14:paraId="5C7C6EE8" w14:textId="77777777" w:rsidR="0008009C" w:rsidRDefault="0008009C">
            <w:pPr>
              <w:rPr>
                <w:rFonts w:ascii="宋体"/>
                <w:vanish/>
              </w:rPr>
            </w:pPr>
          </w:p>
        </w:tc>
        <w:tc>
          <w:tcPr>
            <w:tcW w:w="0" w:type="auto"/>
            <w:gridSpan w:val="3"/>
            <w:shd w:val="clear" w:color="auto" w:fill="auto"/>
          </w:tcPr>
          <w:p w14:paraId="5C7C6EE9" w14:textId="77777777" w:rsidR="0008009C" w:rsidRDefault="0008009C">
            <w:pPr>
              <w:rPr>
                <w:rFonts w:ascii="宋体"/>
                <w:vanish/>
              </w:rPr>
            </w:pPr>
          </w:p>
        </w:tc>
      </w:tr>
      <w:tr w:rsidR="0008009C" w14:paraId="5C7C6EEE" w14:textId="77777777">
        <w:trPr>
          <w:hidden/>
        </w:trPr>
        <w:tc>
          <w:tcPr>
            <w:tcW w:w="0" w:type="auto"/>
            <w:gridSpan w:val="3"/>
            <w:shd w:val="clear" w:color="auto" w:fill="auto"/>
          </w:tcPr>
          <w:p w14:paraId="5C7C6EEB" w14:textId="77777777" w:rsidR="0008009C" w:rsidRDefault="0008009C">
            <w:pPr>
              <w:rPr>
                <w:rFonts w:ascii="宋体"/>
                <w:vanish/>
              </w:rPr>
            </w:pPr>
          </w:p>
        </w:tc>
        <w:tc>
          <w:tcPr>
            <w:tcW w:w="0" w:type="auto"/>
            <w:gridSpan w:val="3"/>
            <w:shd w:val="clear" w:color="auto" w:fill="auto"/>
          </w:tcPr>
          <w:p w14:paraId="5C7C6EEC" w14:textId="77777777" w:rsidR="0008009C" w:rsidRDefault="0008009C">
            <w:pPr>
              <w:rPr>
                <w:rFonts w:ascii="宋体"/>
                <w:vanish/>
              </w:rPr>
            </w:pPr>
          </w:p>
        </w:tc>
        <w:tc>
          <w:tcPr>
            <w:tcW w:w="0" w:type="auto"/>
            <w:gridSpan w:val="3"/>
            <w:shd w:val="clear" w:color="auto" w:fill="auto"/>
          </w:tcPr>
          <w:p w14:paraId="5C7C6EED" w14:textId="77777777" w:rsidR="0008009C" w:rsidRDefault="0008009C">
            <w:pPr>
              <w:rPr>
                <w:rFonts w:ascii="宋体"/>
                <w:vanish/>
              </w:rPr>
            </w:pPr>
          </w:p>
        </w:tc>
      </w:tr>
      <w:tr w:rsidR="0008009C" w14:paraId="5C7C6EF2" w14:textId="77777777">
        <w:trPr>
          <w:hidden/>
        </w:trPr>
        <w:tc>
          <w:tcPr>
            <w:tcW w:w="0" w:type="auto"/>
            <w:gridSpan w:val="3"/>
            <w:shd w:val="clear" w:color="auto" w:fill="auto"/>
          </w:tcPr>
          <w:p w14:paraId="5C7C6EEF" w14:textId="77777777" w:rsidR="0008009C" w:rsidRDefault="0008009C">
            <w:pPr>
              <w:rPr>
                <w:rFonts w:ascii="宋体"/>
                <w:vanish/>
              </w:rPr>
            </w:pPr>
          </w:p>
        </w:tc>
        <w:tc>
          <w:tcPr>
            <w:tcW w:w="0" w:type="auto"/>
            <w:gridSpan w:val="3"/>
            <w:shd w:val="clear" w:color="auto" w:fill="auto"/>
          </w:tcPr>
          <w:p w14:paraId="5C7C6EF0" w14:textId="77777777" w:rsidR="0008009C" w:rsidRDefault="0008009C">
            <w:pPr>
              <w:rPr>
                <w:rFonts w:ascii="宋体"/>
                <w:vanish/>
              </w:rPr>
            </w:pPr>
          </w:p>
        </w:tc>
        <w:tc>
          <w:tcPr>
            <w:tcW w:w="0" w:type="auto"/>
            <w:gridSpan w:val="3"/>
            <w:shd w:val="clear" w:color="auto" w:fill="auto"/>
          </w:tcPr>
          <w:p w14:paraId="5C7C6EF1" w14:textId="77777777" w:rsidR="0008009C" w:rsidRDefault="0008009C">
            <w:pPr>
              <w:rPr>
                <w:rFonts w:ascii="宋体"/>
                <w:vanish/>
              </w:rPr>
            </w:pPr>
          </w:p>
        </w:tc>
      </w:tr>
      <w:tr w:rsidR="0008009C" w14:paraId="5C7C6EF6" w14:textId="77777777">
        <w:trPr>
          <w:hidden/>
        </w:trPr>
        <w:tc>
          <w:tcPr>
            <w:tcW w:w="0" w:type="auto"/>
            <w:gridSpan w:val="3"/>
            <w:shd w:val="clear" w:color="auto" w:fill="auto"/>
          </w:tcPr>
          <w:p w14:paraId="5C7C6EF3" w14:textId="77777777" w:rsidR="0008009C" w:rsidRDefault="0008009C">
            <w:pPr>
              <w:rPr>
                <w:rFonts w:ascii="宋体"/>
                <w:vanish/>
              </w:rPr>
            </w:pPr>
          </w:p>
        </w:tc>
        <w:tc>
          <w:tcPr>
            <w:tcW w:w="0" w:type="auto"/>
            <w:gridSpan w:val="3"/>
            <w:shd w:val="clear" w:color="auto" w:fill="auto"/>
          </w:tcPr>
          <w:p w14:paraId="5C7C6EF4" w14:textId="77777777" w:rsidR="0008009C" w:rsidRDefault="0008009C">
            <w:pPr>
              <w:rPr>
                <w:rFonts w:ascii="宋体"/>
                <w:vanish/>
              </w:rPr>
            </w:pPr>
          </w:p>
        </w:tc>
        <w:tc>
          <w:tcPr>
            <w:tcW w:w="0" w:type="auto"/>
            <w:gridSpan w:val="3"/>
            <w:shd w:val="clear" w:color="auto" w:fill="auto"/>
          </w:tcPr>
          <w:p w14:paraId="5C7C6EF5" w14:textId="77777777" w:rsidR="0008009C" w:rsidRDefault="0008009C">
            <w:pPr>
              <w:rPr>
                <w:rFonts w:ascii="宋体"/>
                <w:vanish/>
              </w:rPr>
            </w:pPr>
          </w:p>
        </w:tc>
      </w:tr>
      <w:tr w:rsidR="0008009C" w14:paraId="5C7C6EFA" w14:textId="77777777">
        <w:trPr>
          <w:hidden/>
        </w:trPr>
        <w:tc>
          <w:tcPr>
            <w:tcW w:w="0" w:type="auto"/>
            <w:gridSpan w:val="3"/>
            <w:shd w:val="clear" w:color="auto" w:fill="auto"/>
          </w:tcPr>
          <w:p w14:paraId="5C7C6EF7" w14:textId="77777777" w:rsidR="0008009C" w:rsidRDefault="0008009C">
            <w:pPr>
              <w:rPr>
                <w:rFonts w:ascii="宋体"/>
                <w:vanish/>
              </w:rPr>
            </w:pPr>
          </w:p>
        </w:tc>
        <w:tc>
          <w:tcPr>
            <w:tcW w:w="0" w:type="auto"/>
            <w:gridSpan w:val="3"/>
            <w:shd w:val="clear" w:color="auto" w:fill="auto"/>
          </w:tcPr>
          <w:p w14:paraId="5C7C6EF8" w14:textId="77777777" w:rsidR="0008009C" w:rsidRDefault="0008009C">
            <w:pPr>
              <w:rPr>
                <w:rFonts w:ascii="宋体"/>
                <w:vanish/>
              </w:rPr>
            </w:pPr>
          </w:p>
        </w:tc>
        <w:tc>
          <w:tcPr>
            <w:tcW w:w="0" w:type="auto"/>
            <w:gridSpan w:val="3"/>
            <w:shd w:val="clear" w:color="auto" w:fill="auto"/>
          </w:tcPr>
          <w:p w14:paraId="5C7C6EF9" w14:textId="77777777" w:rsidR="0008009C" w:rsidRDefault="0008009C">
            <w:pPr>
              <w:rPr>
                <w:rFonts w:ascii="宋体"/>
                <w:vanish/>
              </w:rPr>
            </w:pPr>
          </w:p>
        </w:tc>
      </w:tr>
      <w:tr w:rsidR="0008009C" w14:paraId="5C7C6EFE" w14:textId="77777777">
        <w:trPr>
          <w:hidden/>
        </w:trPr>
        <w:tc>
          <w:tcPr>
            <w:tcW w:w="0" w:type="auto"/>
            <w:gridSpan w:val="3"/>
            <w:shd w:val="clear" w:color="auto" w:fill="auto"/>
          </w:tcPr>
          <w:p w14:paraId="5C7C6EFB" w14:textId="77777777" w:rsidR="0008009C" w:rsidRDefault="0008009C">
            <w:pPr>
              <w:rPr>
                <w:rFonts w:ascii="宋体"/>
                <w:vanish/>
              </w:rPr>
            </w:pPr>
          </w:p>
        </w:tc>
        <w:tc>
          <w:tcPr>
            <w:tcW w:w="0" w:type="auto"/>
            <w:gridSpan w:val="3"/>
            <w:shd w:val="clear" w:color="auto" w:fill="auto"/>
          </w:tcPr>
          <w:p w14:paraId="5C7C6EFC" w14:textId="77777777" w:rsidR="0008009C" w:rsidRDefault="0008009C">
            <w:pPr>
              <w:rPr>
                <w:rFonts w:ascii="宋体"/>
                <w:vanish/>
              </w:rPr>
            </w:pPr>
          </w:p>
        </w:tc>
        <w:tc>
          <w:tcPr>
            <w:tcW w:w="0" w:type="auto"/>
            <w:gridSpan w:val="3"/>
            <w:shd w:val="clear" w:color="auto" w:fill="auto"/>
          </w:tcPr>
          <w:p w14:paraId="5C7C6EFD" w14:textId="77777777" w:rsidR="0008009C" w:rsidRDefault="0008009C">
            <w:pPr>
              <w:rPr>
                <w:rFonts w:ascii="宋体"/>
                <w:vanish/>
              </w:rPr>
            </w:pPr>
          </w:p>
        </w:tc>
      </w:tr>
      <w:tr w:rsidR="0008009C" w14:paraId="5C7C6F02" w14:textId="77777777">
        <w:trPr>
          <w:hidden/>
        </w:trPr>
        <w:tc>
          <w:tcPr>
            <w:tcW w:w="0" w:type="auto"/>
            <w:gridSpan w:val="3"/>
            <w:shd w:val="clear" w:color="auto" w:fill="auto"/>
          </w:tcPr>
          <w:p w14:paraId="5C7C6EFF" w14:textId="77777777" w:rsidR="0008009C" w:rsidRDefault="0008009C">
            <w:pPr>
              <w:rPr>
                <w:rFonts w:ascii="宋体"/>
                <w:vanish/>
              </w:rPr>
            </w:pPr>
          </w:p>
        </w:tc>
        <w:tc>
          <w:tcPr>
            <w:tcW w:w="0" w:type="auto"/>
            <w:gridSpan w:val="3"/>
            <w:shd w:val="clear" w:color="auto" w:fill="auto"/>
          </w:tcPr>
          <w:p w14:paraId="5C7C6F00" w14:textId="77777777" w:rsidR="0008009C" w:rsidRDefault="0008009C">
            <w:pPr>
              <w:rPr>
                <w:rFonts w:ascii="宋体"/>
                <w:vanish/>
              </w:rPr>
            </w:pPr>
          </w:p>
        </w:tc>
        <w:tc>
          <w:tcPr>
            <w:tcW w:w="0" w:type="auto"/>
            <w:gridSpan w:val="3"/>
            <w:shd w:val="clear" w:color="auto" w:fill="auto"/>
          </w:tcPr>
          <w:p w14:paraId="5C7C6F01" w14:textId="77777777" w:rsidR="0008009C" w:rsidRDefault="0008009C">
            <w:pPr>
              <w:rPr>
                <w:rFonts w:ascii="宋体"/>
                <w:vanish/>
              </w:rPr>
            </w:pPr>
          </w:p>
        </w:tc>
      </w:tr>
      <w:tr w:rsidR="0008009C" w14:paraId="5C7C6F06" w14:textId="77777777">
        <w:trPr>
          <w:hidden/>
        </w:trPr>
        <w:tc>
          <w:tcPr>
            <w:tcW w:w="0" w:type="auto"/>
            <w:gridSpan w:val="3"/>
            <w:shd w:val="clear" w:color="auto" w:fill="auto"/>
          </w:tcPr>
          <w:p w14:paraId="5C7C6F03" w14:textId="77777777" w:rsidR="0008009C" w:rsidRDefault="0008009C">
            <w:pPr>
              <w:rPr>
                <w:rFonts w:ascii="宋体"/>
                <w:vanish/>
              </w:rPr>
            </w:pPr>
          </w:p>
        </w:tc>
        <w:tc>
          <w:tcPr>
            <w:tcW w:w="0" w:type="auto"/>
            <w:gridSpan w:val="3"/>
            <w:shd w:val="clear" w:color="auto" w:fill="auto"/>
          </w:tcPr>
          <w:p w14:paraId="5C7C6F04" w14:textId="77777777" w:rsidR="0008009C" w:rsidRDefault="0008009C">
            <w:pPr>
              <w:rPr>
                <w:rFonts w:ascii="宋体"/>
                <w:vanish/>
              </w:rPr>
            </w:pPr>
          </w:p>
        </w:tc>
        <w:tc>
          <w:tcPr>
            <w:tcW w:w="0" w:type="auto"/>
            <w:gridSpan w:val="3"/>
            <w:shd w:val="clear" w:color="auto" w:fill="auto"/>
          </w:tcPr>
          <w:p w14:paraId="5C7C6F05" w14:textId="77777777" w:rsidR="0008009C" w:rsidRDefault="0008009C">
            <w:pPr>
              <w:rPr>
                <w:rFonts w:ascii="宋体"/>
                <w:vanish/>
              </w:rPr>
            </w:pPr>
          </w:p>
        </w:tc>
      </w:tr>
    </w:tbl>
    <w:p w14:paraId="5C7C6F07" w14:textId="77777777" w:rsidR="0008009C" w:rsidRDefault="0008009C">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08009C" w14:paraId="5C7C6F11" w14:textId="77777777">
        <w:tc>
          <w:tcPr>
            <w:tcW w:w="50" w:type="pct"/>
            <w:shd w:val="clear" w:color="auto" w:fill="auto"/>
            <w:vAlign w:val="bottom"/>
          </w:tcPr>
          <w:p w14:paraId="5C7C6F08" w14:textId="77777777" w:rsidR="0008009C" w:rsidRDefault="0008009C">
            <w:pPr>
              <w:rPr>
                <w:rFonts w:ascii="宋体"/>
              </w:rPr>
            </w:pPr>
          </w:p>
        </w:tc>
        <w:tc>
          <w:tcPr>
            <w:tcW w:w="212" w:type="pct"/>
            <w:shd w:val="clear" w:color="auto" w:fill="auto"/>
            <w:vAlign w:val="bottom"/>
          </w:tcPr>
          <w:p w14:paraId="5C7C6F09" w14:textId="77777777" w:rsidR="0008009C" w:rsidRDefault="0008009C">
            <w:pPr>
              <w:rPr>
                <w:rFonts w:ascii="宋体"/>
              </w:rPr>
            </w:pPr>
          </w:p>
        </w:tc>
        <w:tc>
          <w:tcPr>
            <w:tcW w:w="5" w:type="pct"/>
            <w:shd w:val="clear" w:color="auto" w:fill="auto"/>
            <w:vAlign w:val="bottom"/>
          </w:tcPr>
          <w:p w14:paraId="5C7C6F0A" w14:textId="77777777" w:rsidR="0008009C" w:rsidRDefault="0008009C">
            <w:pPr>
              <w:rPr>
                <w:rFonts w:ascii="宋体"/>
              </w:rPr>
            </w:pPr>
          </w:p>
        </w:tc>
        <w:tc>
          <w:tcPr>
            <w:tcW w:w="50" w:type="pct"/>
            <w:shd w:val="clear" w:color="auto" w:fill="auto"/>
            <w:vAlign w:val="bottom"/>
          </w:tcPr>
          <w:p w14:paraId="5C7C6F0B" w14:textId="77777777" w:rsidR="0008009C" w:rsidRDefault="0008009C">
            <w:pPr>
              <w:rPr>
                <w:rFonts w:ascii="宋体"/>
              </w:rPr>
            </w:pPr>
          </w:p>
        </w:tc>
        <w:tc>
          <w:tcPr>
            <w:tcW w:w="2499" w:type="pct"/>
            <w:shd w:val="clear" w:color="auto" w:fill="auto"/>
            <w:vAlign w:val="bottom"/>
          </w:tcPr>
          <w:p w14:paraId="5C7C6F0C" w14:textId="77777777" w:rsidR="0008009C" w:rsidRDefault="0008009C">
            <w:pPr>
              <w:rPr>
                <w:rFonts w:ascii="宋体"/>
              </w:rPr>
            </w:pPr>
          </w:p>
        </w:tc>
        <w:tc>
          <w:tcPr>
            <w:tcW w:w="5" w:type="pct"/>
            <w:shd w:val="clear" w:color="auto" w:fill="auto"/>
            <w:vAlign w:val="bottom"/>
          </w:tcPr>
          <w:p w14:paraId="5C7C6F0D" w14:textId="77777777" w:rsidR="0008009C" w:rsidRDefault="0008009C">
            <w:pPr>
              <w:rPr>
                <w:rFonts w:ascii="宋体"/>
              </w:rPr>
            </w:pPr>
          </w:p>
        </w:tc>
        <w:tc>
          <w:tcPr>
            <w:tcW w:w="50" w:type="pct"/>
            <w:shd w:val="clear" w:color="auto" w:fill="auto"/>
            <w:vAlign w:val="bottom"/>
          </w:tcPr>
          <w:p w14:paraId="5C7C6F0E" w14:textId="77777777" w:rsidR="0008009C" w:rsidRDefault="0008009C">
            <w:pPr>
              <w:rPr>
                <w:rFonts w:ascii="宋体"/>
              </w:rPr>
            </w:pPr>
          </w:p>
        </w:tc>
        <w:tc>
          <w:tcPr>
            <w:tcW w:w="2122" w:type="pct"/>
            <w:shd w:val="clear" w:color="auto" w:fill="auto"/>
            <w:vAlign w:val="bottom"/>
          </w:tcPr>
          <w:p w14:paraId="5C7C6F0F" w14:textId="77777777" w:rsidR="0008009C" w:rsidRDefault="0008009C">
            <w:pPr>
              <w:rPr>
                <w:rFonts w:ascii="宋体"/>
              </w:rPr>
            </w:pPr>
          </w:p>
        </w:tc>
        <w:tc>
          <w:tcPr>
            <w:tcW w:w="5" w:type="pct"/>
            <w:shd w:val="clear" w:color="auto" w:fill="auto"/>
            <w:vAlign w:val="bottom"/>
          </w:tcPr>
          <w:p w14:paraId="5C7C6F10" w14:textId="77777777" w:rsidR="0008009C" w:rsidRDefault="0008009C">
            <w:pPr>
              <w:rPr>
                <w:rFonts w:ascii="宋体"/>
              </w:rPr>
            </w:pPr>
          </w:p>
        </w:tc>
      </w:tr>
      <w:tr w:rsidR="0008009C" w14:paraId="5C7C6F15"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6F12"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33" wp14:editId="5C7C7D34">
                  <wp:extent cx="304800" cy="304800"/>
                  <wp:effectExtent l="0" t="0" r="0" b="0"/>
                  <wp:docPr id="26" name="图片 87"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7"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F13" w14:textId="77777777" w:rsidR="0008009C" w:rsidRDefault="00936FDF">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F14" w14:textId="77777777" w:rsidR="0008009C" w:rsidRDefault="00936FDF">
            <w:pPr>
              <w:jc w:val="right"/>
              <w:textAlignment w:val="center"/>
            </w:pPr>
            <w:r>
              <w:rPr>
                <w:rFonts w:ascii="Arial" w:eastAsia="宋体" w:hAnsi="Arial" w:cs="Arial"/>
                <w:color w:val="262626"/>
                <w:sz w:val="16"/>
                <w:szCs w:val="16"/>
              </w:rPr>
              <w:t>23</w:t>
            </w:r>
          </w:p>
        </w:tc>
      </w:tr>
    </w:tbl>
    <w:p w14:paraId="5C7C6F16" w14:textId="77777777" w:rsidR="0008009C" w:rsidRDefault="00936FDF">
      <w:r>
        <w:pict w14:anchorId="5C7C7D35">
          <v:rect id="_x0000_i1049" style="width:415.3pt;height:1.5pt" o:hralign="center" o:hrstd="t" o:hr="t" fillcolor="#a0a0a0" stroked="f"/>
        </w:pict>
      </w:r>
    </w:p>
    <w:p w14:paraId="5C7C6F17" w14:textId="77777777" w:rsidR="0008009C" w:rsidRDefault="00936FDF">
      <w:pPr>
        <w:spacing w:after="180"/>
        <w:jc w:val="right"/>
      </w:pPr>
      <w:hyperlink r:id="rId48" w:anchor="i3a00378f6cc84b1c9cfc83239548ad53_7" w:history="1">
        <w:r>
          <w:rPr>
            <w:rStyle w:val="a5"/>
            <w:rFonts w:ascii="Arial" w:eastAsia="宋体" w:hAnsi="Arial" w:cs="Arial"/>
            <w:b/>
            <w:bCs/>
            <w:sz w:val="16"/>
            <w:szCs w:val="16"/>
          </w:rPr>
          <w:t>Table of Contents</w:t>
        </w:r>
      </w:hyperlink>
    </w:p>
    <w:p w14:paraId="5C7C6F18" w14:textId="77777777" w:rsidR="0008009C" w:rsidRDefault="0008009C">
      <w:pPr>
        <w:spacing w:after="180"/>
        <w:jc w:val="right"/>
      </w:pPr>
    </w:p>
    <w:p w14:paraId="5C7C6F19" w14:textId="77777777" w:rsidR="0008009C" w:rsidRDefault="00936FDF">
      <w:pPr>
        <w:spacing w:after="180"/>
      </w:pPr>
      <w:r>
        <w:rPr>
          <w:rFonts w:ascii="Arial" w:eastAsia="宋体" w:hAnsi="Arial" w:cs="Arial"/>
          <w:color w:val="0068B5"/>
          <w:sz w:val="28"/>
          <w:szCs w:val="28"/>
        </w:rPr>
        <w:t>Internet of Things</w:t>
      </w:r>
    </w:p>
    <w:p w14:paraId="5C7C6F1A" w14:textId="77777777" w:rsidR="0008009C" w:rsidRDefault="00936FDF">
      <w:pPr>
        <w:spacing w:after="180"/>
      </w:pPr>
      <w:r>
        <w:rPr>
          <w:rFonts w:ascii="Arial" w:eastAsia="宋体" w:hAnsi="Arial" w:cs="Arial"/>
          <w:color w:val="262626"/>
          <w:sz w:val="18"/>
          <w:szCs w:val="18"/>
        </w:rPr>
        <w:t xml:space="preserve">More industries are harnessing the power of data to create </w:t>
      </w:r>
      <w:r>
        <w:rPr>
          <w:rFonts w:ascii="Arial" w:eastAsia="宋体" w:hAnsi="Arial" w:cs="Arial"/>
          <w:color w:val="262626"/>
          <w:sz w:val="18"/>
          <w:szCs w:val="18"/>
        </w:rPr>
        <w:t>business value, innovate, and grow. This requires that intelligence move closer to the edge, allowing data to be acted on where it is created. Working with our partners, we are using our architecture, accelerators, and software to develop and scale a growi</w:t>
      </w:r>
      <w:r>
        <w:rPr>
          <w:rFonts w:ascii="Arial" w:eastAsia="宋体" w:hAnsi="Arial" w:cs="Arial"/>
          <w:color w:val="262626"/>
          <w:sz w:val="18"/>
          <w:szCs w:val="18"/>
        </w:rPr>
        <w:t>ng Internet of Things portfolio and ecosystem. Our Internet of Things portfolio is comprised of our IOTG and Mobileye businesses.</w:t>
      </w:r>
    </w:p>
    <w:p w14:paraId="5C7C6F1B" w14:textId="77777777" w:rsidR="0008009C" w:rsidRDefault="00936FDF">
      <w:pPr>
        <w:spacing w:after="180"/>
      </w:pPr>
      <w:r>
        <w:rPr>
          <w:rFonts w:ascii="Arial" w:eastAsia="宋体" w:hAnsi="Arial" w:cs="Arial"/>
          <w:color w:val="262626"/>
          <w:sz w:val="18"/>
          <w:szCs w:val="18"/>
        </w:rPr>
        <w:t>IOTG develops high-performance compute platforms that solve for technology and business use cases that can scale across vertic</w:t>
      </w:r>
      <w:r>
        <w:rPr>
          <w:rFonts w:ascii="Arial" w:eastAsia="宋体" w:hAnsi="Arial" w:cs="Arial"/>
          <w:color w:val="262626"/>
          <w:sz w:val="18"/>
          <w:szCs w:val="18"/>
        </w:rPr>
        <w:t>al industries and embedded markets. Our customers include retailers, manufacturers, health and life sciences, governments, and education providers. We reduce complexity in the ecosystem with a common architecture and software to help enable our customers t</w:t>
      </w:r>
      <w:r>
        <w:rPr>
          <w:rFonts w:ascii="Arial" w:eastAsia="宋体" w:hAnsi="Arial" w:cs="Arial"/>
          <w:color w:val="262626"/>
          <w:sz w:val="18"/>
          <w:szCs w:val="18"/>
        </w:rPr>
        <w:t>o create and process data at the edge to analyze it faster and to act on it sooner.</w:t>
      </w:r>
    </w:p>
    <w:p w14:paraId="5C7C6F1C" w14:textId="77777777" w:rsidR="0008009C" w:rsidRDefault="00936FDF">
      <w:pPr>
        <w:spacing w:after="180"/>
      </w:pPr>
      <w:r>
        <w:rPr>
          <w:rFonts w:ascii="Arial" w:eastAsia="宋体" w:hAnsi="Arial" w:cs="Arial"/>
          <w:color w:val="262626"/>
          <w:sz w:val="18"/>
          <w:szCs w:val="18"/>
        </w:rPr>
        <w:t>Mobileye is the global leader in driving assistance and self-driving solutions. Our product portfolio employs a broad set of technologies, covering computer vision and mach</w:t>
      </w:r>
      <w:r>
        <w:rPr>
          <w:rFonts w:ascii="Arial" w:eastAsia="宋体" w:hAnsi="Arial" w:cs="Arial"/>
          <w:color w:val="262626"/>
          <w:sz w:val="18"/>
          <w:szCs w:val="18"/>
        </w:rPr>
        <w:t>ine learning-based sensing, data analysis, localization, mapping, and driving policy technology for ADAS and AVs. Mobileye's ADAS products form the building blocks for higher levels of autonomy. Our customers and strategic partners include major global OEM</w:t>
      </w:r>
      <w:r>
        <w:rPr>
          <w:rFonts w:ascii="Arial" w:eastAsia="宋体" w:hAnsi="Arial" w:cs="Arial"/>
          <w:color w:val="262626"/>
          <w:sz w:val="18"/>
          <w:szCs w:val="18"/>
        </w:rPr>
        <w:t xml:space="preserve">s, Tier 1 automotive system integrators, fleet managers, and transportation operators. </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08009C" w14:paraId="5C7C6F29" w14:textId="77777777">
        <w:tc>
          <w:tcPr>
            <w:tcW w:w="20" w:type="dxa"/>
            <w:shd w:val="clear" w:color="auto" w:fill="auto"/>
          </w:tcPr>
          <w:p w14:paraId="5C7C6F1D" w14:textId="77777777" w:rsidR="0008009C" w:rsidRDefault="0008009C">
            <w:pPr>
              <w:rPr>
                <w:rFonts w:ascii="宋体"/>
              </w:rPr>
            </w:pPr>
          </w:p>
        </w:tc>
        <w:tc>
          <w:tcPr>
            <w:tcW w:w="80" w:type="dxa"/>
            <w:shd w:val="clear" w:color="auto" w:fill="auto"/>
          </w:tcPr>
          <w:p w14:paraId="5C7C6F1E" w14:textId="77777777" w:rsidR="0008009C" w:rsidRDefault="0008009C">
            <w:pPr>
              <w:rPr>
                <w:rFonts w:ascii="宋体"/>
              </w:rPr>
            </w:pPr>
          </w:p>
        </w:tc>
        <w:tc>
          <w:tcPr>
            <w:tcW w:w="20" w:type="dxa"/>
            <w:shd w:val="clear" w:color="auto" w:fill="auto"/>
          </w:tcPr>
          <w:p w14:paraId="5C7C6F1F" w14:textId="77777777" w:rsidR="0008009C" w:rsidRDefault="0008009C">
            <w:pPr>
              <w:rPr>
                <w:rFonts w:ascii="宋体"/>
              </w:rPr>
            </w:pPr>
          </w:p>
        </w:tc>
        <w:tc>
          <w:tcPr>
            <w:tcW w:w="20" w:type="dxa"/>
            <w:shd w:val="clear" w:color="auto" w:fill="auto"/>
          </w:tcPr>
          <w:p w14:paraId="5C7C6F20" w14:textId="77777777" w:rsidR="0008009C" w:rsidRDefault="0008009C">
            <w:pPr>
              <w:rPr>
                <w:rFonts w:ascii="宋体"/>
              </w:rPr>
            </w:pPr>
          </w:p>
        </w:tc>
        <w:tc>
          <w:tcPr>
            <w:tcW w:w="5165" w:type="dxa"/>
            <w:shd w:val="clear" w:color="auto" w:fill="auto"/>
          </w:tcPr>
          <w:p w14:paraId="5C7C6F21" w14:textId="77777777" w:rsidR="0008009C" w:rsidRDefault="0008009C">
            <w:pPr>
              <w:rPr>
                <w:rFonts w:ascii="宋体"/>
              </w:rPr>
            </w:pPr>
          </w:p>
        </w:tc>
        <w:tc>
          <w:tcPr>
            <w:tcW w:w="20" w:type="dxa"/>
            <w:shd w:val="clear" w:color="auto" w:fill="auto"/>
          </w:tcPr>
          <w:p w14:paraId="5C7C6F22" w14:textId="77777777" w:rsidR="0008009C" w:rsidRDefault="0008009C">
            <w:pPr>
              <w:rPr>
                <w:rFonts w:ascii="宋体"/>
              </w:rPr>
            </w:pPr>
          </w:p>
        </w:tc>
        <w:tc>
          <w:tcPr>
            <w:tcW w:w="20" w:type="dxa"/>
            <w:shd w:val="clear" w:color="auto" w:fill="auto"/>
          </w:tcPr>
          <w:p w14:paraId="5C7C6F23" w14:textId="77777777" w:rsidR="0008009C" w:rsidRDefault="0008009C">
            <w:pPr>
              <w:rPr>
                <w:rFonts w:ascii="宋体"/>
              </w:rPr>
            </w:pPr>
          </w:p>
        </w:tc>
        <w:tc>
          <w:tcPr>
            <w:tcW w:w="260" w:type="dxa"/>
            <w:shd w:val="clear" w:color="auto" w:fill="auto"/>
          </w:tcPr>
          <w:p w14:paraId="5C7C6F24" w14:textId="77777777" w:rsidR="0008009C" w:rsidRDefault="0008009C">
            <w:pPr>
              <w:rPr>
                <w:rFonts w:ascii="宋体"/>
              </w:rPr>
            </w:pPr>
          </w:p>
        </w:tc>
        <w:tc>
          <w:tcPr>
            <w:tcW w:w="20" w:type="dxa"/>
            <w:shd w:val="clear" w:color="auto" w:fill="auto"/>
          </w:tcPr>
          <w:p w14:paraId="5C7C6F25" w14:textId="77777777" w:rsidR="0008009C" w:rsidRDefault="0008009C">
            <w:pPr>
              <w:rPr>
                <w:rFonts w:ascii="宋体"/>
              </w:rPr>
            </w:pPr>
          </w:p>
        </w:tc>
        <w:tc>
          <w:tcPr>
            <w:tcW w:w="20" w:type="dxa"/>
            <w:shd w:val="clear" w:color="auto" w:fill="auto"/>
          </w:tcPr>
          <w:p w14:paraId="5C7C6F26" w14:textId="77777777" w:rsidR="0008009C" w:rsidRDefault="0008009C">
            <w:pPr>
              <w:rPr>
                <w:rFonts w:ascii="宋体"/>
              </w:rPr>
            </w:pPr>
          </w:p>
        </w:tc>
        <w:tc>
          <w:tcPr>
            <w:tcW w:w="5165" w:type="dxa"/>
            <w:shd w:val="clear" w:color="auto" w:fill="auto"/>
          </w:tcPr>
          <w:p w14:paraId="5C7C6F27" w14:textId="77777777" w:rsidR="0008009C" w:rsidRDefault="0008009C">
            <w:pPr>
              <w:rPr>
                <w:rFonts w:ascii="宋体"/>
              </w:rPr>
            </w:pPr>
          </w:p>
        </w:tc>
        <w:tc>
          <w:tcPr>
            <w:tcW w:w="20" w:type="dxa"/>
            <w:shd w:val="clear" w:color="auto" w:fill="auto"/>
          </w:tcPr>
          <w:p w14:paraId="5C7C6F28" w14:textId="77777777" w:rsidR="0008009C" w:rsidRDefault="0008009C">
            <w:pPr>
              <w:rPr>
                <w:rFonts w:ascii="宋体"/>
              </w:rPr>
            </w:pPr>
          </w:p>
        </w:tc>
      </w:tr>
      <w:tr w:rsidR="0008009C" w14:paraId="5C7C6F2E" w14:textId="77777777">
        <w:trPr>
          <w:trHeight w:val="280"/>
        </w:trPr>
        <w:tc>
          <w:tcPr>
            <w:tcW w:w="0" w:type="auto"/>
            <w:gridSpan w:val="3"/>
            <w:shd w:val="clear" w:color="auto" w:fill="auto"/>
            <w:tcMar>
              <w:top w:w="0" w:type="dxa"/>
              <w:left w:w="20" w:type="dxa"/>
              <w:bottom w:w="0" w:type="dxa"/>
              <w:right w:w="20" w:type="dxa"/>
            </w:tcMar>
          </w:tcPr>
          <w:p w14:paraId="5C7C6F2A" w14:textId="77777777" w:rsidR="0008009C" w:rsidRDefault="0008009C">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F2B" w14:textId="77777777" w:rsidR="0008009C" w:rsidRDefault="00936FDF">
            <w:pPr>
              <w:jc w:val="center"/>
              <w:textAlignment w:val="bottom"/>
            </w:pPr>
            <w:r>
              <w:rPr>
                <w:rFonts w:ascii="Arial" w:eastAsia="宋体" w:hAnsi="Arial" w:cs="Arial"/>
                <w:color w:val="0068B5"/>
                <w:sz w:val="20"/>
                <w:szCs w:val="20"/>
              </w:rPr>
              <w:t>Internet of Things Revenue $B</w:t>
            </w:r>
          </w:p>
        </w:tc>
        <w:tc>
          <w:tcPr>
            <w:tcW w:w="0" w:type="auto"/>
            <w:gridSpan w:val="3"/>
            <w:shd w:val="clear" w:color="auto" w:fill="auto"/>
            <w:tcMar>
              <w:top w:w="0" w:type="dxa"/>
              <w:left w:w="20" w:type="dxa"/>
              <w:bottom w:w="0" w:type="dxa"/>
              <w:right w:w="20" w:type="dxa"/>
            </w:tcMar>
          </w:tcPr>
          <w:p w14:paraId="5C7C6F2C" w14:textId="77777777" w:rsidR="0008009C" w:rsidRDefault="0008009C">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F2D" w14:textId="77777777" w:rsidR="0008009C" w:rsidRDefault="00936FDF">
            <w:pPr>
              <w:jc w:val="center"/>
              <w:textAlignment w:val="bottom"/>
            </w:pPr>
            <w:r>
              <w:rPr>
                <w:rFonts w:ascii="Arial" w:eastAsia="宋体" w:hAnsi="Arial" w:cs="Arial"/>
                <w:color w:val="0068B5"/>
                <w:sz w:val="20"/>
                <w:szCs w:val="20"/>
              </w:rPr>
              <w:t>Internet of Things Operating Income $B</w:t>
            </w:r>
          </w:p>
        </w:tc>
      </w:tr>
    </w:tbl>
    <w:p w14:paraId="5C7C6F2F"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36" wp14:editId="5C7C7D37">
            <wp:extent cx="304800" cy="304800"/>
            <wp:effectExtent l="0" t="0" r="0" b="0"/>
            <wp:docPr id="27" name="图片 89"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9" descr="IMG_28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Viewer7_files/intc-202103</w:instrText>
      </w:r>
      <w:r>
        <w:rPr>
          <w:rFonts w:ascii="宋体" w:eastAsia="宋体" w:hAnsi="宋体" w:cs="宋体"/>
        </w:rPr>
        <w:instrText xml:space="preserve">27_g10.jpg"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38" wp14:editId="5C7C7D39">
            <wp:extent cx="304800" cy="304800"/>
            <wp:effectExtent l="0" t="0" r="0" b="0"/>
            <wp:docPr id="28" name="图片 90"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0"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50" w:type="dxa"/>
        <w:tblCellMar>
          <w:top w:w="15" w:type="dxa"/>
          <w:left w:w="15" w:type="dxa"/>
          <w:bottom w:w="15" w:type="dxa"/>
          <w:right w:w="15" w:type="dxa"/>
        </w:tblCellMar>
        <w:tblLook w:val="04A0" w:firstRow="1" w:lastRow="0" w:firstColumn="1" w:lastColumn="0" w:noHBand="0" w:noVBand="1"/>
      </w:tblPr>
      <w:tblGrid>
        <w:gridCol w:w="37"/>
        <w:gridCol w:w="1490"/>
        <w:gridCol w:w="36"/>
        <w:gridCol w:w="36"/>
        <w:gridCol w:w="1194"/>
        <w:gridCol w:w="36"/>
        <w:gridCol w:w="36"/>
        <w:gridCol w:w="1260"/>
        <w:gridCol w:w="36"/>
        <w:gridCol w:w="36"/>
        <w:gridCol w:w="1359"/>
        <w:gridCol w:w="36"/>
        <w:gridCol w:w="36"/>
        <w:gridCol w:w="1185"/>
        <w:gridCol w:w="36"/>
        <w:gridCol w:w="36"/>
        <w:gridCol w:w="1383"/>
        <w:gridCol w:w="36"/>
        <w:gridCol w:w="36"/>
        <w:gridCol w:w="1274"/>
        <w:gridCol w:w="36"/>
        <w:gridCol w:w="36"/>
        <w:gridCol w:w="1228"/>
        <w:gridCol w:w="36"/>
      </w:tblGrid>
      <w:tr w:rsidR="0008009C" w14:paraId="5C7C6F48" w14:textId="77777777">
        <w:tc>
          <w:tcPr>
            <w:tcW w:w="20" w:type="dxa"/>
            <w:shd w:val="clear" w:color="auto" w:fill="auto"/>
          </w:tcPr>
          <w:p w14:paraId="5C7C6F30" w14:textId="77777777" w:rsidR="0008009C" w:rsidRDefault="0008009C">
            <w:pPr>
              <w:rPr>
                <w:rFonts w:ascii="宋体"/>
              </w:rPr>
            </w:pPr>
          </w:p>
        </w:tc>
        <w:tc>
          <w:tcPr>
            <w:tcW w:w="1535" w:type="dxa"/>
            <w:shd w:val="clear" w:color="auto" w:fill="auto"/>
          </w:tcPr>
          <w:p w14:paraId="5C7C6F31" w14:textId="77777777" w:rsidR="0008009C" w:rsidRDefault="0008009C">
            <w:pPr>
              <w:rPr>
                <w:rFonts w:ascii="宋体"/>
              </w:rPr>
            </w:pPr>
          </w:p>
        </w:tc>
        <w:tc>
          <w:tcPr>
            <w:tcW w:w="20" w:type="dxa"/>
            <w:shd w:val="clear" w:color="auto" w:fill="auto"/>
          </w:tcPr>
          <w:p w14:paraId="5C7C6F32" w14:textId="77777777" w:rsidR="0008009C" w:rsidRDefault="0008009C">
            <w:pPr>
              <w:rPr>
                <w:rFonts w:ascii="宋体"/>
              </w:rPr>
            </w:pPr>
          </w:p>
        </w:tc>
        <w:tc>
          <w:tcPr>
            <w:tcW w:w="20" w:type="dxa"/>
            <w:shd w:val="clear" w:color="auto" w:fill="auto"/>
          </w:tcPr>
          <w:p w14:paraId="5C7C6F33" w14:textId="77777777" w:rsidR="0008009C" w:rsidRDefault="0008009C">
            <w:pPr>
              <w:rPr>
                <w:rFonts w:ascii="宋体"/>
              </w:rPr>
            </w:pPr>
          </w:p>
        </w:tc>
        <w:tc>
          <w:tcPr>
            <w:tcW w:w="1220" w:type="dxa"/>
            <w:shd w:val="clear" w:color="auto" w:fill="auto"/>
          </w:tcPr>
          <w:p w14:paraId="5C7C6F34" w14:textId="77777777" w:rsidR="0008009C" w:rsidRDefault="0008009C">
            <w:pPr>
              <w:rPr>
                <w:rFonts w:ascii="宋体"/>
              </w:rPr>
            </w:pPr>
          </w:p>
        </w:tc>
        <w:tc>
          <w:tcPr>
            <w:tcW w:w="20" w:type="dxa"/>
            <w:shd w:val="clear" w:color="auto" w:fill="auto"/>
          </w:tcPr>
          <w:p w14:paraId="5C7C6F35" w14:textId="77777777" w:rsidR="0008009C" w:rsidRDefault="0008009C">
            <w:pPr>
              <w:rPr>
                <w:rFonts w:ascii="宋体"/>
              </w:rPr>
            </w:pPr>
          </w:p>
        </w:tc>
        <w:tc>
          <w:tcPr>
            <w:tcW w:w="20" w:type="dxa"/>
            <w:shd w:val="clear" w:color="auto" w:fill="auto"/>
          </w:tcPr>
          <w:p w14:paraId="5C7C6F36" w14:textId="77777777" w:rsidR="0008009C" w:rsidRDefault="0008009C">
            <w:pPr>
              <w:rPr>
                <w:rFonts w:ascii="宋体"/>
              </w:rPr>
            </w:pPr>
          </w:p>
        </w:tc>
        <w:tc>
          <w:tcPr>
            <w:tcW w:w="1280" w:type="dxa"/>
            <w:shd w:val="clear" w:color="auto" w:fill="auto"/>
          </w:tcPr>
          <w:p w14:paraId="5C7C6F37" w14:textId="77777777" w:rsidR="0008009C" w:rsidRDefault="0008009C">
            <w:pPr>
              <w:rPr>
                <w:rFonts w:ascii="宋体"/>
              </w:rPr>
            </w:pPr>
          </w:p>
        </w:tc>
        <w:tc>
          <w:tcPr>
            <w:tcW w:w="20" w:type="dxa"/>
            <w:shd w:val="clear" w:color="auto" w:fill="auto"/>
          </w:tcPr>
          <w:p w14:paraId="5C7C6F38" w14:textId="77777777" w:rsidR="0008009C" w:rsidRDefault="0008009C">
            <w:pPr>
              <w:rPr>
                <w:rFonts w:ascii="宋体"/>
              </w:rPr>
            </w:pPr>
          </w:p>
        </w:tc>
        <w:tc>
          <w:tcPr>
            <w:tcW w:w="20" w:type="dxa"/>
            <w:shd w:val="clear" w:color="auto" w:fill="auto"/>
          </w:tcPr>
          <w:p w14:paraId="5C7C6F39" w14:textId="77777777" w:rsidR="0008009C" w:rsidRDefault="0008009C">
            <w:pPr>
              <w:rPr>
                <w:rFonts w:ascii="宋体"/>
              </w:rPr>
            </w:pPr>
          </w:p>
        </w:tc>
        <w:tc>
          <w:tcPr>
            <w:tcW w:w="1400" w:type="dxa"/>
            <w:shd w:val="clear" w:color="auto" w:fill="auto"/>
          </w:tcPr>
          <w:p w14:paraId="5C7C6F3A" w14:textId="77777777" w:rsidR="0008009C" w:rsidRDefault="0008009C">
            <w:pPr>
              <w:rPr>
                <w:rFonts w:ascii="宋体"/>
              </w:rPr>
            </w:pPr>
          </w:p>
        </w:tc>
        <w:tc>
          <w:tcPr>
            <w:tcW w:w="20" w:type="dxa"/>
            <w:shd w:val="clear" w:color="auto" w:fill="auto"/>
          </w:tcPr>
          <w:p w14:paraId="5C7C6F3B" w14:textId="77777777" w:rsidR="0008009C" w:rsidRDefault="0008009C">
            <w:pPr>
              <w:rPr>
                <w:rFonts w:ascii="宋体"/>
              </w:rPr>
            </w:pPr>
          </w:p>
        </w:tc>
        <w:tc>
          <w:tcPr>
            <w:tcW w:w="20" w:type="dxa"/>
            <w:shd w:val="clear" w:color="auto" w:fill="auto"/>
          </w:tcPr>
          <w:p w14:paraId="5C7C6F3C" w14:textId="77777777" w:rsidR="0008009C" w:rsidRDefault="0008009C">
            <w:pPr>
              <w:rPr>
                <w:rFonts w:ascii="宋体"/>
              </w:rPr>
            </w:pPr>
          </w:p>
        </w:tc>
        <w:tc>
          <w:tcPr>
            <w:tcW w:w="1220" w:type="dxa"/>
            <w:shd w:val="clear" w:color="auto" w:fill="auto"/>
          </w:tcPr>
          <w:p w14:paraId="5C7C6F3D" w14:textId="77777777" w:rsidR="0008009C" w:rsidRDefault="0008009C">
            <w:pPr>
              <w:rPr>
                <w:rFonts w:ascii="宋体"/>
              </w:rPr>
            </w:pPr>
          </w:p>
        </w:tc>
        <w:tc>
          <w:tcPr>
            <w:tcW w:w="20" w:type="dxa"/>
            <w:shd w:val="clear" w:color="auto" w:fill="auto"/>
          </w:tcPr>
          <w:p w14:paraId="5C7C6F3E" w14:textId="77777777" w:rsidR="0008009C" w:rsidRDefault="0008009C">
            <w:pPr>
              <w:rPr>
                <w:rFonts w:ascii="宋体"/>
              </w:rPr>
            </w:pPr>
          </w:p>
        </w:tc>
        <w:tc>
          <w:tcPr>
            <w:tcW w:w="20" w:type="dxa"/>
            <w:shd w:val="clear" w:color="auto" w:fill="auto"/>
          </w:tcPr>
          <w:p w14:paraId="5C7C6F3F" w14:textId="77777777" w:rsidR="0008009C" w:rsidRDefault="0008009C">
            <w:pPr>
              <w:rPr>
                <w:rFonts w:ascii="宋体"/>
              </w:rPr>
            </w:pPr>
          </w:p>
        </w:tc>
        <w:tc>
          <w:tcPr>
            <w:tcW w:w="1415" w:type="dxa"/>
            <w:shd w:val="clear" w:color="auto" w:fill="auto"/>
          </w:tcPr>
          <w:p w14:paraId="5C7C6F40" w14:textId="77777777" w:rsidR="0008009C" w:rsidRDefault="0008009C">
            <w:pPr>
              <w:rPr>
                <w:rFonts w:ascii="宋体"/>
              </w:rPr>
            </w:pPr>
          </w:p>
        </w:tc>
        <w:tc>
          <w:tcPr>
            <w:tcW w:w="20" w:type="dxa"/>
            <w:shd w:val="clear" w:color="auto" w:fill="auto"/>
          </w:tcPr>
          <w:p w14:paraId="5C7C6F41" w14:textId="77777777" w:rsidR="0008009C" w:rsidRDefault="0008009C">
            <w:pPr>
              <w:rPr>
                <w:rFonts w:ascii="宋体"/>
              </w:rPr>
            </w:pPr>
          </w:p>
        </w:tc>
        <w:tc>
          <w:tcPr>
            <w:tcW w:w="20" w:type="dxa"/>
            <w:shd w:val="clear" w:color="auto" w:fill="auto"/>
          </w:tcPr>
          <w:p w14:paraId="5C7C6F42" w14:textId="77777777" w:rsidR="0008009C" w:rsidRDefault="0008009C">
            <w:pPr>
              <w:rPr>
                <w:rFonts w:ascii="宋体"/>
              </w:rPr>
            </w:pPr>
          </w:p>
        </w:tc>
        <w:tc>
          <w:tcPr>
            <w:tcW w:w="1295" w:type="dxa"/>
            <w:shd w:val="clear" w:color="auto" w:fill="auto"/>
          </w:tcPr>
          <w:p w14:paraId="5C7C6F43" w14:textId="77777777" w:rsidR="0008009C" w:rsidRDefault="0008009C">
            <w:pPr>
              <w:rPr>
                <w:rFonts w:ascii="宋体"/>
              </w:rPr>
            </w:pPr>
          </w:p>
        </w:tc>
        <w:tc>
          <w:tcPr>
            <w:tcW w:w="20" w:type="dxa"/>
            <w:shd w:val="clear" w:color="auto" w:fill="auto"/>
          </w:tcPr>
          <w:p w14:paraId="5C7C6F44" w14:textId="77777777" w:rsidR="0008009C" w:rsidRDefault="0008009C">
            <w:pPr>
              <w:rPr>
                <w:rFonts w:ascii="宋体"/>
              </w:rPr>
            </w:pPr>
          </w:p>
        </w:tc>
        <w:tc>
          <w:tcPr>
            <w:tcW w:w="20" w:type="dxa"/>
            <w:shd w:val="clear" w:color="auto" w:fill="auto"/>
          </w:tcPr>
          <w:p w14:paraId="5C7C6F45" w14:textId="77777777" w:rsidR="0008009C" w:rsidRDefault="0008009C">
            <w:pPr>
              <w:rPr>
                <w:rFonts w:ascii="宋体"/>
              </w:rPr>
            </w:pPr>
          </w:p>
        </w:tc>
        <w:tc>
          <w:tcPr>
            <w:tcW w:w="1265" w:type="dxa"/>
            <w:shd w:val="clear" w:color="auto" w:fill="auto"/>
          </w:tcPr>
          <w:p w14:paraId="5C7C6F46" w14:textId="77777777" w:rsidR="0008009C" w:rsidRDefault="0008009C">
            <w:pPr>
              <w:rPr>
                <w:rFonts w:ascii="宋体"/>
              </w:rPr>
            </w:pPr>
          </w:p>
        </w:tc>
        <w:tc>
          <w:tcPr>
            <w:tcW w:w="20" w:type="dxa"/>
            <w:shd w:val="clear" w:color="auto" w:fill="auto"/>
          </w:tcPr>
          <w:p w14:paraId="5C7C6F47" w14:textId="77777777" w:rsidR="0008009C" w:rsidRDefault="0008009C">
            <w:pPr>
              <w:rPr>
                <w:rFonts w:ascii="宋体"/>
              </w:rPr>
            </w:pPr>
          </w:p>
        </w:tc>
      </w:tr>
      <w:tr w:rsidR="0008009C" w14:paraId="5C7C6F51" w14:textId="77777777">
        <w:trPr>
          <w:trHeight w:val="300"/>
        </w:trPr>
        <w:tc>
          <w:tcPr>
            <w:tcW w:w="0" w:type="auto"/>
            <w:gridSpan w:val="3"/>
            <w:shd w:val="clear" w:color="auto" w:fill="auto"/>
            <w:tcMar>
              <w:top w:w="0" w:type="dxa"/>
              <w:left w:w="20" w:type="dxa"/>
              <w:bottom w:w="0" w:type="dxa"/>
              <w:right w:w="20" w:type="dxa"/>
            </w:tcMar>
          </w:tcPr>
          <w:p w14:paraId="5C7C6F49"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center"/>
          </w:tcPr>
          <w:p w14:paraId="5C7C6F4A" w14:textId="77777777" w:rsidR="0008009C" w:rsidRDefault="00936FDF">
            <w:pPr>
              <w:jc w:val="center"/>
              <w:textAlignment w:val="center"/>
            </w:pPr>
            <w:r>
              <w:rPr>
                <w:rFonts w:ascii="Arial" w:eastAsia="宋体" w:hAnsi="Arial" w:cs="Arial"/>
                <w:color w:val="004A86"/>
                <w:sz w:val="16"/>
                <w:szCs w:val="16"/>
              </w:rPr>
              <w:t>■</w:t>
            </w:r>
            <w:r>
              <w:rPr>
                <w:rFonts w:ascii="Arial" w:eastAsia="宋体" w:hAnsi="Arial" w:cs="Arial"/>
                <w:color w:val="262626"/>
                <w:sz w:val="16"/>
                <w:szCs w:val="16"/>
              </w:rPr>
              <w:t xml:space="preserve"> IOTG </w:t>
            </w:r>
          </w:p>
        </w:tc>
        <w:tc>
          <w:tcPr>
            <w:tcW w:w="0" w:type="auto"/>
            <w:gridSpan w:val="3"/>
            <w:shd w:val="clear" w:color="auto" w:fill="auto"/>
            <w:tcMar>
              <w:top w:w="40" w:type="dxa"/>
              <w:left w:w="20" w:type="dxa"/>
              <w:bottom w:w="40" w:type="dxa"/>
              <w:right w:w="20" w:type="dxa"/>
            </w:tcMar>
            <w:vAlign w:val="center"/>
          </w:tcPr>
          <w:p w14:paraId="5C7C6F4B" w14:textId="77777777" w:rsidR="0008009C" w:rsidRDefault="00936FDF">
            <w:pPr>
              <w:textAlignment w:val="center"/>
            </w:pPr>
            <w:r>
              <w:rPr>
                <w:rFonts w:ascii="Arial" w:eastAsia="宋体" w:hAnsi="Arial" w:cs="Arial"/>
                <w:color w:val="00A3F6"/>
                <w:sz w:val="16"/>
                <w:szCs w:val="16"/>
              </w:rPr>
              <w:t>■</w:t>
            </w:r>
            <w:r>
              <w:rPr>
                <w:rFonts w:ascii="Arial" w:eastAsia="宋体" w:hAnsi="Arial" w:cs="Arial"/>
                <w:color w:val="262626"/>
                <w:sz w:val="16"/>
                <w:szCs w:val="16"/>
              </w:rPr>
              <w:t xml:space="preserve"> Mobileye</w:t>
            </w:r>
          </w:p>
        </w:tc>
        <w:tc>
          <w:tcPr>
            <w:tcW w:w="0" w:type="auto"/>
            <w:gridSpan w:val="3"/>
            <w:shd w:val="clear" w:color="auto" w:fill="auto"/>
            <w:tcMar>
              <w:top w:w="0" w:type="dxa"/>
              <w:left w:w="20" w:type="dxa"/>
              <w:bottom w:w="0" w:type="dxa"/>
              <w:right w:w="20" w:type="dxa"/>
            </w:tcMar>
          </w:tcPr>
          <w:p w14:paraId="5C7C6F4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6F4D"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center"/>
          </w:tcPr>
          <w:p w14:paraId="5C7C6F4E" w14:textId="77777777" w:rsidR="0008009C" w:rsidRDefault="00936FDF">
            <w:pPr>
              <w:jc w:val="center"/>
              <w:textAlignment w:val="center"/>
            </w:pPr>
            <w:r>
              <w:rPr>
                <w:rFonts w:ascii="Arial" w:eastAsia="宋体" w:hAnsi="Arial" w:cs="Arial"/>
                <w:color w:val="004A86"/>
                <w:sz w:val="16"/>
                <w:szCs w:val="16"/>
              </w:rPr>
              <w:t>■</w:t>
            </w:r>
            <w:r>
              <w:rPr>
                <w:rFonts w:ascii="Arial" w:eastAsia="宋体" w:hAnsi="Arial" w:cs="Arial"/>
                <w:color w:val="262626"/>
                <w:sz w:val="16"/>
                <w:szCs w:val="16"/>
              </w:rPr>
              <w:t xml:space="preserve"> IOTG </w:t>
            </w:r>
          </w:p>
        </w:tc>
        <w:tc>
          <w:tcPr>
            <w:tcW w:w="0" w:type="auto"/>
            <w:gridSpan w:val="3"/>
            <w:shd w:val="clear" w:color="auto" w:fill="auto"/>
            <w:tcMar>
              <w:top w:w="40" w:type="dxa"/>
              <w:left w:w="20" w:type="dxa"/>
              <w:bottom w:w="40" w:type="dxa"/>
              <w:right w:w="20" w:type="dxa"/>
            </w:tcMar>
            <w:vAlign w:val="center"/>
          </w:tcPr>
          <w:p w14:paraId="5C7C6F4F" w14:textId="77777777" w:rsidR="0008009C" w:rsidRDefault="00936FDF">
            <w:pPr>
              <w:textAlignment w:val="center"/>
            </w:pPr>
            <w:r>
              <w:rPr>
                <w:rFonts w:ascii="Arial" w:eastAsia="宋体" w:hAnsi="Arial" w:cs="Arial"/>
                <w:color w:val="00A3F6"/>
                <w:sz w:val="16"/>
                <w:szCs w:val="16"/>
              </w:rPr>
              <w:t>■</w:t>
            </w:r>
            <w:r>
              <w:rPr>
                <w:rFonts w:ascii="Arial" w:eastAsia="宋体" w:hAnsi="Arial" w:cs="Arial"/>
                <w:color w:val="262626"/>
                <w:sz w:val="16"/>
                <w:szCs w:val="16"/>
              </w:rPr>
              <w:t xml:space="preserve"> Mobileye</w:t>
            </w:r>
          </w:p>
        </w:tc>
        <w:tc>
          <w:tcPr>
            <w:tcW w:w="0" w:type="auto"/>
            <w:gridSpan w:val="3"/>
            <w:shd w:val="clear" w:color="auto" w:fill="auto"/>
            <w:tcMar>
              <w:top w:w="0" w:type="dxa"/>
              <w:left w:w="20" w:type="dxa"/>
              <w:bottom w:w="0" w:type="dxa"/>
              <w:right w:w="20" w:type="dxa"/>
            </w:tcMar>
          </w:tcPr>
          <w:p w14:paraId="5C7C6F50" w14:textId="77777777" w:rsidR="0008009C" w:rsidRDefault="0008009C">
            <w:pPr>
              <w:rPr>
                <w:rFonts w:ascii="宋体"/>
              </w:rPr>
            </w:pPr>
          </w:p>
        </w:tc>
      </w:tr>
    </w:tbl>
    <w:p w14:paraId="5C7C6F52"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8009C" w14:paraId="5C7C6F56" w14:textId="77777777">
        <w:tc>
          <w:tcPr>
            <w:tcW w:w="50" w:type="pct"/>
            <w:shd w:val="clear" w:color="auto" w:fill="auto"/>
          </w:tcPr>
          <w:p w14:paraId="5C7C6F53" w14:textId="77777777" w:rsidR="0008009C" w:rsidRDefault="0008009C">
            <w:pPr>
              <w:rPr>
                <w:rFonts w:ascii="宋体"/>
              </w:rPr>
            </w:pPr>
          </w:p>
        </w:tc>
        <w:tc>
          <w:tcPr>
            <w:tcW w:w="4945" w:type="pct"/>
            <w:shd w:val="clear" w:color="auto" w:fill="auto"/>
          </w:tcPr>
          <w:p w14:paraId="5C7C6F54" w14:textId="77777777" w:rsidR="0008009C" w:rsidRDefault="0008009C">
            <w:pPr>
              <w:rPr>
                <w:rFonts w:ascii="宋体"/>
              </w:rPr>
            </w:pPr>
          </w:p>
        </w:tc>
        <w:tc>
          <w:tcPr>
            <w:tcW w:w="5" w:type="pct"/>
            <w:shd w:val="clear" w:color="auto" w:fill="auto"/>
          </w:tcPr>
          <w:p w14:paraId="5C7C6F55" w14:textId="77777777" w:rsidR="0008009C" w:rsidRDefault="0008009C">
            <w:pPr>
              <w:rPr>
                <w:rFonts w:ascii="宋体"/>
              </w:rPr>
            </w:pPr>
          </w:p>
        </w:tc>
      </w:tr>
      <w:tr w:rsidR="0008009C" w14:paraId="5C7C6F58"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F57" w14:textId="77777777" w:rsidR="0008009C" w:rsidRDefault="00936FDF">
            <w:pPr>
              <w:textAlignment w:val="bottom"/>
            </w:pPr>
            <w:r>
              <w:rPr>
                <w:rFonts w:ascii="Arial" w:eastAsia="宋体" w:hAnsi="Arial" w:cs="Arial"/>
                <w:color w:val="0068B5"/>
                <w:sz w:val="20"/>
                <w:szCs w:val="20"/>
              </w:rPr>
              <w:t>Revenue and Operating Income Summary</w:t>
            </w:r>
          </w:p>
        </w:tc>
      </w:tr>
    </w:tbl>
    <w:p w14:paraId="5C7C6F59"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8009C" w14:paraId="5C7C6F5D" w14:textId="77777777">
        <w:tc>
          <w:tcPr>
            <w:tcW w:w="50" w:type="pct"/>
            <w:shd w:val="clear" w:color="auto" w:fill="auto"/>
          </w:tcPr>
          <w:p w14:paraId="5C7C6F5A" w14:textId="77777777" w:rsidR="0008009C" w:rsidRDefault="0008009C">
            <w:pPr>
              <w:rPr>
                <w:rFonts w:ascii="宋体"/>
              </w:rPr>
            </w:pPr>
          </w:p>
        </w:tc>
        <w:tc>
          <w:tcPr>
            <w:tcW w:w="4945" w:type="pct"/>
            <w:shd w:val="clear" w:color="auto" w:fill="auto"/>
          </w:tcPr>
          <w:p w14:paraId="5C7C6F5B" w14:textId="77777777" w:rsidR="0008009C" w:rsidRDefault="0008009C">
            <w:pPr>
              <w:rPr>
                <w:rFonts w:ascii="宋体"/>
              </w:rPr>
            </w:pPr>
          </w:p>
        </w:tc>
        <w:tc>
          <w:tcPr>
            <w:tcW w:w="5" w:type="pct"/>
            <w:shd w:val="clear" w:color="auto" w:fill="auto"/>
          </w:tcPr>
          <w:p w14:paraId="5C7C6F5C" w14:textId="77777777" w:rsidR="0008009C" w:rsidRDefault="0008009C">
            <w:pPr>
              <w:rPr>
                <w:rFonts w:ascii="宋体"/>
              </w:rPr>
            </w:pPr>
          </w:p>
        </w:tc>
      </w:tr>
      <w:tr w:rsidR="0008009C" w14:paraId="5C7C6F5F"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F5E" w14:textId="77777777" w:rsidR="0008009C" w:rsidRDefault="00936FDF">
            <w:pPr>
              <w:textAlignment w:val="bottom"/>
            </w:pPr>
            <w:r>
              <w:rPr>
                <w:rFonts w:ascii="Arial" w:eastAsia="宋体" w:hAnsi="Arial" w:cs="Arial"/>
                <w:color w:val="0068B5"/>
                <w:sz w:val="20"/>
                <w:szCs w:val="20"/>
              </w:rPr>
              <w:t>Q1 2021 vs. Q1 2020</w:t>
            </w:r>
          </w:p>
        </w:tc>
      </w:tr>
    </w:tbl>
    <w:p w14:paraId="5C7C6F60" w14:textId="77777777" w:rsidR="0008009C" w:rsidRDefault="00936FDF">
      <w:pPr>
        <w:spacing w:after="180"/>
      </w:pPr>
      <w:r>
        <w:rPr>
          <w:rFonts w:ascii="Arial" w:eastAsia="宋体" w:hAnsi="Arial" w:cs="Arial"/>
          <w:color w:val="262626"/>
          <w:sz w:val="18"/>
          <w:szCs w:val="18"/>
        </w:rPr>
        <w:t xml:space="preserve">IOTG revenue was $914 million, up $31 million, driven by higher demand for IOTG platform products amid recovery from the economic impacts of COVID-19. Operating income was $212 million, down $31 million year over year. </w:t>
      </w:r>
    </w:p>
    <w:p w14:paraId="5C7C6F61" w14:textId="77777777" w:rsidR="0008009C" w:rsidRDefault="00936FDF">
      <w:pPr>
        <w:spacing w:after="180"/>
      </w:pPr>
      <w:r>
        <w:rPr>
          <w:rFonts w:ascii="Arial" w:eastAsia="宋体" w:hAnsi="Arial" w:cs="Arial"/>
          <w:color w:val="262626"/>
          <w:sz w:val="18"/>
          <w:szCs w:val="18"/>
        </w:rPr>
        <w:t xml:space="preserve">Mobileye achieved record revenue of $377 million, up $123 million driven by improvement in global vehicle production as the auto industry recovers from pandemic lows. Mobileye operating income was $147 million, up $59 million year over year. </w:t>
      </w:r>
    </w:p>
    <w:p w14:paraId="5C7C6F62" w14:textId="77777777" w:rsidR="0008009C" w:rsidRDefault="0008009C">
      <w:pPr>
        <w:spacing w:before="300" w:after="180"/>
      </w:pPr>
    </w:p>
    <w:p w14:paraId="5C7C6F63" w14:textId="77777777" w:rsidR="0008009C" w:rsidRDefault="0008009C">
      <w:pPr>
        <w:spacing w:after="180"/>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08009C" w14:paraId="5C7C6F6D" w14:textId="77777777">
        <w:tc>
          <w:tcPr>
            <w:tcW w:w="50" w:type="pct"/>
            <w:shd w:val="clear" w:color="auto" w:fill="auto"/>
            <w:vAlign w:val="bottom"/>
          </w:tcPr>
          <w:p w14:paraId="5C7C6F64" w14:textId="77777777" w:rsidR="0008009C" w:rsidRDefault="0008009C">
            <w:pPr>
              <w:rPr>
                <w:rFonts w:ascii="宋体"/>
              </w:rPr>
            </w:pPr>
          </w:p>
        </w:tc>
        <w:tc>
          <w:tcPr>
            <w:tcW w:w="212" w:type="pct"/>
            <w:shd w:val="clear" w:color="auto" w:fill="auto"/>
            <w:vAlign w:val="bottom"/>
          </w:tcPr>
          <w:p w14:paraId="5C7C6F65" w14:textId="77777777" w:rsidR="0008009C" w:rsidRDefault="0008009C">
            <w:pPr>
              <w:rPr>
                <w:rFonts w:ascii="宋体"/>
              </w:rPr>
            </w:pPr>
          </w:p>
        </w:tc>
        <w:tc>
          <w:tcPr>
            <w:tcW w:w="5" w:type="pct"/>
            <w:shd w:val="clear" w:color="auto" w:fill="auto"/>
            <w:vAlign w:val="bottom"/>
          </w:tcPr>
          <w:p w14:paraId="5C7C6F66" w14:textId="77777777" w:rsidR="0008009C" w:rsidRDefault="0008009C">
            <w:pPr>
              <w:rPr>
                <w:rFonts w:ascii="宋体"/>
              </w:rPr>
            </w:pPr>
          </w:p>
        </w:tc>
        <w:tc>
          <w:tcPr>
            <w:tcW w:w="50" w:type="pct"/>
            <w:shd w:val="clear" w:color="auto" w:fill="auto"/>
            <w:vAlign w:val="bottom"/>
          </w:tcPr>
          <w:p w14:paraId="5C7C6F67" w14:textId="77777777" w:rsidR="0008009C" w:rsidRDefault="0008009C">
            <w:pPr>
              <w:rPr>
                <w:rFonts w:ascii="宋体"/>
              </w:rPr>
            </w:pPr>
          </w:p>
        </w:tc>
        <w:tc>
          <w:tcPr>
            <w:tcW w:w="2499" w:type="pct"/>
            <w:shd w:val="clear" w:color="auto" w:fill="auto"/>
            <w:vAlign w:val="bottom"/>
          </w:tcPr>
          <w:p w14:paraId="5C7C6F68" w14:textId="77777777" w:rsidR="0008009C" w:rsidRDefault="0008009C">
            <w:pPr>
              <w:rPr>
                <w:rFonts w:ascii="宋体"/>
              </w:rPr>
            </w:pPr>
          </w:p>
        </w:tc>
        <w:tc>
          <w:tcPr>
            <w:tcW w:w="5" w:type="pct"/>
            <w:shd w:val="clear" w:color="auto" w:fill="auto"/>
            <w:vAlign w:val="bottom"/>
          </w:tcPr>
          <w:p w14:paraId="5C7C6F69" w14:textId="77777777" w:rsidR="0008009C" w:rsidRDefault="0008009C">
            <w:pPr>
              <w:rPr>
                <w:rFonts w:ascii="宋体"/>
              </w:rPr>
            </w:pPr>
          </w:p>
        </w:tc>
        <w:tc>
          <w:tcPr>
            <w:tcW w:w="50" w:type="pct"/>
            <w:shd w:val="clear" w:color="auto" w:fill="auto"/>
            <w:vAlign w:val="bottom"/>
          </w:tcPr>
          <w:p w14:paraId="5C7C6F6A" w14:textId="77777777" w:rsidR="0008009C" w:rsidRDefault="0008009C">
            <w:pPr>
              <w:rPr>
                <w:rFonts w:ascii="宋体"/>
              </w:rPr>
            </w:pPr>
          </w:p>
        </w:tc>
        <w:tc>
          <w:tcPr>
            <w:tcW w:w="2122" w:type="pct"/>
            <w:shd w:val="clear" w:color="auto" w:fill="auto"/>
            <w:vAlign w:val="bottom"/>
          </w:tcPr>
          <w:p w14:paraId="5C7C6F6B" w14:textId="77777777" w:rsidR="0008009C" w:rsidRDefault="0008009C">
            <w:pPr>
              <w:rPr>
                <w:rFonts w:ascii="宋体"/>
              </w:rPr>
            </w:pPr>
          </w:p>
        </w:tc>
        <w:tc>
          <w:tcPr>
            <w:tcW w:w="5" w:type="pct"/>
            <w:shd w:val="clear" w:color="auto" w:fill="auto"/>
            <w:vAlign w:val="bottom"/>
          </w:tcPr>
          <w:p w14:paraId="5C7C6F6C" w14:textId="77777777" w:rsidR="0008009C" w:rsidRDefault="0008009C">
            <w:pPr>
              <w:rPr>
                <w:rFonts w:ascii="宋体"/>
              </w:rPr>
            </w:pPr>
          </w:p>
        </w:tc>
      </w:tr>
      <w:tr w:rsidR="0008009C" w14:paraId="5C7C6F71"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6F6E"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3A" wp14:editId="5C7C7D3B">
                  <wp:extent cx="304800" cy="304800"/>
                  <wp:effectExtent l="0" t="0" r="0" b="0"/>
                  <wp:docPr id="20" name="图片 91"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1"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F6F" w14:textId="77777777" w:rsidR="0008009C" w:rsidRDefault="00936FDF">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F70" w14:textId="77777777" w:rsidR="0008009C" w:rsidRDefault="00936FDF">
            <w:pPr>
              <w:jc w:val="right"/>
              <w:textAlignment w:val="center"/>
            </w:pPr>
            <w:r>
              <w:rPr>
                <w:rFonts w:ascii="Arial" w:eastAsia="宋体" w:hAnsi="Arial" w:cs="Arial"/>
                <w:color w:val="262626"/>
                <w:sz w:val="16"/>
                <w:szCs w:val="16"/>
              </w:rPr>
              <w:t>24</w:t>
            </w:r>
          </w:p>
        </w:tc>
      </w:tr>
    </w:tbl>
    <w:p w14:paraId="5C7C6F72" w14:textId="77777777" w:rsidR="0008009C" w:rsidRDefault="00936FDF">
      <w:r>
        <w:pict w14:anchorId="5C7C7D3C">
          <v:rect id="_x0000_i1050" style="width:415.3pt;height:1.5pt" o:hralign="center" o:hrstd="t" o:hr="t" fillcolor="#a0a0a0" stroked="f"/>
        </w:pict>
      </w:r>
    </w:p>
    <w:p w14:paraId="5C7C6F73" w14:textId="77777777" w:rsidR="0008009C" w:rsidRDefault="00936FDF">
      <w:pPr>
        <w:spacing w:after="180"/>
        <w:jc w:val="right"/>
      </w:pPr>
      <w:hyperlink r:id="rId49" w:anchor="i3a00378f6cc84b1c9cfc83239548ad53_7" w:history="1">
        <w:r>
          <w:rPr>
            <w:rStyle w:val="a5"/>
            <w:rFonts w:ascii="Arial" w:eastAsia="宋体" w:hAnsi="Arial" w:cs="Arial"/>
            <w:b/>
            <w:bCs/>
            <w:sz w:val="16"/>
            <w:szCs w:val="16"/>
          </w:rPr>
          <w:t>Table of Contents</w:t>
        </w:r>
      </w:hyperlink>
    </w:p>
    <w:p w14:paraId="5C7C6F74" w14:textId="77777777" w:rsidR="0008009C" w:rsidRDefault="0008009C">
      <w:pPr>
        <w:spacing w:after="180"/>
        <w:jc w:val="right"/>
      </w:pPr>
    </w:p>
    <w:p w14:paraId="5C7C6F75" w14:textId="77777777" w:rsidR="0008009C" w:rsidRDefault="00936FDF">
      <w:pPr>
        <w:spacing w:after="180"/>
      </w:pPr>
      <w:r>
        <w:rPr>
          <w:rFonts w:ascii="Arial" w:eastAsia="宋体" w:hAnsi="Arial" w:cs="Arial"/>
          <w:color w:val="0068B5"/>
          <w:sz w:val="28"/>
          <w:szCs w:val="28"/>
        </w:rPr>
        <w:t>Non-Volatile Memory Solutions Group</w:t>
      </w:r>
    </w:p>
    <w:p w14:paraId="5C7C6F76" w14:textId="77777777" w:rsidR="0008009C" w:rsidRDefault="00936FDF">
      <w:pPr>
        <w:spacing w:after="180"/>
      </w:pPr>
      <w:r>
        <w:rPr>
          <w:rFonts w:ascii="Arial" w:eastAsia="宋体" w:hAnsi="Arial" w:cs="Arial"/>
          <w:color w:val="262626"/>
          <w:sz w:val="18"/>
          <w:szCs w:val="18"/>
        </w:rPr>
        <w:t xml:space="preserve">On October 19, 2020, we signed an </w:t>
      </w:r>
      <w:r>
        <w:rPr>
          <w:rFonts w:ascii="Arial" w:eastAsia="宋体" w:hAnsi="Arial" w:cs="Arial"/>
          <w:color w:val="262626"/>
          <w:sz w:val="18"/>
          <w:szCs w:val="18"/>
        </w:rPr>
        <w:t>agreement with SK hynix Inc. (SK hynix) to divest our NAND memory business. The transaction will occur over two closings as described in more detail in "Note 8: Acquisitions and Divestitures" in Notes to Consolidated Condensed Financial Statements.</w:t>
      </w:r>
    </w:p>
    <w:p w14:paraId="5C7C6F77" w14:textId="77777777" w:rsidR="0008009C" w:rsidRDefault="00936FDF">
      <w:pPr>
        <w:spacing w:after="180"/>
      </w:pPr>
      <w:r>
        <w:rPr>
          <w:rFonts w:ascii="Arial" w:eastAsia="宋体" w:hAnsi="Arial" w:cs="Arial"/>
          <w:color w:val="262626"/>
          <w:sz w:val="18"/>
          <w:szCs w:val="18"/>
        </w:rPr>
        <w:t>Our NAN</w:t>
      </w:r>
      <w:r>
        <w:rPr>
          <w:rFonts w:ascii="Arial" w:eastAsia="宋体" w:hAnsi="Arial" w:cs="Arial"/>
          <w:color w:val="262626"/>
          <w:sz w:val="18"/>
          <w:szCs w:val="18"/>
        </w:rPr>
        <w:t>D business continues to develop storage solutions using our innovative Intel</w:t>
      </w:r>
      <w:r>
        <w:rPr>
          <w:rFonts w:ascii="Arial" w:eastAsia="宋体" w:hAnsi="Arial" w:cs="Arial"/>
          <w:color w:val="262626"/>
          <w:sz w:val="11"/>
          <w:szCs w:val="11"/>
        </w:rPr>
        <w:t>®</w:t>
      </w:r>
      <w:r>
        <w:rPr>
          <w:rFonts w:ascii="Arial" w:eastAsia="宋体" w:hAnsi="Arial" w:cs="Arial"/>
          <w:color w:val="262626"/>
          <w:sz w:val="18"/>
          <w:szCs w:val="18"/>
        </w:rPr>
        <w:t xml:space="preserve"> 3D NAND technology. Our data center products are optimized to deliver world-class performance and drive lower total cost of ownership, and our client SSDs provide a fast and prod</w:t>
      </w:r>
      <w:r>
        <w:rPr>
          <w:rFonts w:ascii="Arial" w:eastAsia="宋体" w:hAnsi="Arial" w:cs="Arial"/>
          <w:color w:val="262626"/>
          <w:sz w:val="18"/>
          <w:szCs w:val="18"/>
        </w:rPr>
        <w:t xml:space="preserve">uctive computing environment for a variety of segments. Our Intel Optane memory business is expressly excluded from the sale to SK hynix, and beginning in 2021, the results of our Intel Optane memory business are included in our DCG operating segment, and </w:t>
      </w:r>
      <w:r>
        <w:rPr>
          <w:rFonts w:ascii="Arial" w:eastAsia="宋体" w:hAnsi="Arial" w:cs="Arial"/>
          <w:color w:val="262626"/>
          <w:sz w:val="18"/>
          <w:szCs w:val="18"/>
        </w:rPr>
        <w:t xml:space="preserve">our NSG operating segment is composed entirely of our NAND memory business. </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08009C" w14:paraId="5C7C6F84" w14:textId="77777777">
        <w:tc>
          <w:tcPr>
            <w:tcW w:w="20" w:type="dxa"/>
            <w:shd w:val="clear" w:color="auto" w:fill="auto"/>
          </w:tcPr>
          <w:p w14:paraId="5C7C6F78" w14:textId="77777777" w:rsidR="0008009C" w:rsidRDefault="0008009C">
            <w:pPr>
              <w:rPr>
                <w:rFonts w:ascii="宋体"/>
              </w:rPr>
            </w:pPr>
          </w:p>
        </w:tc>
        <w:tc>
          <w:tcPr>
            <w:tcW w:w="80" w:type="dxa"/>
            <w:shd w:val="clear" w:color="auto" w:fill="auto"/>
          </w:tcPr>
          <w:p w14:paraId="5C7C6F79" w14:textId="77777777" w:rsidR="0008009C" w:rsidRDefault="0008009C">
            <w:pPr>
              <w:rPr>
                <w:rFonts w:ascii="宋体"/>
              </w:rPr>
            </w:pPr>
          </w:p>
        </w:tc>
        <w:tc>
          <w:tcPr>
            <w:tcW w:w="20" w:type="dxa"/>
            <w:shd w:val="clear" w:color="auto" w:fill="auto"/>
          </w:tcPr>
          <w:p w14:paraId="5C7C6F7A" w14:textId="77777777" w:rsidR="0008009C" w:rsidRDefault="0008009C">
            <w:pPr>
              <w:rPr>
                <w:rFonts w:ascii="宋体"/>
              </w:rPr>
            </w:pPr>
          </w:p>
        </w:tc>
        <w:tc>
          <w:tcPr>
            <w:tcW w:w="20" w:type="dxa"/>
            <w:shd w:val="clear" w:color="auto" w:fill="auto"/>
          </w:tcPr>
          <w:p w14:paraId="5C7C6F7B" w14:textId="77777777" w:rsidR="0008009C" w:rsidRDefault="0008009C">
            <w:pPr>
              <w:rPr>
                <w:rFonts w:ascii="宋体"/>
              </w:rPr>
            </w:pPr>
          </w:p>
        </w:tc>
        <w:tc>
          <w:tcPr>
            <w:tcW w:w="5165" w:type="dxa"/>
            <w:shd w:val="clear" w:color="auto" w:fill="auto"/>
          </w:tcPr>
          <w:p w14:paraId="5C7C6F7C" w14:textId="77777777" w:rsidR="0008009C" w:rsidRDefault="0008009C">
            <w:pPr>
              <w:rPr>
                <w:rFonts w:ascii="宋体"/>
              </w:rPr>
            </w:pPr>
          </w:p>
        </w:tc>
        <w:tc>
          <w:tcPr>
            <w:tcW w:w="20" w:type="dxa"/>
            <w:shd w:val="clear" w:color="auto" w:fill="auto"/>
          </w:tcPr>
          <w:p w14:paraId="5C7C6F7D" w14:textId="77777777" w:rsidR="0008009C" w:rsidRDefault="0008009C">
            <w:pPr>
              <w:rPr>
                <w:rFonts w:ascii="宋体"/>
              </w:rPr>
            </w:pPr>
          </w:p>
        </w:tc>
        <w:tc>
          <w:tcPr>
            <w:tcW w:w="20" w:type="dxa"/>
            <w:shd w:val="clear" w:color="auto" w:fill="auto"/>
          </w:tcPr>
          <w:p w14:paraId="5C7C6F7E" w14:textId="77777777" w:rsidR="0008009C" w:rsidRDefault="0008009C">
            <w:pPr>
              <w:rPr>
                <w:rFonts w:ascii="宋体"/>
              </w:rPr>
            </w:pPr>
          </w:p>
        </w:tc>
        <w:tc>
          <w:tcPr>
            <w:tcW w:w="260" w:type="dxa"/>
            <w:shd w:val="clear" w:color="auto" w:fill="auto"/>
          </w:tcPr>
          <w:p w14:paraId="5C7C6F7F" w14:textId="77777777" w:rsidR="0008009C" w:rsidRDefault="0008009C">
            <w:pPr>
              <w:rPr>
                <w:rFonts w:ascii="宋体"/>
              </w:rPr>
            </w:pPr>
          </w:p>
        </w:tc>
        <w:tc>
          <w:tcPr>
            <w:tcW w:w="20" w:type="dxa"/>
            <w:shd w:val="clear" w:color="auto" w:fill="auto"/>
          </w:tcPr>
          <w:p w14:paraId="5C7C6F80" w14:textId="77777777" w:rsidR="0008009C" w:rsidRDefault="0008009C">
            <w:pPr>
              <w:rPr>
                <w:rFonts w:ascii="宋体"/>
              </w:rPr>
            </w:pPr>
          </w:p>
        </w:tc>
        <w:tc>
          <w:tcPr>
            <w:tcW w:w="20" w:type="dxa"/>
            <w:shd w:val="clear" w:color="auto" w:fill="auto"/>
          </w:tcPr>
          <w:p w14:paraId="5C7C6F81" w14:textId="77777777" w:rsidR="0008009C" w:rsidRDefault="0008009C">
            <w:pPr>
              <w:rPr>
                <w:rFonts w:ascii="宋体"/>
              </w:rPr>
            </w:pPr>
          </w:p>
        </w:tc>
        <w:tc>
          <w:tcPr>
            <w:tcW w:w="5165" w:type="dxa"/>
            <w:shd w:val="clear" w:color="auto" w:fill="auto"/>
          </w:tcPr>
          <w:p w14:paraId="5C7C6F82" w14:textId="77777777" w:rsidR="0008009C" w:rsidRDefault="0008009C">
            <w:pPr>
              <w:rPr>
                <w:rFonts w:ascii="宋体"/>
              </w:rPr>
            </w:pPr>
          </w:p>
        </w:tc>
        <w:tc>
          <w:tcPr>
            <w:tcW w:w="20" w:type="dxa"/>
            <w:shd w:val="clear" w:color="auto" w:fill="auto"/>
          </w:tcPr>
          <w:p w14:paraId="5C7C6F83" w14:textId="77777777" w:rsidR="0008009C" w:rsidRDefault="0008009C">
            <w:pPr>
              <w:rPr>
                <w:rFonts w:ascii="宋体"/>
              </w:rPr>
            </w:pPr>
          </w:p>
        </w:tc>
      </w:tr>
      <w:tr w:rsidR="0008009C" w14:paraId="5C7C6F89" w14:textId="77777777">
        <w:trPr>
          <w:trHeight w:val="280"/>
        </w:trPr>
        <w:tc>
          <w:tcPr>
            <w:tcW w:w="0" w:type="auto"/>
            <w:gridSpan w:val="3"/>
            <w:shd w:val="clear" w:color="auto" w:fill="auto"/>
            <w:tcMar>
              <w:top w:w="0" w:type="dxa"/>
              <w:left w:w="20" w:type="dxa"/>
              <w:bottom w:w="0" w:type="dxa"/>
              <w:right w:w="20" w:type="dxa"/>
            </w:tcMar>
          </w:tcPr>
          <w:p w14:paraId="5C7C6F85" w14:textId="77777777" w:rsidR="0008009C" w:rsidRDefault="0008009C">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F86" w14:textId="77777777" w:rsidR="0008009C" w:rsidRDefault="00936FDF">
            <w:pPr>
              <w:jc w:val="center"/>
              <w:textAlignment w:val="bottom"/>
            </w:pPr>
            <w:r>
              <w:rPr>
                <w:rFonts w:ascii="Arial" w:eastAsia="宋体" w:hAnsi="Arial" w:cs="Arial"/>
                <w:color w:val="0068B5"/>
                <w:sz w:val="20"/>
                <w:szCs w:val="20"/>
              </w:rPr>
              <w:t>NSG Revenue $B</w:t>
            </w:r>
          </w:p>
        </w:tc>
        <w:tc>
          <w:tcPr>
            <w:tcW w:w="0" w:type="auto"/>
            <w:gridSpan w:val="3"/>
            <w:shd w:val="clear" w:color="auto" w:fill="auto"/>
            <w:tcMar>
              <w:top w:w="0" w:type="dxa"/>
              <w:left w:w="20" w:type="dxa"/>
              <w:bottom w:w="0" w:type="dxa"/>
              <w:right w:w="20" w:type="dxa"/>
            </w:tcMar>
          </w:tcPr>
          <w:p w14:paraId="5C7C6F87" w14:textId="77777777" w:rsidR="0008009C" w:rsidRDefault="0008009C">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F88" w14:textId="77777777" w:rsidR="0008009C" w:rsidRDefault="00936FDF">
            <w:pPr>
              <w:jc w:val="center"/>
              <w:textAlignment w:val="bottom"/>
            </w:pPr>
            <w:r>
              <w:rPr>
                <w:rFonts w:ascii="Arial" w:eastAsia="宋体" w:hAnsi="Arial" w:cs="Arial"/>
                <w:color w:val="0068B5"/>
                <w:sz w:val="20"/>
                <w:szCs w:val="20"/>
              </w:rPr>
              <w:t>NSG Operating Income $B</w:t>
            </w:r>
          </w:p>
        </w:tc>
      </w:tr>
    </w:tbl>
    <w:p w14:paraId="5C7C6F8A"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3D" wp14:editId="5C7C7D3E">
            <wp:extent cx="304800" cy="304800"/>
            <wp:effectExtent l="0" t="0" r="0" b="0"/>
            <wp:docPr id="29" name="图片 93"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3" descr="IMG_28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Viewer7_files/intc-20210</w:instrText>
      </w:r>
      <w:r>
        <w:rPr>
          <w:rFonts w:ascii="宋体" w:eastAsia="宋体" w:hAnsi="宋体" w:cs="宋体"/>
        </w:rPr>
        <w:instrText xml:space="preserve">327_g12.jpg"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3F" wp14:editId="5C7C7D40">
            <wp:extent cx="304800" cy="304800"/>
            <wp:effectExtent l="0" t="0" r="0" b="0"/>
            <wp:docPr id="23" name="图片 94"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4" descr="IMG_29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8009C" w14:paraId="5C7C6F8E" w14:textId="77777777">
        <w:tc>
          <w:tcPr>
            <w:tcW w:w="50" w:type="pct"/>
            <w:shd w:val="clear" w:color="auto" w:fill="auto"/>
          </w:tcPr>
          <w:p w14:paraId="5C7C6F8B" w14:textId="77777777" w:rsidR="0008009C" w:rsidRDefault="0008009C">
            <w:pPr>
              <w:rPr>
                <w:rFonts w:ascii="宋体"/>
              </w:rPr>
            </w:pPr>
          </w:p>
        </w:tc>
        <w:tc>
          <w:tcPr>
            <w:tcW w:w="4945" w:type="pct"/>
            <w:shd w:val="clear" w:color="auto" w:fill="auto"/>
          </w:tcPr>
          <w:p w14:paraId="5C7C6F8C" w14:textId="77777777" w:rsidR="0008009C" w:rsidRDefault="0008009C">
            <w:pPr>
              <w:rPr>
                <w:rFonts w:ascii="宋体"/>
              </w:rPr>
            </w:pPr>
          </w:p>
        </w:tc>
        <w:tc>
          <w:tcPr>
            <w:tcW w:w="5" w:type="pct"/>
            <w:shd w:val="clear" w:color="auto" w:fill="auto"/>
          </w:tcPr>
          <w:p w14:paraId="5C7C6F8D" w14:textId="77777777" w:rsidR="0008009C" w:rsidRDefault="0008009C">
            <w:pPr>
              <w:rPr>
                <w:rFonts w:ascii="宋体"/>
              </w:rPr>
            </w:pPr>
          </w:p>
        </w:tc>
      </w:tr>
      <w:tr w:rsidR="0008009C" w14:paraId="5C7C6F90"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F8F" w14:textId="77777777" w:rsidR="0008009C" w:rsidRDefault="00936FDF">
            <w:pPr>
              <w:textAlignment w:val="bottom"/>
            </w:pPr>
            <w:r>
              <w:rPr>
                <w:rFonts w:ascii="Arial" w:eastAsia="宋体" w:hAnsi="Arial" w:cs="Arial"/>
                <w:color w:val="0068B5"/>
                <w:sz w:val="20"/>
                <w:szCs w:val="20"/>
              </w:rPr>
              <w:t>Revenue and Operating Income Summary</w:t>
            </w:r>
          </w:p>
        </w:tc>
      </w:tr>
    </w:tbl>
    <w:p w14:paraId="5C7C6F91"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8009C" w14:paraId="5C7C6F95" w14:textId="77777777">
        <w:tc>
          <w:tcPr>
            <w:tcW w:w="50" w:type="pct"/>
            <w:shd w:val="clear" w:color="auto" w:fill="auto"/>
          </w:tcPr>
          <w:p w14:paraId="5C7C6F92" w14:textId="77777777" w:rsidR="0008009C" w:rsidRDefault="0008009C">
            <w:pPr>
              <w:rPr>
                <w:rFonts w:ascii="宋体"/>
              </w:rPr>
            </w:pPr>
          </w:p>
        </w:tc>
        <w:tc>
          <w:tcPr>
            <w:tcW w:w="4945" w:type="pct"/>
            <w:shd w:val="clear" w:color="auto" w:fill="auto"/>
          </w:tcPr>
          <w:p w14:paraId="5C7C6F93" w14:textId="77777777" w:rsidR="0008009C" w:rsidRDefault="0008009C">
            <w:pPr>
              <w:rPr>
                <w:rFonts w:ascii="宋体"/>
              </w:rPr>
            </w:pPr>
          </w:p>
        </w:tc>
        <w:tc>
          <w:tcPr>
            <w:tcW w:w="5" w:type="pct"/>
            <w:shd w:val="clear" w:color="auto" w:fill="auto"/>
          </w:tcPr>
          <w:p w14:paraId="5C7C6F94" w14:textId="77777777" w:rsidR="0008009C" w:rsidRDefault="0008009C">
            <w:pPr>
              <w:rPr>
                <w:rFonts w:ascii="宋体"/>
              </w:rPr>
            </w:pPr>
          </w:p>
        </w:tc>
      </w:tr>
      <w:tr w:rsidR="0008009C" w14:paraId="5C7C6F97"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F96" w14:textId="77777777" w:rsidR="0008009C" w:rsidRDefault="00936FDF">
            <w:pPr>
              <w:textAlignment w:val="bottom"/>
            </w:pPr>
            <w:r>
              <w:rPr>
                <w:rFonts w:ascii="Arial" w:eastAsia="宋体" w:hAnsi="Arial" w:cs="Arial"/>
                <w:color w:val="0068B5"/>
                <w:sz w:val="20"/>
                <w:szCs w:val="20"/>
              </w:rPr>
              <w:t>Q1 2021 vs. Q1 2020</w:t>
            </w:r>
          </w:p>
        </w:tc>
      </w:tr>
    </w:tbl>
    <w:p w14:paraId="5C7C6F98" w14:textId="77777777" w:rsidR="0008009C" w:rsidRDefault="00936FDF">
      <w:pPr>
        <w:spacing w:after="180"/>
      </w:pPr>
      <w:r>
        <w:rPr>
          <w:rFonts w:ascii="Arial" w:eastAsia="宋体" w:hAnsi="Arial" w:cs="Arial"/>
          <w:color w:val="262626"/>
          <w:sz w:val="18"/>
          <w:szCs w:val="18"/>
        </w:rPr>
        <w:t>NSG delivered revenue of $1.1 billion, down $231 million from Q1 2020, driven by $330 million in ASP decline, as well as the transfer of the Intel Optane memory business to DCG ($97 million in Q1 2020), partially offset by $196 million of higher volume due</w:t>
      </w:r>
      <w:r>
        <w:rPr>
          <w:rFonts w:ascii="Arial" w:eastAsia="宋体" w:hAnsi="Arial" w:cs="Arial"/>
          <w:color w:val="262626"/>
          <w:sz w:val="18"/>
          <w:szCs w:val="18"/>
        </w:rPr>
        <w:t xml:space="preserve"> to strong demand. Operating income was $171 million, up $237 million from an operating loss in Q1 2020 due to continued improvements in unit cost and the transfer of the Intel Optane memory business from Q1 2021 NSG results (a loss of $256 million in Q1 2</w:t>
      </w:r>
      <w:r>
        <w:rPr>
          <w:rFonts w:ascii="Arial" w:eastAsia="宋体" w:hAnsi="Arial" w:cs="Arial"/>
          <w:color w:val="262626"/>
          <w:sz w:val="18"/>
          <w:szCs w:val="18"/>
        </w:rPr>
        <w:t xml:space="preserve">020), partially offset by lower revenue on ASP decline. </w:t>
      </w:r>
    </w:p>
    <w:p w14:paraId="5C7C6F99" w14:textId="77777777" w:rsidR="0008009C" w:rsidRDefault="0008009C">
      <w:pPr>
        <w:spacing w:before="300" w:after="120"/>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08009C" w14:paraId="5C7C6FA3" w14:textId="77777777">
        <w:tc>
          <w:tcPr>
            <w:tcW w:w="50" w:type="pct"/>
            <w:shd w:val="clear" w:color="auto" w:fill="auto"/>
            <w:vAlign w:val="bottom"/>
          </w:tcPr>
          <w:p w14:paraId="5C7C6F9A" w14:textId="77777777" w:rsidR="0008009C" w:rsidRDefault="0008009C">
            <w:pPr>
              <w:rPr>
                <w:rFonts w:ascii="宋体"/>
              </w:rPr>
            </w:pPr>
          </w:p>
        </w:tc>
        <w:tc>
          <w:tcPr>
            <w:tcW w:w="212" w:type="pct"/>
            <w:shd w:val="clear" w:color="auto" w:fill="auto"/>
            <w:vAlign w:val="bottom"/>
          </w:tcPr>
          <w:p w14:paraId="5C7C6F9B" w14:textId="77777777" w:rsidR="0008009C" w:rsidRDefault="0008009C">
            <w:pPr>
              <w:rPr>
                <w:rFonts w:ascii="宋体"/>
              </w:rPr>
            </w:pPr>
          </w:p>
        </w:tc>
        <w:tc>
          <w:tcPr>
            <w:tcW w:w="5" w:type="pct"/>
            <w:shd w:val="clear" w:color="auto" w:fill="auto"/>
            <w:vAlign w:val="bottom"/>
          </w:tcPr>
          <w:p w14:paraId="5C7C6F9C" w14:textId="77777777" w:rsidR="0008009C" w:rsidRDefault="0008009C">
            <w:pPr>
              <w:rPr>
                <w:rFonts w:ascii="宋体"/>
              </w:rPr>
            </w:pPr>
          </w:p>
        </w:tc>
        <w:tc>
          <w:tcPr>
            <w:tcW w:w="50" w:type="pct"/>
            <w:shd w:val="clear" w:color="auto" w:fill="auto"/>
            <w:vAlign w:val="bottom"/>
          </w:tcPr>
          <w:p w14:paraId="5C7C6F9D" w14:textId="77777777" w:rsidR="0008009C" w:rsidRDefault="0008009C">
            <w:pPr>
              <w:rPr>
                <w:rFonts w:ascii="宋体"/>
              </w:rPr>
            </w:pPr>
          </w:p>
        </w:tc>
        <w:tc>
          <w:tcPr>
            <w:tcW w:w="2499" w:type="pct"/>
            <w:shd w:val="clear" w:color="auto" w:fill="auto"/>
            <w:vAlign w:val="bottom"/>
          </w:tcPr>
          <w:p w14:paraId="5C7C6F9E" w14:textId="77777777" w:rsidR="0008009C" w:rsidRDefault="0008009C">
            <w:pPr>
              <w:rPr>
                <w:rFonts w:ascii="宋体"/>
              </w:rPr>
            </w:pPr>
          </w:p>
        </w:tc>
        <w:tc>
          <w:tcPr>
            <w:tcW w:w="5" w:type="pct"/>
            <w:shd w:val="clear" w:color="auto" w:fill="auto"/>
            <w:vAlign w:val="bottom"/>
          </w:tcPr>
          <w:p w14:paraId="5C7C6F9F" w14:textId="77777777" w:rsidR="0008009C" w:rsidRDefault="0008009C">
            <w:pPr>
              <w:rPr>
                <w:rFonts w:ascii="宋体"/>
              </w:rPr>
            </w:pPr>
          </w:p>
        </w:tc>
        <w:tc>
          <w:tcPr>
            <w:tcW w:w="50" w:type="pct"/>
            <w:shd w:val="clear" w:color="auto" w:fill="auto"/>
            <w:vAlign w:val="bottom"/>
          </w:tcPr>
          <w:p w14:paraId="5C7C6FA0" w14:textId="77777777" w:rsidR="0008009C" w:rsidRDefault="0008009C">
            <w:pPr>
              <w:rPr>
                <w:rFonts w:ascii="宋体"/>
              </w:rPr>
            </w:pPr>
          </w:p>
        </w:tc>
        <w:tc>
          <w:tcPr>
            <w:tcW w:w="2122" w:type="pct"/>
            <w:shd w:val="clear" w:color="auto" w:fill="auto"/>
            <w:vAlign w:val="bottom"/>
          </w:tcPr>
          <w:p w14:paraId="5C7C6FA1" w14:textId="77777777" w:rsidR="0008009C" w:rsidRDefault="0008009C">
            <w:pPr>
              <w:rPr>
                <w:rFonts w:ascii="宋体"/>
              </w:rPr>
            </w:pPr>
          </w:p>
        </w:tc>
        <w:tc>
          <w:tcPr>
            <w:tcW w:w="5" w:type="pct"/>
            <w:shd w:val="clear" w:color="auto" w:fill="auto"/>
            <w:vAlign w:val="bottom"/>
          </w:tcPr>
          <w:p w14:paraId="5C7C6FA2" w14:textId="77777777" w:rsidR="0008009C" w:rsidRDefault="0008009C">
            <w:pPr>
              <w:rPr>
                <w:rFonts w:ascii="宋体"/>
              </w:rPr>
            </w:pPr>
          </w:p>
        </w:tc>
      </w:tr>
      <w:tr w:rsidR="0008009C" w14:paraId="5C7C6FA7"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6FA4"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41" wp14:editId="5C7C7D42">
                  <wp:extent cx="304800" cy="304800"/>
                  <wp:effectExtent l="0" t="0" r="0" b="0"/>
                  <wp:docPr id="25" name="图片 95"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5"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FA5" w14:textId="77777777" w:rsidR="0008009C" w:rsidRDefault="00936FDF">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FA6" w14:textId="77777777" w:rsidR="0008009C" w:rsidRDefault="00936FDF">
            <w:pPr>
              <w:jc w:val="right"/>
              <w:textAlignment w:val="center"/>
            </w:pPr>
            <w:r>
              <w:rPr>
                <w:rFonts w:ascii="Arial" w:eastAsia="宋体" w:hAnsi="Arial" w:cs="Arial"/>
                <w:color w:val="262626"/>
                <w:sz w:val="16"/>
                <w:szCs w:val="16"/>
              </w:rPr>
              <w:t>25</w:t>
            </w:r>
          </w:p>
        </w:tc>
      </w:tr>
    </w:tbl>
    <w:p w14:paraId="5C7C6FA8" w14:textId="77777777" w:rsidR="0008009C" w:rsidRDefault="00936FDF">
      <w:r>
        <w:pict w14:anchorId="5C7C7D43">
          <v:rect id="_x0000_i1051" style="width:415.3pt;height:1.5pt" o:hralign="center" o:hrstd="t" o:hr="t" fillcolor="#a0a0a0" stroked="f"/>
        </w:pict>
      </w:r>
    </w:p>
    <w:p w14:paraId="5C7C6FA9" w14:textId="77777777" w:rsidR="0008009C" w:rsidRDefault="00936FDF">
      <w:pPr>
        <w:spacing w:after="180"/>
        <w:jc w:val="right"/>
      </w:pPr>
      <w:hyperlink r:id="rId50" w:anchor="i3a00378f6cc84b1c9cfc83239548ad53_7" w:history="1">
        <w:r>
          <w:rPr>
            <w:rStyle w:val="a5"/>
            <w:rFonts w:ascii="Arial" w:eastAsia="宋体" w:hAnsi="Arial" w:cs="Arial"/>
            <w:b/>
            <w:bCs/>
            <w:sz w:val="16"/>
            <w:szCs w:val="16"/>
          </w:rPr>
          <w:t>Table of Contents</w:t>
        </w:r>
      </w:hyperlink>
    </w:p>
    <w:p w14:paraId="5C7C6FAA" w14:textId="77777777" w:rsidR="0008009C" w:rsidRDefault="0008009C">
      <w:pPr>
        <w:spacing w:after="180"/>
        <w:jc w:val="right"/>
      </w:pPr>
    </w:p>
    <w:p w14:paraId="5C7C6FAB" w14:textId="77777777" w:rsidR="0008009C" w:rsidRDefault="00936FDF">
      <w:pPr>
        <w:spacing w:after="180"/>
      </w:pPr>
      <w:r>
        <w:rPr>
          <w:rFonts w:ascii="Arial" w:eastAsia="宋体" w:hAnsi="Arial" w:cs="Arial"/>
          <w:color w:val="0068B5"/>
          <w:sz w:val="28"/>
          <w:szCs w:val="28"/>
        </w:rPr>
        <w:t>Programmable Solutions Group</w:t>
      </w:r>
    </w:p>
    <w:p w14:paraId="5C7C6FAC" w14:textId="77777777" w:rsidR="0008009C" w:rsidRDefault="00936FDF">
      <w:pPr>
        <w:spacing w:after="180"/>
      </w:pPr>
      <w:r>
        <w:rPr>
          <w:rFonts w:ascii="Arial" w:eastAsia="宋体" w:hAnsi="Arial" w:cs="Arial"/>
          <w:color w:val="262626"/>
          <w:sz w:val="18"/>
          <w:szCs w:val="18"/>
        </w:rPr>
        <w:t xml:space="preserve">PSG offers programmable semiconductors, primarily FPGAs, structured ASICs, and related products, for a broad range of applications across our </w:t>
      </w:r>
      <w:r>
        <w:rPr>
          <w:rFonts w:ascii="Arial" w:eastAsia="宋体" w:hAnsi="Arial" w:cs="Arial"/>
          <w:color w:val="262626"/>
          <w:sz w:val="18"/>
          <w:szCs w:val="18"/>
        </w:rPr>
        <w:t>embedded, communications, and cloud and enterprise market segments. Our product portfolio delivers FPGA acceleration in tandem with Intel microprocessors, which enables us to combine the benefits of our broad portfolio of technologies to allow more flexibi</w:t>
      </w:r>
      <w:r>
        <w:rPr>
          <w:rFonts w:ascii="Arial" w:eastAsia="宋体" w:hAnsi="Arial" w:cs="Arial"/>
          <w:color w:val="262626"/>
          <w:sz w:val="18"/>
          <w:szCs w:val="18"/>
        </w:rPr>
        <w:t>lity for systems to operate with increased efficiency and higher performance.</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08009C" w14:paraId="5C7C6FB9" w14:textId="77777777">
        <w:tc>
          <w:tcPr>
            <w:tcW w:w="20" w:type="dxa"/>
            <w:shd w:val="clear" w:color="auto" w:fill="auto"/>
          </w:tcPr>
          <w:p w14:paraId="5C7C6FAD" w14:textId="77777777" w:rsidR="0008009C" w:rsidRDefault="0008009C">
            <w:pPr>
              <w:rPr>
                <w:rFonts w:ascii="宋体"/>
              </w:rPr>
            </w:pPr>
          </w:p>
        </w:tc>
        <w:tc>
          <w:tcPr>
            <w:tcW w:w="80" w:type="dxa"/>
            <w:shd w:val="clear" w:color="auto" w:fill="auto"/>
          </w:tcPr>
          <w:p w14:paraId="5C7C6FAE" w14:textId="77777777" w:rsidR="0008009C" w:rsidRDefault="0008009C">
            <w:pPr>
              <w:rPr>
                <w:rFonts w:ascii="宋体"/>
              </w:rPr>
            </w:pPr>
          </w:p>
        </w:tc>
        <w:tc>
          <w:tcPr>
            <w:tcW w:w="20" w:type="dxa"/>
            <w:shd w:val="clear" w:color="auto" w:fill="auto"/>
          </w:tcPr>
          <w:p w14:paraId="5C7C6FAF" w14:textId="77777777" w:rsidR="0008009C" w:rsidRDefault="0008009C">
            <w:pPr>
              <w:rPr>
                <w:rFonts w:ascii="宋体"/>
              </w:rPr>
            </w:pPr>
          </w:p>
        </w:tc>
        <w:tc>
          <w:tcPr>
            <w:tcW w:w="20" w:type="dxa"/>
            <w:shd w:val="clear" w:color="auto" w:fill="auto"/>
          </w:tcPr>
          <w:p w14:paraId="5C7C6FB0" w14:textId="77777777" w:rsidR="0008009C" w:rsidRDefault="0008009C">
            <w:pPr>
              <w:rPr>
                <w:rFonts w:ascii="宋体"/>
              </w:rPr>
            </w:pPr>
          </w:p>
        </w:tc>
        <w:tc>
          <w:tcPr>
            <w:tcW w:w="5165" w:type="dxa"/>
            <w:shd w:val="clear" w:color="auto" w:fill="auto"/>
          </w:tcPr>
          <w:p w14:paraId="5C7C6FB1" w14:textId="77777777" w:rsidR="0008009C" w:rsidRDefault="0008009C">
            <w:pPr>
              <w:rPr>
                <w:rFonts w:ascii="宋体"/>
              </w:rPr>
            </w:pPr>
          </w:p>
        </w:tc>
        <w:tc>
          <w:tcPr>
            <w:tcW w:w="20" w:type="dxa"/>
            <w:shd w:val="clear" w:color="auto" w:fill="auto"/>
          </w:tcPr>
          <w:p w14:paraId="5C7C6FB2" w14:textId="77777777" w:rsidR="0008009C" w:rsidRDefault="0008009C">
            <w:pPr>
              <w:rPr>
                <w:rFonts w:ascii="宋体"/>
              </w:rPr>
            </w:pPr>
          </w:p>
        </w:tc>
        <w:tc>
          <w:tcPr>
            <w:tcW w:w="20" w:type="dxa"/>
            <w:shd w:val="clear" w:color="auto" w:fill="auto"/>
          </w:tcPr>
          <w:p w14:paraId="5C7C6FB3" w14:textId="77777777" w:rsidR="0008009C" w:rsidRDefault="0008009C">
            <w:pPr>
              <w:rPr>
                <w:rFonts w:ascii="宋体"/>
              </w:rPr>
            </w:pPr>
          </w:p>
        </w:tc>
        <w:tc>
          <w:tcPr>
            <w:tcW w:w="260" w:type="dxa"/>
            <w:shd w:val="clear" w:color="auto" w:fill="auto"/>
          </w:tcPr>
          <w:p w14:paraId="5C7C6FB4" w14:textId="77777777" w:rsidR="0008009C" w:rsidRDefault="0008009C">
            <w:pPr>
              <w:rPr>
                <w:rFonts w:ascii="宋体"/>
              </w:rPr>
            </w:pPr>
          </w:p>
        </w:tc>
        <w:tc>
          <w:tcPr>
            <w:tcW w:w="20" w:type="dxa"/>
            <w:shd w:val="clear" w:color="auto" w:fill="auto"/>
          </w:tcPr>
          <w:p w14:paraId="5C7C6FB5" w14:textId="77777777" w:rsidR="0008009C" w:rsidRDefault="0008009C">
            <w:pPr>
              <w:rPr>
                <w:rFonts w:ascii="宋体"/>
              </w:rPr>
            </w:pPr>
          </w:p>
        </w:tc>
        <w:tc>
          <w:tcPr>
            <w:tcW w:w="20" w:type="dxa"/>
            <w:shd w:val="clear" w:color="auto" w:fill="auto"/>
          </w:tcPr>
          <w:p w14:paraId="5C7C6FB6" w14:textId="77777777" w:rsidR="0008009C" w:rsidRDefault="0008009C">
            <w:pPr>
              <w:rPr>
                <w:rFonts w:ascii="宋体"/>
              </w:rPr>
            </w:pPr>
          </w:p>
        </w:tc>
        <w:tc>
          <w:tcPr>
            <w:tcW w:w="5165" w:type="dxa"/>
            <w:shd w:val="clear" w:color="auto" w:fill="auto"/>
          </w:tcPr>
          <w:p w14:paraId="5C7C6FB7" w14:textId="77777777" w:rsidR="0008009C" w:rsidRDefault="0008009C">
            <w:pPr>
              <w:rPr>
                <w:rFonts w:ascii="宋体"/>
              </w:rPr>
            </w:pPr>
          </w:p>
        </w:tc>
        <w:tc>
          <w:tcPr>
            <w:tcW w:w="20" w:type="dxa"/>
            <w:shd w:val="clear" w:color="auto" w:fill="auto"/>
          </w:tcPr>
          <w:p w14:paraId="5C7C6FB8" w14:textId="77777777" w:rsidR="0008009C" w:rsidRDefault="0008009C">
            <w:pPr>
              <w:rPr>
                <w:rFonts w:ascii="宋体"/>
              </w:rPr>
            </w:pPr>
          </w:p>
        </w:tc>
      </w:tr>
      <w:tr w:rsidR="0008009C" w14:paraId="5C7C6FBE" w14:textId="77777777">
        <w:trPr>
          <w:trHeight w:val="300"/>
        </w:trPr>
        <w:tc>
          <w:tcPr>
            <w:tcW w:w="0" w:type="auto"/>
            <w:gridSpan w:val="3"/>
            <w:shd w:val="clear" w:color="auto" w:fill="auto"/>
            <w:tcMar>
              <w:top w:w="0" w:type="dxa"/>
              <w:left w:w="20" w:type="dxa"/>
              <w:bottom w:w="0" w:type="dxa"/>
              <w:right w:w="20" w:type="dxa"/>
            </w:tcMar>
          </w:tcPr>
          <w:p w14:paraId="5C7C6FBA" w14:textId="77777777" w:rsidR="0008009C" w:rsidRDefault="0008009C">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FBB" w14:textId="77777777" w:rsidR="0008009C" w:rsidRDefault="00936FDF">
            <w:pPr>
              <w:jc w:val="center"/>
              <w:textAlignment w:val="bottom"/>
            </w:pPr>
            <w:r>
              <w:rPr>
                <w:rFonts w:ascii="Arial" w:eastAsia="宋体" w:hAnsi="Arial" w:cs="Arial"/>
                <w:color w:val="0068B5"/>
                <w:sz w:val="20"/>
                <w:szCs w:val="20"/>
              </w:rPr>
              <w:t>PSG Revenue $B</w:t>
            </w:r>
          </w:p>
        </w:tc>
        <w:tc>
          <w:tcPr>
            <w:tcW w:w="0" w:type="auto"/>
            <w:gridSpan w:val="3"/>
            <w:shd w:val="clear" w:color="auto" w:fill="auto"/>
            <w:tcMar>
              <w:top w:w="0" w:type="dxa"/>
              <w:left w:w="20" w:type="dxa"/>
              <w:bottom w:w="0" w:type="dxa"/>
              <w:right w:w="20" w:type="dxa"/>
            </w:tcMar>
          </w:tcPr>
          <w:p w14:paraId="5C7C6FBC" w14:textId="77777777" w:rsidR="0008009C" w:rsidRDefault="0008009C">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FBD" w14:textId="77777777" w:rsidR="0008009C" w:rsidRDefault="00936FDF">
            <w:pPr>
              <w:jc w:val="center"/>
              <w:textAlignment w:val="bottom"/>
            </w:pPr>
            <w:r>
              <w:rPr>
                <w:rFonts w:ascii="Arial" w:eastAsia="宋体" w:hAnsi="Arial" w:cs="Arial"/>
                <w:color w:val="0068B5"/>
                <w:sz w:val="20"/>
                <w:szCs w:val="20"/>
              </w:rPr>
              <w:t>PSG Operating Income $B</w:t>
            </w:r>
          </w:p>
        </w:tc>
      </w:tr>
    </w:tbl>
    <w:p w14:paraId="5C7C6FBF"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44" wp14:editId="5C7C7D45">
            <wp:extent cx="304800" cy="304800"/>
            <wp:effectExtent l="0" t="0" r="0" b="0"/>
            <wp:docPr id="24" name="图片 9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descr="IMG_29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Viewer7_files/intc-20210</w:instrText>
      </w:r>
      <w:r>
        <w:rPr>
          <w:rFonts w:ascii="宋体" w:eastAsia="宋体" w:hAnsi="宋体" w:cs="宋体"/>
        </w:rPr>
        <w:instrText xml:space="preserve">327_g14.jpg"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46" wp14:editId="5C7C7D47">
            <wp:extent cx="304800" cy="304800"/>
            <wp:effectExtent l="0" t="0" r="0" b="0"/>
            <wp:docPr id="44" name="图片 9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8" descr="IMG_29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8009C" w14:paraId="5C7C6FC3" w14:textId="77777777">
        <w:tc>
          <w:tcPr>
            <w:tcW w:w="50" w:type="pct"/>
            <w:shd w:val="clear" w:color="auto" w:fill="auto"/>
          </w:tcPr>
          <w:p w14:paraId="5C7C6FC0" w14:textId="77777777" w:rsidR="0008009C" w:rsidRDefault="0008009C">
            <w:pPr>
              <w:rPr>
                <w:rFonts w:ascii="宋体"/>
              </w:rPr>
            </w:pPr>
          </w:p>
        </w:tc>
        <w:tc>
          <w:tcPr>
            <w:tcW w:w="4945" w:type="pct"/>
            <w:shd w:val="clear" w:color="auto" w:fill="auto"/>
          </w:tcPr>
          <w:p w14:paraId="5C7C6FC1" w14:textId="77777777" w:rsidR="0008009C" w:rsidRDefault="0008009C">
            <w:pPr>
              <w:rPr>
                <w:rFonts w:ascii="宋体"/>
              </w:rPr>
            </w:pPr>
          </w:p>
        </w:tc>
        <w:tc>
          <w:tcPr>
            <w:tcW w:w="5" w:type="pct"/>
            <w:shd w:val="clear" w:color="auto" w:fill="auto"/>
          </w:tcPr>
          <w:p w14:paraId="5C7C6FC2" w14:textId="77777777" w:rsidR="0008009C" w:rsidRDefault="0008009C">
            <w:pPr>
              <w:rPr>
                <w:rFonts w:ascii="宋体"/>
              </w:rPr>
            </w:pPr>
          </w:p>
        </w:tc>
      </w:tr>
      <w:tr w:rsidR="0008009C" w14:paraId="5C7C6FC5"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FC4" w14:textId="77777777" w:rsidR="0008009C" w:rsidRDefault="00936FDF">
            <w:pPr>
              <w:textAlignment w:val="bottom"/>
            </w:pPr>
            <w:r>
              <w:rPr>
                <w:rFonts w:ascii="Arial" w:eastAsia="宋体" w:hAnsi="Arial" w:cs="Arial"/>
                <w:color w:val="0068B5"/>
                <w:sz w:val="20"/>
                <w:szCs w:val="20"/>
              </w:rPr>
              <w:t>Revenue and Operating Income Summary</w:t>
            </w:r>
          </w:p>
        </w:tc>
      </w:tr>
    </w:tbl>
    <w:p w14:paraId="5C7C6FC6"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8009C" w14:paraId="5C7C6FCA" w14:textId="77777777">
        <w:tc>
          <w:tcPr>
            <w:tcW w:w="50" w:type="pct"/>
            <w:shd w:val="clear" w:color="auto" w:fill="auto"/>
          </w:tcPr>
          <w:p w14:paraId="5C7C6FC7" w14:textId="77777777" w:rsidR="0008009C" w:rsidRDefault="0008009C">
            <w:pPr>
              <w:rPr>
                <w:rFonts w:ascii="宋体"/>
              </w:rPr>
            </w:pPr>
          </w:p>
        </w:tc>
        <w:tc>
          <w:tcPr>
            <w:tcW w:w="4945" w:type="pct"/>
            <w:shd w:val="clear" w:color="auto" w:fill="auto"/>
          </w:tcPr>
          <w:p w14:paraId="5C7C6FC8" w14:textId="77777777" w:rsidR="0008009C" w:rsidRDefault="0008009C">
            <w:pPr>
              <w:rPr>
                <w:rFonts w:ascii="宋体"/>
              </w:rPr>
            </w:pPr>
          </w:p>
        </w:tc>
        <w:tc>
          <w:tcPr>
            <w:tcW w:w="5" w:type="pct"/>
            <w:shd w:val="clear" w:color="auto" w:fill="auto"/>
          </w:tcPr>
          <w:p w14:paraId="5C7C6FC9" w14:textId="77777777" w:rsidR="0008009C" w:rsidRDefault="0008009C">
            <w:pPr>
              <w:rPr>
                <w:rFonts w:ascii="宋体"/>
              </w:rPr>
            </w:pPr>
          </w:p>
        </w:tc>
      </w:tr>
      <w:tr w:rsidR="0008009C" w14:paraId="5C7C6FCC"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FCB" w14:textId="77777777" w:rsidR="0008009C" w:rsidRDefault="00936FDF">
            <w:pPr>
              <w:textAlignment w:val="bottom"/>
            </w:pPr>
            <w:r>
              <w:rPr>
                <w:rFonts w:ascii="Arial" w:eastAsia="宋体" w:hAnsi="Arial" w:cs="Arial"/>
                <w:color w:val="0068B5"/>
                <w:sz w:val="20"/>
                <w:szCs w:val="20"/>
              </w:rPr>
              <w:t>Q1 2021 vs. Q1 2020</w:t>
            </w:r>
          </w:p>
        </w:tc>
      </w:tr>
    </w:tbl>
    <w:p w14:paraId="5C7C6FCD" w14:textId="77777777" w:rsidR="0008009C" w:rsidRDefault="00936FDF">
      <w:pPr>
        <w:spacing w:before="120" w:after="180"/>
      </w:pPr>
      <w:r>
        <w:rPr>
          <w:rFonts w:ascii="Arial" w:eastAsia="宋体" w:hAnsi="Arial" w:cs="Arial"/>
          <w:color w:val="262626"/>
          <w:sz w:val="18"/>
          <w:szCs w:val="18"/>
        </w:rPr>
        <w:t xml:space="preserve">Revenue was $486 million, down $33 million due to digestion in the cloud and enterprise market segment, partially offset by growth in the communications market segment. Operating income was $88 million, down $9 million. </w:t>
      </w:r>
    </w:p>
    <w:p w14:paraId="5C7C6FCE" w14:textId="77777777" w:rsidR="0008009C" w:rsidRDefault="0008009C">
      <w:pPr>
        <w:spacing w:before="300" w:after="180"/>
      </w:pPr>
    </w:p>
    <w:p w14:paraId="5C7C6FCF" w14:textId="77777777" w:rsidR="0008009C" w:rsidRDefault="0008009C">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08009C" w14:paraId="5C7C6FD9" w14:textId="77777777">
        <w:tc>
          <w:tcPr>
            <w:tcW w:w="50" w:type="pct"/>
            <w:shd w:val="clear" w:color="auto" w:fill="auto"/>
            <w:vAlign w:val="bottom"/>
          </w:tcPr>
          <w:p w14:paraId="5C7C6FD0" w14:textId="77777777" w:rsidR="0008009C" w:rsidRDefault="0008009C">
            <w:pPr>
              <w:rPr>
                <w:rFonts w:ascii="宋体"/>
              </w:rPr>
            </w:pPr>
          </w:p>
        </w:tc>
        <w:tc>
          <w:tcPr>
            <w:tcW w:w="212" w:type="pct"/>
            <w:shd w:val="clear" w:color="auto" w:fill="auto"/>
            <w:vAlign w:val="bottom"/>
          </w:tcPr>
          <w:p w14:paraId="5C7C6FD1" w14:textId="77777777" w:rsidR="0008009C" w:rsidRDefault="0008009C">
            <w:pPr>
              <w:rPr>
                <w:rFonts w:ascii="宋体"/>
              </w:rPr>
            </w:pPr>
          </w:p>
        </w:tc>
        <w:tc>
          <w:tcPr>
            <w:tcW w:w="5" w:type="pct"/>
            <w:shd w:val="clear" w:color="auto" w:fill="auto"/>
            <w:vAlign w:val="bottom"/>
          </w:tcPr>
          <w:p w14:paraId="5C7C6FD2" w14:textId="77777777" w:rsidR="0008009C" w:rsidRDefault="0008009C">
            <w:pPr>
              <w:rPr>
                <w:rFonts w:ascii="宋体"/>
              </w:rPr>
            </w:pPr>
          </w:p>
        </w:tc>
        <w:tc>
          <w:tcPr>
            <w:tcW w:w="50" w:type="pct"/>
            <w:shd w:val="clear" w:color="auto" w:fill="auto"/>
            <w:vAlign w:val="bottom"/>
          </w:tcPr>
          <w:p w14:paraId="5C7C6FD3" w14:textId="77777777" w:rsidR="0008009C" w:rsidRDefault="0008009C">
            <w:pPr>
              <w:rPr>
                <w:rFonts w:ascii="宋体"/>
              </w:rPr>
            </w:pPr>
          </w:p>
        </w:tc>
        <w:tc>
          <w:tcPr>
            <w:tcW w:w="2499" w:type="pct"/>
            <w:shd w:val="clear" w:color="auto" w:fill="auto"/>
            <w:vAlign w:val="bottom"/>
          </w:tcPr>
          <w:p w14:paraId="5C7C6FD4" w14:textId="77777777" w:rsidR="0008009C" w:rsidRDefault="0008009C">
            <w:pPr>
              <w:rPr>
                <w:rFonts w:ascii="宋体"/>
              </w:rPr>
            </w:pPr>
          </w:p>
        </w:tc>
        <w:tc>
          <w:tcPr>
            <w:tcW w:w="5" w:type="pct"/>
            <w:shd w:val="clear" w:color="auto" w:fill="auto"/>
            <w:vAlign w:val="bottom"/>
          </w:tcPr>
          <w:p w14:paraId="5C7C6FD5" w14:textId="77777777" w:rsidR="0008009C" w:rsidRDefault="0008009C">
            <w:pPr>
              <w:rPr>
                <w:rFonts w:ascii="宋体"/>
              </w:rPr>
            </w:pPr>
          </w:p>
        </w:tc>
        <w:tc>
          <w:tcPr>
            <w:tcW w:w="50" w:type="pct"/>
            <w:shd w:val="clear" w:color="auto" w:fill="auto"/>
            <w:vAlign w:val="bottom"/>
          </w:tcPr>
          <w:p w14:paraId="5C7C6FD6" w14:textId="77777777" w:rsidR="0008009C" w:rsidRDefault="0008009C">
            <w:pPr>
              <w:rPr>
                <w:rFonts w:ascii="宋体"/>
              </w:rPr>
            </w:pPr>
          </w:p>
        </w:tc>
        <w:tc>
          <w:tcPr>
            <w:tcW w:w="2122" w:type="pct"/>
            <w:shd w:val="clear" w:color="auto" w:fill="auto"/>
            <w:vAlign w:val="bottom"/>
          </w:tcPr>
          <w:p w14:paraId="5C7C6FD7" w14:textId="77777777" w:rsidR="0008009C" w:rsidRDefault="0008009C">
            <w:pPr>
              <w:rPr>
                <w:rFonts w:ascii="宋体"/>
              </w:rPr>
            </w:pPr>
          </w:p>
        </w:tc>
        <w:tc>
          <w:tcPr>
            <w:tcW w:w="5" w:type="pct"/>
            <w:shd w:val="clear" w:color="auto" w:fill="auto"/>
            <w:vAlign w:val="bottom"/>
          </w:tcPr>
          <w:p w14:paraId="5C7C6FD8" w14:textId="77777777" w:rsidR="0008009C" w:rsidRDefault="0008009C">
            <w:pPr>
              <w:rPr>
                <w:rFonts w:ascii="宋体"/>
              </w:rPr>
            </w:pPr>
          </w:p>
        </w:tc>
      </w:tr>
      <w:tr w:rsidR="0008009C" w14:paraId="5C7C6FDD"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6FDA"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48" wp14:editId="5C7C7D49">
                  <wp:extent cx="304800" cy="304800"/>
                  <wp:effectExtent l="0" t="0" r="0" b="0"/>
                  <wp:docPr id="46" name="图片 99"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9"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FDB" w14:textId="77777777" w:rsidR="0008009C" w:rsidRDefault="00936FDF">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6FDC" w14:textId="77777777" w:rsidR="0008009C" w:rsidRDefault="00936FDF">
            <w:pPr>
              <w:jc w:val="right"/>
              <w:textAlignment w:val="center"/>
            </w:pPr>
            <w:r>
              <w:rPr>
                <w:rFonts w:ascii="Arial" w:eastAsia="宋体" w:hAnsi="Arial" w:cs="Arial"/>
                <w:color w:val="262626"/>
                <w:sz w:val="16"/>
                <w:szCs w:val="16"/>
              </w:rPr>
              <w:t>26</w:t>
            </w:r>
          </w:p>
        </w:tc>
      </w:tr>
    </w:tbl>
    <w:p w14:paraId="5C7C6FDE" w14:textId="77777777" w:rsidR="0008009C" w:rsidRDefault="00936FDF">
      <w:r>
        <w:pict w14:anchorId="5C7C7D4A">
          <v:rect id="_x0000_i1052" style="width:415.3pt;height:1.5pt" o:hralign="center" o:hrstd="t" o:hr="t" fillcolor="#a0a0a0" stroked="f"/>
        </w:pict>
      </w:r>
    </w:p>
    <w:p w14:paraId="5C7C6FDF" w14:textId="77777777" w:rsidR="0008009C" w:rsidRDefault="00936FDF">
      <w:pPr>
        <w:spacing w:after="180"/>
        <w:jc w:val="right"/>
      </w:pPr>
      <w:hyperlink r:id="rId51" w:anchor="i3a00378f6cc84b1c9cfc83239548ad53_7" w:history="1">
        <w:r>
          <w:rPr>
            <w:rStyle w:val="a5"/>
            <w:rFonts w:ascii="Arial" w:eastAsia="宋体" w:hAnsi="Arial" w:cs="Arial"/>
            <w:b/>
            <w:bCs/>
            <w:sz w:val="16"/>
            <w:szCs w:val="16"/>
          </w:rPr>
          <w:t>Table of Contents</w:t>
        </w:r>
      </w:hyperlink>
    </w:p>
    <w:p w14:paraId="5C7C6FE0" w14:textId="77777777" w:rsidR="0008009C" w:rsidRDefault="0008009C">
      <w:pPr>
        <w:spacing w:after="180"/>
        <w:jc w:val="right"/>
      </w:pPr>
    </w:p>
    <w:p w14:paraId="5C7C6FE1" w14:textId="77777777" w:rsidR="0008009C" w:rsidRDefault="00936FDF">
      <w:pPr>
        <w:spacing w:after="180"/>
      </w:pPr>
      <w:r>
        <w:rPr>
          <w:rFonts w:ascii="Arial" w:eastAsia="宋体" w:hAnsi="Arial" w:cs="Arial"/>
          <w:color w:val="0068B5"/>
          <w:sz w:val="28"/>
          <w:szCs w:val="28"/>
        </w:rPr>
        <w:t>Client Computing Group</w:t>
      </w:r>
    </w:p>
    <w:p w14:paraId="5C7C6FE2" w14:textId="77777777" w:rsidR="0008009C" w:rsidRDefault="00936FDF">
      <w:pPr>
        <w:spacing w:after="180"/>
      </w:pPr>
      <w:r>
        <w:rPr>
          <w:rFonts w:ascii="Arial" w:eastAsia="宋体" w:hAnsi="Arial" w:cs="Arial"/>
          <w:color w:val="262626"/>
          <w:sz w:val="18"/>
          <w:szCs w:val="18"/>
        </w:rPr>
        <w:t>The PC is more essential than ever, enriching lives by helpin</w:t>
      </w:r>
      <w:r>
        <w:rPr>
          <w:rFonts w:ascii="Arial" w:eastAsia="宋体" w:hAnsi="Arial" w:cs="Arial"/>
          <w:color w:val="262626"/>
          <w:sz w:val="18"/>
          <w:szCs w:val="18"/>
        </w:rPr>
        <w:t>g people focus, create, and connect with friends, family, and coworkers around the world. Working with our partners across the industry, we intend to continue to advance PC experiences. As the largest business unit at Intel, CCG is investing more heavily i</w:t>
      </w:r>
      <w:r>
        <w:rPr>
          <w:rFonts w:ascii="Arial" w:eastAsia="宋体" w:hAnsi="Arial" w:cs="Arial"/>
          <w:color w:val="262626"/>
          <w:sz w:val="18"/>
          <w:szCs w:val="18"/>
        </w:rPr>
        <w:t>n the PC, ramping its capabilities even more aggressively, and designing the PC experience even more deliberately, including delivering a predictable cadence of leadership products. As a result, we are able to fuel innovation across Intel, providing an imp</w:t>
      </w:r>
      <w:r>
        <w:rPr>
          <w:rFonts w:ascii="Arial" w:eastAsia="宋体" w:hAnsi="Arial" w:cs="Arial"/>
          <w:color w:val="262626"/>
          <w:sz w:val="18"/>
          <w:szCs w:val="18"/>
        </w:rPr>
        <w:t>ortant source of IP, scale, and cash flow.</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08009C" w14:paraId="5C7C6FEF" w14:textId="77777777">
        <w:tc>
          <w:tcPr>
            <w:tcW w:w="20" w:type="dxa"/>
            <w:shd w:val="clear" w:color="auto" w:fill="auto"/>
          </w:tcPr>
          <w:p w14:paraId="5C7C6FE3" w14:textId="77777777" w:rsidR="0008009C" w:rsidRDefault="0008009C">
            <w:pPr>
              <w:rPr>
                <w:rFonts w:ascii="宋体"/>
              </w:rPr>
            </w:pPr>
          </w:p>
        </w:tc>
        <w:tc>
          <w:tcPr>
            <w:tcW w:w="80" w:type="dxa"/>
            <w:shd w:val="clear" w:color="auto" w:fill="auto"/>
          </w:tcPr>
          <w:p w14:paraId="5C7C6FE4" w14:textId="77777777" w:rsidR="0008009C" w:rsidRDefault="0008009C">
            <w:pPr>
              <w:rPr>
                <w:rFonts w:ascii="宋体"/>
              </w:rPr>
            </w:pPr>
          </w:p>
        </w:tc>
        <w:tc>
          <w:tcPr>
            <w:tcW w:w="20" w:type="dxa"/>
            <w:shd w:val="clear" w:color="auto" w:fill="auto"/>
          </w:tcPr>
          <w:p w14:paraId="5C7C6FE5" w14:textId="77777777" w:rsidR="0008009C" w:rsidRDefault="0008009C">
            <w:pPr>
              <w:rPr>
                <w:rFonts w:ascii="宋体"/>
              </w:rPr>
            </w:pPr>
          </w:p>
        </w:tc>
        <w:tc>
          <w:tcPr>
            <w:tcW w:w="20" w:type="dxa"/>
            <w:shd w:val="clear" w:color="auto" w:fill="auto"/>
          </w:tcPr>
          <w:p w14:paraId="5C7C6FE6" w14:textId="77777777" w:rsidR="0008009C" w:rsidRDefault="0008009C">
            <w:pPr>
              <w:rPr>
                <w:rFonts w:ascii="宋体"/>
              </w:rPr>
            </w:pPr>
          </w:p>
        </w:tc>
        <w:tc>
          <w:tcPr>
            <w:tcW w:w="5165" w:type="dxa"/>
            <w:shd w:val="clear" w:color="auto" w:fill="auto"/>
          </w:tcPr>
          <w:p w14:paraId="5C7C6FE7" w14:textId="77777777" w:rsidR="0008009C" w:rsidRDefault="0008009C">
            <w:pPr>
              <w:rPr>
                <w:rFonts w:ascii="宋体"/>
              </w:rPr>
            </w:pPr>
          </w:p>
        </w:tc>
        <w:tc>
          <w:tcPr>
            <w:tcW w:w="20" w:type="dxa"/>
            <w:shd w:val="clear" w:color="auto" w:fill="auto"/>
          </w:tcPr>
          <w:p w14:paraId="5C7C6FE8" w14:textId="77777777" w:rsidR="0008009C" w:rsidRDefault="0008009C">
            <w:pPr>
              <w:rPr>
                <w:rFonts w:ascii="宋体"/>
              </w:rPr>
            </w:pPr>
          </w:p>
        </w:tc>
        <w:tc>
          <w:tcPr>
            <w:tcW w:w="20" w:type="dxa"/>
            <w:shd w:val="clear" w:color="auto" w:fill="auto"/>
          </w:tcPr>
          <w:p w14:paraId="5C7C6FE9" w14:textId="77777777" w:rsidR="0008009C" w:rsidRDefault="0008009C">
            <w:pPr>
              <w:rPr>
                <w:rFonts w:ascii="宋体"/>
              </w:rPr>
            </w:pPr>
          </w:p>
        </w:tc>
        <w:tc>
          <w:tcPr>
            <w:tcW w:w="260" w:type="dxa"/>
            <w:shd w:val="clear" w:color="auto" w:fill="auto"/>
          </w:tcPr>
          <w:p w14:paraId="5C7C6FEA" w14:textId="77777777" w:rsidR="0008009C" w:rsidRDefault="0008009C">
            <w:pPr>
              <w:rPr>
                <w:rFonts w:ascii="宋体"/>
              </w:rPr>
            </w:pPr>
          </w:p>
        </w:tc>
        <w:tc>
          <w:tcPr>
            <w:tcW w:w="20" w:type="dxa"/>
            <w:shd w:val="clear" w:color="auto" w:fill="auto"/>
          </w:tcPr>
          <w:p w14:paraId="5C7C6FEB" w14:textId="77777777" w:rsidR="0008009C" w:rsidRDefault="0008009C">
            <w:pPr>
              <w:rPr>
                <w:rFonts w:ascii="宋体"/>
              </w:rPr>
            </w:pPr>
          </w:p>
        </w:tc>
        <w:tc>
          <w:tcPr>
            <w:tcW w:w="20" w:type="dxa"/>
            <w:shd w:val="clear" w:color="auto" w:fill="auto"/>
          </w:tcPr>
          <w:p w14:paraId="5C7C6FEC" w14:textId="77777777" w:rsidR="0008009C" w:rsidRDefault="0008009C">
            <w:pPr>
              <w:rPr>
                <w:rFonts w:ascii="宋体"/>
              </w:rPr>
            </w:pPr>
          </w:p>
        </w:tc>
        <w:tc>
          <w:tcPr>
            <w:tcW w:w="5165" w:type="dxa"/>
            <w:shd w:val="clear" w:color="auto" w:fill="auto"/>
          </w:tcPr>
          <w:p w14:paraId="5C7C6FED" w14:textId="77777777" w:rsidR="0008009C" w:rsidRDefault="0008009C">
            <w:pPr>
              <w:rPr>
                <w:rFonts w:ascii="宋体"/>
              </w:rPr>
            </w:pPr>
          </w:p>
        </w:tc>
        <w:tc>
          <w:tcPr>
            <w:tcW w:w="20" w:type="dxa"/>
            <w:shd w:val="clear" w:color="auto" w:fill="auto"/>
          </w:tcPr>
          <w:p w14:paraId="5C7C6FEE" w14:textId="77777777" w:rsidR="0008009C" w:rsidRDefault="0008009C">
            <w:pPr>
              <w:rPr>
                <w:rFonts w:ascii="宋体"/>
              </w:rPr>
            </w:pPr>
          </w:p>
        </w:tc>
      </w:tr>
      <w:tr w:rsidR="0008009C" w14:paraId="5C7C6FF4" w14:textId="77777777">
        <w:trPr>
          <w:trHeight w:val="280"/>
        </w:trPr>
        <w:tc>
          <w:tcPr>
            <w:tcW w:w="0" w:type="auto"/>
            <w:gridSpan w:val="3"/>
            <w:shd w:val="clear" w:color="auto" w:fill="auto"/>
            <w:tcMar>
              <w:top w:w="0" w:type="dxa"/>
              <w:left w:w="20" w:type="dxa"/>
              <w:bottom w:w="0" w:type="dxa"/>
              <w:right w:w="20" w:type="dxa"/>
            </w:tcMar>
          </w:tcPr>
          <w:p w14:paraId="5C7C6FF0" w14:textId="77777777" w:rsidR="0008009C" w:rsidRDefault="0008009C">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FF1" w14:textId="77777777" w:rsidR="0008009C" w:rsidRDefault="00936FDF">
            <w:pPr>
              <w:jc w:val="center"/>
              <w:textAlignment w:val="bottom"/>
            </w:pPr>
            <w:r>
              <w:rPr>
                <w:rFonts w:ascii="Arial" w:eastAsia="宋体" w:hAnsi="Arial" w:cs="Arial"/>
                <w:color w:val="0068B5"/>
                <w:sz w:val="20"/>
                <w:szCs w:val="20"/>
              </w:rPr>
              <w:t>CCG Revenue $B</w:t>
            </w:r>
          </w:p>
        </w:tc>
        <w:tc>
          <w:tcPr>
            <w:tcW w:w="0" w:type="auto"/>
            <w:gridSpan w:val="3"/>
            <w:shd w:val="clear" w:color="auto" w:fill="auto"/>
            <w:tcMar>
              <w:top w:w="0" w:type="dxa"/>
              <w:left w:w="20" w:type="dxa"/>
              <w:bottom w:w="0" w:type="dxa"/>
              <w:right w:w="20" w:type="dxa"/>
            </w:tcMar>
          </w:tcPr>
          <w:p w14:paraId="5C7C6FF2" w14:textId="77777777" w:rsidR="0008009C" w:rsidRDefault="0008009C">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6FF3" w14:textId="77777777" w:rsidR="0008009C" w:rsidRDefault="00936FDF">
            <w:pPr>
              <w:jc w:val="center"/>
              <w:textAlignment w:val="bottom"/>
            </w:pPr>
            <w:r>
              <w:rPr>
                <w:rFonts w:ascii="Arial" w:eastAsia="宋体" w:hAnsi="Arial" w:cs="Arial"/>
                <w:color w:val="0068B5"/>
                <w:sz w:val="20"/>
                <w:szCs w:val="20"/>
              </w:rPr>
              <w:t>CCG Operating Income $B</w:t>
            </w:r>
          </w:p>
        </w:tc>
      </w:tr>
    </w:tbl>
    <w:p w14:paraId="5C7C6FF5" w14:textId="77777777" w:rsidR="0008009C" w:rsidRDefault="00936FDF">
      <w:pPr>
        <w:spacing w:after="12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4B" wp14:editId="5C7C7D4C">
            <wp:extent cx="304800" cy="304800"/>
            <wp:effectExtent l="0" t="0" r="0" b="0"/>
            <wp:docPr id="45" name="图片 101"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1" descr="IMG_29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4D" wp14:editId="5C7C7D4E">
            <wp:extent cx="304800" cy="304800"/>
            <wp:effectExtent l="0" t="0" r="0" b="0"/>
            <wp:docPr id="47" name="图片 102"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2" descr="IMG_29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1490"/>
        <w:gridCol w:w="36"/>
        <w:gridCol w:w="36"/>
        <w:gridCol w:w="1110"/>
        <w:gridCol w:w="36"/>
        <w:gridCol w:w="36"/>
        <w:gridCol w:w="8164"/>
        <w:gridCol w:w="36"/>
      </w:tblGrid>
      <w:tr w:rsidR="0008009C" w14:paraId="5C7C6FFF" w14:textId="77777777">
        <w:tc>
          <w:tcPr>
            <w:tcW w:w="20" w:type="dxa"/>
            <w:shd w:val="clear" w:color="auto" w:fill="auto"/>
          </w:tcPr>
          <w:p w14:paraId="5C7C6FF6" w14:textId="77777777" w:rsidR="0008009C" w:rsidRDefault="0008009C">
            <w:pPr>
              <w:rPr>
                <w:rFonts w:ascii="宋体"/>
              </w:rPr>
            </w:pPr>
          </w:p>
        </w:tc>
        <w:tc>
          <w:tcPr>
            <w:tcW w:w="1505" w:type="dxa"/>
            <w:shd w:val="clear" w:color="auto" w:fill="auto"/>
          </w:tcPr>
          <w:p w14:paraId="5C7C6FF7" w14:textId="77777777" w:rsidR="0008009C" w:rsidRDefault="0008009C">
            <w:pPr>
              <w:rPr>
                <w:rFonts w:ascii="宋体"/>
              </w:rPr>
            </w:pPr>
          </w:p>
        </w:tc>
        <w:tc>
          <w:tcPr>
            <w:tcW w:w="20" w:type="dxa"/>
            <w:shd w:val="clear" w:color="auto" w:fill="auto"/>
          </w:tcPr>
          <w:p w14:paraId="5C7C6FF8" w14:textId="77777777" w:rsidR="0008009C" w:rsidRDefault="0008009C">
            <w:pPr>
              <w:rPr>
                <w:rFonts w:ascii="宋体"/>
              </w:rPr>
            </w:pPr>
          </w:p>
        </w:tc>
        <w:tc>
          <w:tcPr>
            <w:tcW w:w="20" w:type="dxa"/>
            <w:shd w:val="clear" w:color="auto" w:fill="auto"/>
          </w:tcPr>
          <w:p w14:paraId="5C7C6FF9" w14:textId="77777777" w:rsidR="0008009C" w:rsidRDefault="0008009C">
            <w:pPr>
              <w:rPr>
                <w:rFonts w:ascii="宋体"/>
              </w:rPr>
            </w:pPr>
          </w:p>
        </w:tc>
        <w:tc>
          <w:tcPr>
            <w:tcW w:w="1115" w:type="dxa"/>
            <w:shd w:val="clear" w:color="auto" w:fill="auto"/>
          </w:tcPr>
          <w:p w14:paraId="5C7C6FFA" w14:textId="77777777" w:rsidR="0008009C" w:rsidRDefault="0008009C">
            <w:pPr>
              <w:rPr>
                <w:rFonts w:ascii="宋体"/>
              </w:rPr>
            </w:pPr>
          </w:p>
        </w:tc>
        <w:tc>
          <w:tcPr>
            <w:tcW w:w="20" w:type="dxa"/>
            <w:shd w:val="clear" w:color="auto" w:fill="auto"/>
          </w:tcPr>
          <w:p w14:paraId="5C7C6FFB" w14:textId="77777777" w:rsidR="0008009C" w:rsidRDefault="0008009C">
            <w:pPr>
              <w:rPr>
                <w:rFonts w:ascii="宋体"/>
              </w:rPr>
            </w:pPr>
          </w:p>
        </w:tc>
        <w:tc>
          <w:tcPr>
            <w:tcW w:w="20" w:type="dxa"/>
            <w:shd w:val="clear" w:color="auto" w:fill="auto"/>
          </w:tcPr>
          <w:p w14:paraId="5C7C6FFC" w14:textId="77777777" w:rsidR="0008009C" w:rsidRDefault="0008009C">
            <w:pPr>
              <w:rPr>
                <w:rFonts w:ascii="宋体"/>
              </w:rPr>
            </w:pPr>
          </w:p>
        </w:tc>
        <w:tc>
          <w:tcPr>
            <w:tcW w:w="8240" w:type="dxa"/>
            <w:shd w:val="clear" w:color="auto" w:fill="auto"/>
          </w:tcPr>
          <w:p w14:paraId="5C7C6FFD" w14:textId="77777777" w:rsidR="0008009C" w:rsidRDefault="0008009C">
            <w:pPr>
              <w:rPr>
                <w:rFonts w:ascii="宋体"/>
              </w:rPr>
            </w:pPr>
          </w:p>
        </w:tc>
        <w:tc>
          <w:tcPr>
            <w:tcW w:w="20" w:type="dxa"/>
            <w:shd w:val="clear" w:color="auto" w:fill="auto"/>
          </w:tcPr>
          <w:p w14:paraId="5C7C6FFE" w14:textId="77777777" w:rsidR="0008009C" w:rsidRDefault="0008009C">
            <w:pPr>
              <w:rPr>
                <w:rFonts w:ascii="宋体"/>
              </w:rPr>
            </w:pPr>
          </w:p>
        </w:tc>
      </w:tr>
      <w:tr w:rsidR="0008009C" w14:paraId="5C7C7003" w14:textId="77777777">
        <w:trPr>
          <w:trHeight w:val="280"/>
        </w:trPr>
        <w:tc>
          <w:tcPr>
            <w:tcW w:w="0" w:type="auto"/>
            <w:gridSpan w:val="3"/>
            <w:shd w:val="clear" w:color="auto" w:fill="auto"/>
            <w:tcMar>
              <w:top w:w="0" w:type="dxa"/>
              <w:left w:w="20" w:type="dxa"/>
              <w:bottom w:w="0" w:type="dxa"/>
              <w:right w:w="20" w:type="dxa"/>
            </w:tcMar>
          </w:tcPr>
          <w:p w14:paraId="5C7C7000"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center"/>
          </w:tcPr>
          <w:p w14:paraId="5C7C7001" w14:textId="77777777" w:rsidR="0008009C" w:rsidRDefault="00936FDF">
            <w:pPr>
              <w:textAlignment w:val="center"/>
            </w:pPr>
            <w:r>
              <w:rPr>
                <w:rFonts w:ascii="Arial" w:eastAsia="宋体" w:hAnsi="Arial" w:cs="Arial"/>
                <w:color w:val="004A86"/>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Platform</w:t>
            </w:r>
          </w:p>
        </w:tc>
        <w:tc>
          <w:tcPr>
            <w:tcW w:w="0" w:type="auto"/>
            <w:gridSpan w:val="3"/>
            <w:shd w:val="clear" w:color="auto" w:fill="auto"/>
            <w:tcMar>
              <w:top w:w="40" w:type="dxa"/>
              <w:left w:w="20" w:type="dxa"/>
              <w:bottom w:w="40" w:type="dxa"/>
              <w:right w:w="20" w:type="dxa"/>
            </w:tcMar>
            <w:vAlign w:val="center"/>
          </w:tcPr>
          <w:p w14:paraId="5C7C7002" w14:textId="77777777" w:rsidR="0008009C" w:rsidRDefault="00936FDF">
            <w:pPr>
              <w:textAlignment w:val="center"/>
            </w:pPr>
            <w:r>
              <w:rPr>
                <w:rFonts w:ascii="Arial" w:eastAsia="宋体" w:hAnsi="Arial" w:cs="Arial"/>
                <w:color w:val="FF8F51"/>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Adjacent</w:t>
            </w:r>
          </w:p>
        </w:tc>
      </w:tr>
    </w:tbl>
    <w:p w14:paraId="5C7C7004"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8009C" w14:paraId="5C7C7008" w14:textId="77777777">
        <w:tc>
          <w:tcPr>
            <w:tcW w:w="50" w:type="pct"/>
            <w:shd w:val="clear" w:color="auto" w:fill="auto"/>
          </w:tcPr>
          <w:p w14:paraId="5C7C7005" w14:textId="77777777" w:rsidR="0008009C" w:rsidRDefault="0008009C">
            <w:pPr>
              <w:rPr>
                <w:rFonts w:ascii="宋体"/>
              </w:rPr>
            </w:pPr>
          </w:p>
        </w:tc>
        <w:tc>
          <w:tcPr>
            <w:tcW w:w="4945" w:type="pct"/>
            <w:shd w:val="clear" w:color="auto" w:fill="auto"/>
          </w:tcPr>
          <w:p w14:paraId="5C7C7006" w14:textId="77777777" w:rsidR="0008009C" w:rsidRDefault="0008009C">
            <w:pPr>
              <w:rPr>
                <w:rFonts w:ascii="宋体"/>
              </w:rPr>
            </w:pPr>
          </w:p>
        </w:tc>
        <w:tc>
          <w:tcPr>
            <w:tcW w:w="5" w:type="pct"/>
            <w:shd w:val="clear" w:color="auto" w:fill="auto"/>
          </w:tcPr>
          <w:p w14:paraId="5C7C7007" w14:textId="77777777" w:rsidR="0008009C" w:rsidRDefault="0008009C">
            <w:pPr>
              <w:rPr>
                <w:rFonts w:ascii="宋体"/>
              </w:rPr>
            </w:pPr>
          </w:p>
        </w:tc>
      </w:tr>
      <w:tr w:rsidR="0008009C" w14:paraId="5C7C700A"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7009" w14:textId="77777777" w:rsidR="0008009C" w:rsidRDefault="00936FDF">
            <w:pPr>
              <w:textAlignment w:val="bottom"/>
            </w:pPr>
            <w:r>
              <w:rPr>
                <w:rFonts w:ascii="Arial" w:eastAsia="宋体" w:hAnsi="Arial" w:cs="Arial"/>
                <w:color w:val="0068B5"/>
                <w:sz w:val="20"/>
                <w:szCs w:val="20"/>
              </w:rPr>
              <w:t>Revenue Summary</w:t>
            </w:r>
          </w:p>
        </w:tc>
      </w:tr>
    </w:tbl>
    <w:p w14:paraId="5C7C700B" w14:textId="77777777" w:rsidR="0008009C" w:rsidRDefault="00936FDF">
      <w:pPr>
        <w:spacing w:before="180" w:after="180"/>
      </w:pPr>
      <w:r>
        <w:rPr>
          <w:rFonts w:ascii="Arial" w:eastAsia="宋体" w:hAnsi="Arial" w:cs="Arial"/>
          <w:color w:val="262626"/>
          <w:sz w:val="18"/>
          <w:szCs w:val="18"/>
        </w:rPr>
        <w:t xml:space="preserve">Revenue in Q1 2021 was up 8% compared to Q1 </w:t>
      </w:r>
      <w:r>
        <w:rPr>
          <w:rFonts w:ascii="Arial" w:eastAsia="宋体" w:hAnsi="Arial" w:cs="Arial"/>
          <w:color w:val="262626"/>
          <w:sz w:val="18"/>
          <w:szCs w:val="18"/>
        </w:rPr>
        <w:t>2020, driven by strength in notebook demand, partially offset by an increased mix of consumer and education PCs, which drove lower notebook ASPs. Strength in notebook products continues to reflect the increased reliance on PCs due to work and learn from ho</w:t>
      </w:r>
      <w:r>
        <w:rPr>
          <w:rFonts w:ascii="Arial" w:eastAsia="宋体" w:hAnsi="Arial" w:cs="Arial"/>
          <w:color w:val="262626"/>
          <w:sz w:val="18"/>
          <w:szCs w:val="18"/>
        </w:rPr>
        <w:t>me. Adjacency revenue declined $315 million due to continued ramp down from the exit of our 5G smartphone modem and Home Gateway Platform businesses, partially offset by $237 million due to strength in our wireless and connectivity businesses.</w:t>
      </w:r>
    </w:p>
    <w:p w14:paraId="5C7C700C" w14:textId="77777777" w:rsidR="0008009C" w:rsidRDefault="00936FDF">
      <w:pPr>
        <w:spacing w:before="180" w:after="180"/>
      </w:pPr>
      <w:r>
        <w:rPr>
          <w:rFonts w:ascii="Arial" w:eastAsia="宋体" w:hAnsi="Arial" w:cs="Arial"/>
          <w:color w:val="262626"/>
          <w:sz w:val="18"/>
          <w:szCs w:val="18"/>
        </w:rPr>
        <w:t>We expect st</w:t>
      </w:r>
      <w:r>
        <w:rPr>
          <w:rFonts w:ascii="Arial" w:eastAsia="宋体" w:hAnsi="Arial" w:cs="Arial"/>
          <w:color w:val="262626"/>
          <w:sz w:val="18"/>
          <w:szCs w:val="18"/>
        </w:rPr>
        <w:t>rong demand for PCs may be tempered by ongoing industry-wide component and substrate constraints.</w:t>
      </w:r>
    </w:p>
    <w:tbl>
      <w:tblPr>
        <w:tblW w:w="10980" w:type="dxa"/>
        <w:tblCellMar>
          <w:top w:w="15" w:type="dxa"/>
          <w:left w:w="15" w:type="dxa"/>
          <w:bottom w:w="15" w:type="dxa"/>
          <w:right w:w="15" w:type="dxa"/>
        </w:tblCellMar>
        <w:tblLook w:val="04A0" w:firstRow="1" w:lastRow="0" w:firstColumn="1" w:lastColumn="0" w:noHBand="0" w:noVBand="1"/>
      </w:tblPr>
      <w:tblGrid>
        <w:gridCol w:w="36"/>
        <w:gridCol w:w="7587"/>
        <w:gridCol w:w="36"/>
        <w:gridCol w:w="36"/>
        <w:gridCol w:w="36"/>
        <w:gridCol w:w="36"/>
        <w:gridCol w:w="36"/>
        <w:gridCol w:w="602"/>
        <w:gridCol w:w="36"/>
        <w:gridCol w:w="36"/>
        <w:gridCol w:w="593"/>
        <w:gridCol w:w="36"/>
        <w:gridCol w:w="36"/>
        <w:gridCol w:w="36"/>
        <w:gridCol w:w="36"/>
        <w:gridCol w:w="121"/>
        <w:gridCol w:w="1213"/>
        <w:gridCol w:w="36"/>
        <w:gridCol w:w="36"/>
        <w:gridCol w:w="36"/>
        <w:gridCol w:w="36"/>
        <w:gridCol w:w="36"/>
        <w:gridCol w:w="36"/>
        <w:gridCol w:w="36"/>
        <w:gridCol w:w="36"/>
        <w:gridCol w:w="36"/>
        <w:gridCol w:w="36"/>
        <w:gridCol w:w="36"/>
        <w:gridCol w:w="36"/>
      </w:tblGrid>
      <w:tr w:rsidR="0008009C" w14:paraId="5C7C7024" w14:textId="77777777">
        <w:tc>
          <w:tcPr>
            <w:tcW w:w="20" w:type="dxa"/>
            <w:shd w:val="clear" w:color="auto" w:fill="auto"/>
          </w:tcPr>
          <w:p w14:paraId="5C7C700D" w14:textId="77777777" w:rsidR="0008009C" w:rsidRDefault="0008009C">
            <w:pPr>
              <w:rPr>
                <w:rFonts w:ascii="宋体"/>
              </w:rPr>
            </w:pPr>
          </w:p>
        </w:tc>
        <w:tc>
          <w:tcPr>
            <w:tcW w:w="8180" w:type="dxa"/>
            <w:shd w:val="clear" w:color="auto" w:fill="auto"/>
          </w:tcPr>
          <w:p w14:paraId="5C7C700E" w14:textId="77777777" w:rsidR="0008009C" w:rsidRDefault="0008009C">
            <w:pPr>
              <w:rPr>
                <w:rFonts w:ascii="宋体"/>
              </w:rPr>
            </w:pPr>
          </w:p>
        </w:tc>
        <w:tc>
          <w:tcPr>
            <w:tcW w:w="20" w:type="dxa"/>
            <w:shd w:val="clear" w:color="auto" w:fill="auto"/>
          </w:tcPr>
          <w:p w14:paraId="5C7C700F" w14:textId="77777777" w:rsidR="0008009C" w:rsidRDefault="0008009C">
            <w:pPr>
              <w:rPr>
                <w:rFonts w:ascii="宋体"/>
              </w:rPr>
            </w:pPr>
          </w:p>
        </w:tc>
        <w:tc>
          <w:tcPr>
            <w:tcW w:w="20" w:type="dxa"/>
            <w:shd w:val="clear" w:color="auto" w:fill="auto"/>
          </w:tcPr>
          <w:p w14:paraId="5C7C7010" w14:textId="77777777" w:rsidR="0008009C" w:rsidRDefault="0008009C">
            <w:pPr>
              <w:rPr>
                <w:rFonts w:ascii="宋体"/>
              </w:rPr>
            </w:pPr>
          </w:p>
        </w:tc>
        <w:tc>
          <w:tcPr>
            <w:tcW w:w="35" w:type="dxa"/>
            <w:shd w:val="clear" w:color="auto" w:fill="auto"/>
          </w:tcPr>
          <w:p w14:paraId="5C7C7011" w14:textId="77777777" w:rsidR="0008009C" w:rsidRDefault="0008009C">
            <w:pPr>
              <w:rPr>
                <w:rFonts w:ascii="宋体"/>
              </w:rPr>
            </w:pPr>
          </w:p>
        </w:tc>
        <w:tc>
          <w:tcPr>
            <w:tcW w:w="20" w:type="dxa"/>
            <w:shd w:val="clear" w:color="auto" w:fill="auto"/>
          </w:tcPr>
          <w:p w14:paraId="5C7C7012" w14:textId="77777777" w:rsidR="0008009C" w:rsidRDefault="0008009C">
            <w:pPr>
              <w:rPr>
                <w:rFonts w:ascii="宋体"/>
              </w:rPr>
            </w:pPr>
          </w:p>
        </w:tc>
        <w:tc>
          <w:tcPr>
            <w:tcW w:w="20" w:type="dxa"/>
            <w:shd w:val="clear" w:color="auto" w:fill="auto"/>
          </w:tcPr>
          <w:p w14:paraId="5C7C7013" w14:textId="77777777" w:rsidR="0008009C" w:rsidRDefault="0008009C">
            <w:pPr>
              <w:rPr>
                <w:rFonts w:ascii="宋体"/>
              </w:rPr>
            </w:pPr>
          </w:p>
        </w:tc>
        <w:tc>
          <w:tcPr>
            <w:tcW w:w="620" w:type="dxa"/>
            <w:shd w:val="clear" w:color="auto" w:fill="auto"/>
          </w:tcPr>
          <w:p w14:paraId="5C7C7014" w14:textId="77777777" w:rsidR="0008009C" w:rsidRDefault="0008009C">
            <w:pPr>
              <w:rPr>
                <w:rFonts w:ascii="宋体"/>
              </w:rPr>
            </w:pPr>
          </w:p>
        </w:tc>
        <w:tc>
          <w:tcPr>
            <w:tcW w:w="20" w:type="dxa"/>
            <w:shd w:val="clear" w:color="auto" w:fill="auto"/>
          </w:tcPr>
          <w:p w14:paraId="5C7C7015" w14:textId="77777777" w:rsidR="0008009C" w:rsidRDefault="0008009C">
            <w:pPr>
              <w:rPr>
                <w:rFonts w:ascii="宋体"/>
              </w:rPr>
            </w:pPr>
          </w:p>
        </w:tc>
        <w:tc>
          <w:tcPr>
            <w:tcW w:w="20" w:type="dxa"/>
            <w:shd w:val="clear" w:color="auto" w:fill="auto"/>
          </w:tcPr>
          <w:p w14:paraId="5C7C7016" w14:textId="77777777" w:rsidR="0008009C" w:rsidRDefault="0008009C">
            <w:pPr>
              <w:rPr>
                <w:rFonts w:ascii="宋体"/>
              </w:rPr>
            </w:pPr>
          </w:p>
        </w:tc>
        <w:tc>
          <w:tcPr>
            <w:tcW w:w="605" w:type="dxa"/>
            <w:shd w:val="clear" w:color="auto" w:fill="auto"/>
          </w:tcPr>
          <w:p w14:paraId="5C7C7017" w14:textId="77777777" w:rsidR="0008009C" w:rsidRDefault="0008009C">
            <w:pPr>
              <w:rPr>
                <w:rFonts w:ascii="宋体"/>
              </w:rPr>
            </w:pPr>
          </w:p>
        </w:tc>
        <w:tc>
          <w:tcPr>
            <w:tcW w:w="20" w:type="dxa"/>
            <w:shd w:val="clear" w:color="auto" w:fill="auto"/>
          </w:tcPr>
          <w:p w14:paraId="5C7C7018" w14:textId="77777777" w:rsidR="0008009C" w:rsidRDefault="0008009C">
            <w:pPr>
              <w:rPr>
                <w:rFonts w:ascii="宋体"/>
              </w:rPr>
            </w:pPr>
          </w:p>
        </w:tc>
        <w:tc>
          <w:tcPr>
            <w:tcW w:w="20" w:type="dxa"/>
            <w:shd w:val="clear" w:color="auto" w:fill="auto"/>
          </w:tcPr>
          <w:p w14:paraId="5C7C7019" w14:textId="77777777" w:rsidR="0008009C" w:rsidRDefault="0008009C">
            <w:pPr>
              <w:rPr>
                <w:rFonts w:ascii="宋体"/>
              </w:rPr>
            </w:pPr>
          </w:p>
        </w:tc>
        <w:tc>
          <w:tcPr>
            <w:tcW w:w="35" w:type="dxa"/>
            <w:shd w:val="clear" w:color="auto" w:fill="auto"/>
          </w:tcPr>
          <w:p w14:paraId="5C7C701A" w14:textId="77777777" w:rsidR="0008009C" w:rsidRDefault="0008009C">
            <w:pPr>
              <w:rPr>
                <w:rFonts w:ascii="宋体"/>
              </w:rPr>
            </w:pPr>
          </w:p>
        </w:tc>
        <w:tc>
          <w:tcPr>
            <w:tcW w:w="20" w:type="dxa"/>
            <w:shd w:val="clear" w:color="auto" w:fill="auto"/>
          </w:tcPr>
          <w:p w14:paraId="5C7C701B" w14:textId="77777777" w:rsidR="0008009C" w:rsidRDefault="0008009C">
            <w:pPr>
              <w:rPr>
                <w:rFonts w:ascii="宋体"/>
              </w:rPr>
            </w:pPr>
          </w:p>
        </w:tc>
        <w:tc>
          <w:tcPr>
            <w:tcW w:w="20" w:type="dxa"/>
            <w:shd w:val="clear" w:color="auto" w:fill="auto"/>
          </w:tcPr>
          <w:p w14:paraId="5C7C701C" w14:textId="77777777" w:rsidR="0008009C" w:rsidRDefault="0008009C">
            <w:pPr>
              <w:rPr>
                <w:rFonts w:ascii="宋体"/>
              </w:rPr>
            </w:pPr>
          </w:p>
        </w:tc>
        <w:tc>
          <w:tcPr>
            <w:tcW w:w="1265" w:type="dxa"/>
            <w:shd w:val="clear" w:color="auto" w:fill="auto"/>
          </w:tcPr>
          <w:p w14:paraId="5C7C701D" w14:textId="77777777" w:rsidR="0008009C" w:rsidRDefault="0008009C">
            <w:pPr>
              <w:rPr>
                <w:rFonts w:ascii="宋体"/>
              </w:rPr>
            </w:pPr>
          </w:p>
        </w:tc>
        <w:tc>
          <w:tcPr>
            <w:tcW w:w="20" w:type="dxa"/>
            <w:shd w:val="clear" w:color="auto" w:fill="auto"/>
          </w:tcPr>
          <w:p w14:paraId="5C7C701E" w14:textId="77777777" w:rsidR="0008009C" w:rsidRDefault="0008009C">
            <w:pPr>
              <w:rPr>
                <w:rFonts w:ascii="宋体"/>
              </w:rPr>
            </w:pPr>
          </w:p>
        </w:tc>
        <w:tc>
          <w:tcPr>
            <w:tcW w:w="0" w:type="auto"/>
            <w:shd w:val="clear" w:color="auto" w:fill="auto"/>
          </w:tcPr>
          <w:p w14:paraId="5C7C701F" w14:textId="77777777" w:rsidR="0008009C" w:rsidRDefault="0008009C">
            <w:pPr>
              <w:rPr>
                <w:rFonts w:ascii="宋体"/>
                <w:vanish/>
              </w:rPr>
            </w:pPr>
          </w:p>
        </w:tc>
        <w:tc>
          <w:tcPr>
            <w:tcW w:w="0" w:type="auto"/>
            <w:shd w:val="clear" w:color="auto" w:fill="auto"/>
          </w:tcPr>
          <w:p w14:paraId="5C7C7020" w14:textId="77777777" w:rsidR="0008009C" w:rsidRDefault="0008009C">
            <w:pPr>
              <w:rPr>
                <w:rFonts w:ascii="宋体"/>
                <w:vanish/>
              </w:rPr>
            </w:pPr>
          </w:p>
        </w:tc>
        <w:tc>
          <w:tcPr>
            <w:tcW w:w="0" w:type="auto"/>
            <w:gridSpan w:val="3"/>
            <w:shd w:val="clear" w:color="auto" w:fill="auto"/>
          </w:tcPr>
          <w:p w14:paraId="5C7C7021" w14:textId="77777777" w:rsidR="0008009C" w:rsidRDefault="0008009C">
            <w:pPr>
              <w:rPr>
                <w:rFonts w:ascii="宋体"/>
                <w:vanish/>
              </w:rPr>
            </w:pPr>
          </w:p>
        </w:tc>
        <w:tc>
          <w:tcPr>
            <w:tcW w:w="0" w:type="auto"/>
            <w:gridSpan w:val="3"/>
            <w:shd w:val="clear" w:color="auto" w:fill="auto"/>
          </w:tcPr>
          <w:p w14:paraId="5C7C7022" w14:textId="77777777" w:rsidR="0008009C" w:rsidRDefault="0008009C">
            <w:pPr>
              <w:rPr>
                <w:rFonts w:ascii="宋体"/>
                <w:vanish/>
              </w:rPr>
            </w:pPr>
          </w:p>
        </w:tc>
        <w:tc>
          <w:tcPr>
            <w:tcW w:w="0" w:type="auto"/>
            <w:gridSpan w:val="3"/>
            <w:shd w:val="clear" w:color="auto" w:fill="auto"/>
          </w:tcPr>
          <w:p w14:paraId="5C7C7023" w14:textId="77777777" w:rsidR="0008009C" w:rsidRDefault="0008009C">
            <w:pPr>
              <w:rPr>
                <w:rFonts w:ascii="宋体"/>
                <w:vanish/>
              </w:rPr>
            </w:pPr>
          </w:p>
        </w:tc>
      </w:tr>
      <w:tr w:rsidR="0008009C" w14:paraId="5C7C7033" w14:textId="77777777">
        <w:trPr>
          <w:trHeight w:val="280"/>
        </w:trPr>
        <w:tc>
          <w:tcPr>
            <w:tcW w:w="0" w:type="auto"/>
            <w:gridSpan w:val="3"/>
            <w:shd w:val="clear" w:color="auto" w:fill="auto"/>
            <w:tcMar>
              <w:top w:w="0" w:type="dxa"/>
              <w:left w:w="20" w:type="dxa"/>
              <w:bottom w:w="0" w:type="dxa"/>
              <w:right w:w="20" w:type="dxa"/>
            </w:tcMar>
          </w:tcPr>
          <w:p w14:paraId="5C7C702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026" w14:textId="77777777" w:rsidR="0008009C" w:rsidRDefault="0008009C">
            <w:pPr>
              <w:rPr>
                <w:rFonts w:ascii="宋体"/>
              </w:rPr>
            </w:pPr>
          </w:p>
        </w:tc>
        <w:tc>
          <w:tcPr>
            <w:tcW w:w="0" w:type="auto"/>
            <w:gridSpan w:val="12"/>
            <w:shd w:val="clear" w:color="auto" w:fill="auto"/>
            <w:tcMar>
              <w:top w:w="40" w:type="dxa"/>
              <w:left w:w="20" w:type="dxa"/>
              <w:bottom w:w="40" w:type="dxa"/>
              <w:right w:w="20" w:type="dxa"/>
            </w:tcMar>
            <w:vAlign w:val="bottom"/>
          </w:tcPr>
          <w:p w14:paraId="5C7C7027" w14:textId="77777777" w:rsidR="0008009C" w:rsidRDefault="00936FDF">
            <w:pPr>
              <w:jc w:val="center"/>
              <w:textAlignment w:val="bottom"/>
            </w:pPr>
            <w:r>
              <w:rPr>
                <w:rFonts w:ascii="Arial" w:eastAsia="宋体" w:hAnsi="Arial" w:cs="Arial"/>
                <w:b/>
                <w:bCs/>
                <w:color w:val="262626"/>
                <w:sz w:val="18"/>
                <w:szCs w:val="18"/>
              </w:rPr>
              <w:t>Q1 2021 vs. Q1 2020</w:t>
            </w:r>
          </w:p>
        </w:tc>
        <w:tc>
          <w:tcPr>
            <w:tcW w:w="0" w:type="auto"/>
            <w:shd w:val="clear" w:color="auto" w:fill="auto"/>
          </w:tcPr>
          <w:p w14:paraId="5C7C7028" w14:textId="77777777" w:rsidR="0008009C" w:rsidRDefault="0008009C">
            <w:pPr>
              <w:rPr>
                <w:rFonts w:ascii="宋体"/>
                <w:vanish/>
              </w:rPr>
            </w:pPr>
          </w:p>
        </w:tc>
        <w:tc>
          <w:tcPr>
            <w:tcW w:w="0" w:type="auto"/>
            <w:shd w:val="clear" w:color="auto" w:fill="auto"/>
          </w:tcPr>
          <w:p w14:paraId="5C7C7029" w14:textId="77777777" w:rsidR="0008009C" w:rsidRDefault="0008009C">
            <w:pPr>
              <w:rPr>
                <w:rFonts w:ascii="宋体"/>
                <w:vanish/>
              </w:rPr>
            </w:pPr>
          </w:p>
        </w:tc>
        <w:tc>
          <w:tcPr>
            <w:tcW w:w="0" w:type="auto"/>
            <w:shd w:val="clear" w:color="auto" w:fill="auto"/>
          </w:tcPr>
          <w:p w14:paraId="5C7C702A" w14:textId="77777777" w:rsidR="0008009C" w:rsidRDefault="0008009C">
            <w:pPr>
              <w:rPr>
                <w:rFonts w:ascii="宋体"/>
              </w:rPr>
            </w:pPr>
          </w:p>
        </w:tc>
        <w:tc>
          <w:tcPr>
            <w:tcW w:w="0" w:type="auto"/>
            <w:shd w:val="clear" w:color="auto" w:fill="auto"/>
          </w:tcPr>
          <w:p w14:paraId="5C7C702B" w14:textId="77777777" w:rsidR="0008009C" w:rsidRDefault="0008009C">
            <w:pPr>
              <w:rPr>
                <w:rFonts w:ascii="宋体"/>
              </w:rPr>
            </w:pPr>
          </w:p>
        </w:tc>
        <w:tc>
          <w:tcPr>
            <w:tcW w:w="0" w:type="auto"/>
            <w:shd w:val="clear" w:color="auto" w:fill="auto"/>
          </w:tcPr>
          <w:p w14:paraId="5C7C702C" w14:textId="77777777" w:rsidR="0008009C" w:rsidRDefault="0008009C">
            <w:pPr>
              <w:rPr>
                <w:rFonts w:ascii="宋体"/>
              </w:rPr>
            </w:pPr>
          </w:p>
        </w:tc>
        <w:tc>
          <w:tcPr>
            <w:tcW w:w="0" w:type="auto"/>
            <w:shd w:val="clear" w:color="auto" w:fill="auto"/>
          </w:tcPr>
          <w:p w14:paraId="5C7C702D" w14:textId="77777777" w:rsidR="0008009C" w:rsidRDefault="0008009C">
            <w:pPr>
              <w:rPr>
                <w:rFonts w:ascii="宋体"/>
              </w:rPr>
            </w:pPr>
          </w:p>
        </w:tc>
        <w:tc>
          <w:tcPr>
            <w:tcW w:w="0" w:type="auto"/>
            <w:shd w:val="clear" w:color="auto" w:fill="auto"/>
          </w:tcPr>
          <w:p w14:paraId="5C7C702E" w14:textId="77777777" w:rsidR="0008009C" w:rsidRDefault="0008009C">
            <w:pPr>
              <w:rPr>
                <w:rFonts w:ascii="宋体"/>
              </w:rPr>
            </w:pPr>
          </w:p>
        </w:tc>
        <w:tc>
          <w:tcPr>
            <w:tcW w:w="0" w:type="auto"/>
            <w:shd w:val="clear" w:color="auto" w:fill="auto"/>
          </w:tcPr>
          <w:p w14:paraId="5C7C702F" w14:textId="77777777" w:rsidR="0008009C" w:rsidRDefault="0008009C">
            <w:pPr>
              <w:rPr>
                <w:rFonts w:ascii="宋体"/>
              </w:rPr>
            </w:pPr>
          </w:p>
        </w:tc>
        <w:tc>
          <w:tcPr>
            <w:tcW w:w="0" w:type="auto"/>
            <w:shd w:val="clear" w:color="auto" w:fill="auto"/>
          </w:tcPr>
          <w:p w14:paraId="5C7C7030" w14:textId="77777777" w:rsidR="0008009C" w:rsidRDefault="0008009C">
            <w:pPr>
              <w:rPr>
                <w:rFonts w:ascii="宋体"/>
              </w:rPr>
            </w:pPr>
          </w:p>
        </w:tc>
        <w:tc>
          <w:tcPr>
            <w:tcW w:w="0" w:type="auto"/>
            <w:shd w:val="clear" w:color="auto" w:fill="auto"/>
          </w:tcPr>
          <w:p w14:paraId="5C7C7031" w14:textId="77777777" w:rsidR="0008009C" w:rsidRDefault="0008009C">
            <w:pPr>
              <w:rPr>
                <w:rFonts w:ascii="宋体"/>
              </w:rPr>
            </w:pPr>
          </w:p>
        </w:tc>
        <w:tc>
          <w:tcPr>
            <w:tcW w:w="0" w:type="auto"/>
            <w:shd w:val="clear" w:color="auto" w:fill="auto"/>
          </w:tcPr>
          <w:p w14:paraId="5C7C7032" w14:textId="77777777" w:rsidR="0008009C" w:rsidRDefault="0008009C">
            <w:pPr>
              <w:rPr>
                <w:rFonts w:ascii="宋体"/>
              </w:rPr>
            </w:pPr>
          </w:p>
        </w:tc>
      </w:tr>
      <w:tr w:rsidR="0008009C" w14:paraId="5C7C7040" w14:textId="77777777">
        <w:trPr>
          <w:trHeight w:val="280"/>
        </w:trPr>
        <w:tc>
          <w:tcPr>
            <w:tcW w:w="0" w:type="auto"/>
            <w:gridSpan w:val="3"/>
            <w:shd w:val="clear" w:color="auto" w:fill="auto"/>
            <w:tcMar>
              <w:top w:w="40" w:type="dxa"/>
              <w:left w:w="20" w:type="dxa"/>
              <w:bottom w:w="40" w:type="dxa"/>
              <w:right w:w="20" w:type="dxa"/>
            </w:tcMar>
            <w:vAlign w:val="bottom"/>
          </w:tcPr>
          <w:p w14:paraId="5C7C7034"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7035" w14:textId="77777777" w:rsidR="0008009C" w:rsidRDefault="0008009C">
            <w:pPr>
              <w:rPr>
                <w:rFonts w:ascii="宋体"/>
              </w:rPr>
            </w:pPr>
          </w:p>
        </w:tc>
        <w:tc>
          <w:tcPr>
            <w:tcW w:w="0" w:type="auto"/>
            <w:gridSpan w:val="6"/>
            <w:tcBorders>
              <w:top w:val="single" w:sz="8" w:space="0" w:color="0068B5"/>
            </w:tcBorders>
            <w:shd w:val="clear" w:color="auto" w:fill="auto"/>
            <w:tcMar>
              <w:top w:w="40" w:type="dxa"/>
              <w:left w:w="20" w:type="dxa"/>
              <w:bottom w:w="40" w:type="dxa"/>
              <w:right w:w="20" w:type="dxa"/>
            </w:tcMar>
            <w:vAlign w:val="bottom"/>
          </w:tcPr>
          <w:p w14:paraId="5C7C7036" w14:textId="77777777" w:rsidR="0008009C" w:rsidRDefault="00936FDF">
            <w:pPr>
              <w:jc w:val="center"/>
              <w:textAlignment w:val="bottom"/>
            </w:pPr>
            <w:r>
              <w:rPr>
                <w:rFonts w:ascii="Arial" w:eastAsia="宋体" w:hAnsi="Arial" w:cs="Arial"/>
                <w:b/>
                <w:bCs/>
                <w:color w:val="262626"/>
                <w:sz w:val="18"/>
                <w:szCs w:val="18"/>
              </w:rPr>
              <w:t>%</w:t>
            </w:r>
          </w:p>
        </w:tc>
        <w:tc>
          <w:tcPr>
            <w:tcW w:w="0" w:type="auto"/>
            <w:gridSpan w:val="3"/>
            <w:tcBorders>
              <w:top w:val="single" w:sz="8" w:space="0" w:color="0068B5"/>
            </w:tcBorders>
            <w:shd w:val="clear" w:color="auto" w:fill="auto"/>
            <w:tcMar>
              <w:top w:w="0" w:type="dxa"/>
              <w:left w:w="20" w:type="dxa"/>
              <w:bottom w:w="0" w:type="dxa"/>
              <w:right w:w="20" w:type="dxa"/>
            </w:tcMar>
          </w:tcPr>
          <w:p w14:paraId="5C7C7037"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038" w14:textId="77777777" w:rsidR="0008009C" w:rsidRDefault="00936FDF">
            <w:pPr>
              <w:jc w:val="center"/>
              <w:textAlignment w:val="bottom"/>
            </w:pPr>
            <w:r>
              <w:rPr>
                <w:rFonts w:ascii="Arial" w:eastAsia="宋体" w:hAnsi="Arial" w:cs="Arial"/>
                <w:b/>
                <w:bCs/>
                <w:color w:val="262626"/>
                <w:sz w:val="18"/>
                <w:szCs w:val="18"/>
              </w:rPr>
              <w:t>$ Impact</w:t>
            </w:r>
          </w:p>
        </w:tc>
        <w:tc>
          <w:tcPr>
            <w:tcW w:w="0" w:type="auto"/>
            <w:shd w:val="clear" w:color="auto" w:fill="auto"/>
          </w:tcPr>
          <w:p w14:paraId="5C7C7039" w14:textId="77777777" w:rsidR="0008009C" w:rsidRDefault="0008009C">
            <w:pPr>
              <w:rPr>
                <w:rFonts w:ascii="宋体"/>
                <w:vanish/>
              </w:rPr>
            </w:pPr>
          </w:p>
        </w:tc>
        <w:tc>
          <w:tcPr>
            <w:tcW w:w="0" w:type="auto"/>
            <w:shd w:val="clear" w:color="auto" w:fill="auto"/>
          </w:tcPr>
          <w:p w14:paraId="5C7C703A" w14:textId="77777777" w:rsidR="0008009C" w:rsidRDefault="0008009C">
            <w:pPr>
              <w:rPr>
                <w:rFonts w:ascii="宋体"/>
                <w:vanish/>
              </w:rPr>
            </w:pPr>
          </w:p>
        </w:tc>
        <w:tc>
          <w:tcPr>
            <w:tcW w:w="0" w:type="auto"/>
            <w:gridSpan w:val="3"/>
            <w:shd w:val="clear" w:color="auto" w:fill="auto"/>
          </w:tcPr>
          <w:p w14:paraId="5C7C703B" w14:textId="77777777" w:rsidR="0008009C" w:rsidRDefault="0008009C">
            <w:pPr>
              <w:rPr>
                <w:rFonts w:ascii="宋体"/>
                <w:vanish/>
              </w:rPr>
            </w:pPr>
          </w:p>
        </w:tc>
        <w:tc>
          <w:tcPr>
            <w:tcW w:w="0" w:type="auto"/>
            <w:gridSpan w:val="3"/>
            <w:shd w:val="clear" w:color="auto" w:fill="auto"/>
          </w:tcPr>
          <w:p w14:paraId="5C7C703C" w14:textId="77777777" w:rsidR="0008009C" w:rsidRDefault="0008009C">
            <w:pPr>
              <w:rPr>
                <w:rFonts w:ascii="宋体"/>
                <w:vanish/>
              </w:rPr>
            </w:pPr>
          </w:p>
        </w:tc>
        <w:tc>
          <w:tcPr>
            <w:tcW w:w="0" w:type="auto"/>
            <w:shd w:val="clear" w:color="auto" w:fill="auto"/>
          </w:tcPr>
          <w:p w14:paraId="5C7C703D" w14:textId="77777777" w:rsidR="0008009C" w:rsidRDefault="0008009C">
            <w:pPr>
              <w:rPr>
                <w:rFonts w:ascii="宋体"/>
              </w:rPr>
            </w:pPr>
          </w:p>
        </w:tc>
        <w:tc>
          <w:tcPr>
            <w:tcW w:w="0" w:type="auto"/>
            <w:shd w:val="clear" w:color="auto" w:fill="auto"/>
          </w:tcPr>
          <w:p w14:paraId="5C7C703E" w14:textId="77777777" w:rsidR="0008009C" w:rsidRDefault="0008009C">
            <w:pPr>
              <w:rPr>
                <w:rFonts w:ascii="宋体"/>
              </w:rPr>
            </w:pPr>
          </w:p>
        </w:tc>
        <w:tc>
          <w:tcPr>
            <w:tcW w:w="0" w:type="auto"/>
            <w:shd w:val="clear" w:color="auto" w:fill="auto"/>
          </w:tcPr>
          <w:p w14:paraId="5C7C703F" w14:textId="77777777" w:rsidR="0008009C" w:rsidRDefault="0008009C">
            <w:pPr>
              <w:rPr>
                <w:rFonts w:ascii="宋体"/>
              </w:rPr>
            </w:pPr>
          </w:p>
        </w:tc>
      </w:tr>
      <w:tr w:rsidR="0008009C" w14:paraId="5C7C704C" w14:textId="77777777">
        <w:trPr>
          <w:hidden/>
        </w:trPr>
        <w:tc>
          <w:tcPr>
            <w:tcW w:w="0" w:type="auto"/>
            <w:gridSpan w:val="3"/>
            <w:shd w:val="clear" w:color="auto" w:fill="auto"/>
          </w:tcPr>
          <w:p w14:paraId="5C7C7041" w14:textId="77777777" w:rsidR="0008009C" w:rsidRDefault="0008009C">
            <w:pPr>
              <w:rPr>
                <w:rFonts w:ascii="宋体"/>
                <w:vanish/>
              </w:rPr>
            </w:pPr>
          </w:p>
        </w:tc>
        <w:tc>
          <w:tcPr>
            <w:tcW w:w="0" w:type="auto"/>
            <w:gridSpan w:val="3"/>
            <w:shd w:val="clear" w:color="auto" w:fill="auto"/>
          </w:tcPr>
          <w:p w14:paraId="5C7C7042" w14:textId="77777777" w:rsidR="0008009C" w:rsidRDefault="0008009C">
            <w:pPr>
              <w:rPr>
                <w:rFonts w:ascii="宋体"/>
                <w:vanish/>
              </w:rPr>
            </w:pPr>
          </w:p>
        </w:tc>
        <w:tc>
          <w:tcPr>
            <w:tcW w:w="0" w:type="auto"/>
            <w:gridSpan w:val="3"/>
            <w:shd w:val="clear" w:color="auto" w:fill="auto"/>
          </w:tcPr>
          <w:p w14:paraId="5C7C7043" w14:textId="77777777" w:rsidR="0008009C" w:rsidRDefault="0008009C">
            <w:pPr>
              <w:rPr>
                <w:rFonts w:ascii="宋体"/>
                <w:vanish/>
              </w:rPr>
            </w:pPr>
          </w:p>
        </w:tc>
        <w:tc>
          <w:tcPr>
            <w:tcW w:w="0" w:type="auto"/>
            <w:gridSpan w:val="3"/>
            <w:shd w:val="clear" w:color="auto" w:fill="auto"/>
          </w:tcPr>
          <w:p w14:paraId="5C7C7044" w14:textId="77777777" w:rsidR="0008009C" w:rsidRDefault="0008009C">
            <w:pPr>
              <w:rPr>
                <w:rFonts w:ascii="宋体"/>
                <w:vanish/>
              </w:rPr>
            </w:pPr>
          </w:p>
        </w:tc>
        <w:tc>
          <w:tcPr>
            <w:tcW w:w="0" w:type="auto"/>
            <w:gridSpan w:val="3"/>
            <w:shd w:val="clear" w:color="auto" w:fill="auto"/>
          </w:tcPr>
          <w:p w14:paraId="5C7C7045" w14:textId="77777777" w:rsidR="0008009C" w:rsidRDefault="0008009C">
            <w:pPr>
              <w:rPr>
                <w:rFonts w:ascii="宋体"/>
                <w:vanish/>
              </w:rPr>
            </w:pPr>
          </w:p>
        </w:tc>
        <w:tc>
          <w:tcPr>
            <w:tcW w:w="0" w:type="auto"/>
            <w:gridSpan w:val="3"/>
            <w:shd w:val="clear" w:color="auto" w:fill="auto"/>
          </w:tcPr>
          <w:p w14:paraId="5C7C7046" w14:textId="77777777" w:rsidR="0008009C" w:rsidRDefault="0008009C">
            <w:pPr>
              <w:rPr>
                <w:rFonts w:ascii="宋体"/>
                <w:vanish/>
              </w:rPr>
            </w:pPr>
          </w:p>
        </w:tc>
        <w:tc>
          <w:tcPr>
            <w:tcW w:w="0" w:type="auto"/>
            <w:shd w:val="clear" w:color="auto" w:fill="auto"/>
          </w:tcPr>
          <w:p w14:paraId="5C7C7047" w14:textId="77777777" w:rsidR="0008009C" w:rsidRDefault="0008009C">
            <w:pPr>
              <w:rPr>
                <w:rFonts w:ascii="宋体"/>
                <w:vanish/>
              </w:rPr>
            </w:pPr>
          </w:p>
        </w:tc>
        <w:tc>
          <w:tcPr>
            <w:tcW w:w="0" w:type="auto"/>
            <w:shd w:val="clear" w:color="auto" w:fill="auto"/>
          </w:tcPr>
          <w:p w14:paraId="5C7C7048" w14:textId="77777777" w:rsidR="0008009C" w:rsidRDefault="0008009C">
            <w:pPr>
              <w:rPr>
                <w:rFonts w:ascii="宋体"/>
                <w:vanish/>
              </w:rPr>
            </w:pPr>
          </w:p>
        </w:tc>
        <w:tc>
          <w:tcPr>
            <w:tcW w:w="0" w:type="auto"/>
            <w:gridSpan w:val="3"/>
            <w:shd w:val="clear" w:color="auto" w:fill="auto"/>
          </w:tcPr>
          <w:p w14:paraId="5C7C7049" w14:textId="77777777" w:rsidR="0008009C" w:rsidRDefault="0008009C">
            <w:pPr>
              <w:rPr>
                <w:rFonts w:ascii="宋体"/>
                <w:vanish/>
              </w:rPr>
            </w:pPr>
          </w:p>
        </w:tc>
        <w:tc>
          <w:tcPr>
            <w:tcW w:w="0" w:type="auto"/>
            <w:gridSpan w:val="3"/>
            <w:shd w:val="clear" w:color="auto" w:fill="auto"/>
          </w:tcPr>
          <w:p w14:paraId="5C7C704A" w14:textId="77777777" w:rsidR="0008009C" w:rsidRDefault="0008009C">
            <w:pPr>
              <w:rPr>
                <w:rFonts w:ascii="宋体"/>
                <w:vanish/>
              </w:rPr>
            </w:pPr>
          </w:p>
        </w:tc>
        <w:tc>
          <w:tcPr>
            <w:tcW w:w="0" w:type="auto"/>
            <w:gridSpan w:val="3"/>
            <w:shd w:val="clear" w:color="auto" w:fill="auto"/>
          </w:tcPr>
          <w:p w14:paraId="5C7C704B" w14:textId="77777777" w:rsidR="0008009C" w:rsidRDefault="0008009C">
            <w:pPr>
              <w:rPr>
                <w:rFonts w:ascii="宋体"/>
                <w:vanish/>
              </w:rPr>
            </w:pPr>
          </w:p>
        </w:tc>
      </w:tr>
      <w:tr w:rsidR="0008009C" w14:paraId="5C7C705A" w14:textId="77777777">
        <w:trPr>
          <w:trHeight w:val="280"/>
        </w:trPr>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04D" w14:textId="77777777" w:rsidR="0008009C" w:rsidRDefault="00936FDF">
            <w:pPr>
              <w:textAlignment w:val="center"/>
            </w:pPr>
            <w:r>
              <w:rPr>
                <w:rFonts w:ascii="Arial" w:eastAsia="宋体" w:hAnsi="Arial" w:cs="Arial"/>
                <w:color w:val="262626"/>
                <w:sz w:val="18"/>
                <w:szCs w:val="18"/>
              </w:rPr>
              <w:t>Desktop platform volume</w:t>
            </w:r>
          </w:p>
        </w:tc>
        <w:tc>
          <w:tcPr>
            <w:tcW w:w="0" w:type="auto"/>
            <w:gridSpan w:val="3"/>
            <w:shd w:val="clear" w:color="auto" w:fill="auto"/>
            <w:tcMar>
              <w:top w:w="0" w:type="dxa"/>
              <w:left w:w="20" w:type="dxa"/>
              <w:bottom w:w="0" w:type="dxa"/>
              <w:right w:w="20" w:type="dxa"/>
            </w:tcMar>
          </w:tcPr>
          <w:p w14:paraId="5C7C704E"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04F" w14:textId="77777777" w:rsidR="0008009C" w:rsidRDefault="00936FDF">
            <w:pPr>
              <w:jc w:val="right"/>
              <w:textAlignment w:val="center"/>
            </w:pPr>
            <w:r>
              <w:rPr>
                <w:rFonts w:ascii="Arial" w:eastAsia="宋体" w:hAnsi="Arial" w:cs="Arial"/>
                <w:color w:val="0068B5"/>
                <w:sz w:val="18"/>
                <w:szCs w:val="18"/>
              </w:rPr>
              <w:t>down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050" w14:textId="77777777" w:rsidR="0008009C" w:rsidRDefault="00936FDF">
            <w:pPr>
              <w:textAlignment w:val="center"/>
            </w:pPr>
            <w:r>
              <w:rPr>
                <w:rFonts w:ascii="Arial" w:eastAsia="宋体" w:hAnsi="Arial" w:cs="Arial"/>
                <w:color w:val="0068B5"/>
                <w:sz w:val="18"/>
                <w:szCs w:val="18"/>
              </w:rPr>
              <w:t>(4)%</w:t>
            </w:r>
          </w:p>
        </w:tc>
        <w:tc>
          <w:tcPr>
            <w:tcW w:w="0" w:type="auto"/>
            <w:gridSpan w:val="3"/>
            <w:shd w:val="clear" w:color="auto" w:fill="auto"/>
            <w:tcMar>
              <w:top w:w="0" w:type="dxa"/>
              <w:left w:w="20" w:type="dxa"/>
              <w:bottom w:w="0" w:type="dxa"/>
              <w:right w:w="20" w:type="dxa"/>
            </w:tcMar>
          </w:tcPr>
          <w:p w14:paraId="5C7C7051"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center"/>
          </w:tcPr>
          <w:p w14:paraId="5C7C7052" w14:textId="77777777" w:rsidR="0008009C" w:rsidRDefault="00936FDF">
            <w:pPr>
              <w:textAlignment w:val="center"/>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center"/>
          </w:tcPr>
          <w:p w14:paraId="5C7C7053" w14:textId="77777777" w:rsidR="0008009C" w:rsidRDefault="00936FDF">
            <w:pPr>
              <w:jc w:val="right"/>
              <w:textAlignment w:val="center"/>
            </w:pPr>
            <w:r>
              <w:rPr>
                <w:rFonts w:ascii="Arial" w:eastAsia="宋体" w:hAnsi="Arial" w:cs="Arial"/>
                <w:color w:val="0068B5"/>
                <w:sz w:val="18"/>
                <w:szCs w:val="18"/>
              </w:rPr>
              <w:t>(63)</w:t>
            </w:r>
          </w:p>
        </w:tc>
        <w:tc>
          <w:tcPr>
            <w:tcW w:w="0" w:type="auto"/>
            <w:tcBorders>
              <w:top w:val="single" w:sz="8" w:space="0" w:color="0068B5"/>
            </w:tcBorders>
            <w:shd w:val="clear" w:color="auto" w:fill="auto"/>
            <w:tcMar>
              <w:top w:w="40" w:type="dxa"/>
              <w:left w:w="0" w:type="dxa"/>
              <w:bottom w:w="40" w:type="dxa"/>
              <w:right w:w="20" w:type="dxa"/>
            </w:tcMar>
            <w:vAlign w:val="center"/>
          </w:tcPr>
          <w:p w14:paraId="5C7C7054" w14:textId="77777777" w:rsidR="0008009C" w:rsidRDefault="0008009C">
            <w:pPr>
              <w:jc w:val="right"/>
              <w:rPr>
                <w:rFonts w:ascii="宋体"/>
              </w:rPr>
            </w:pPr>
          </w:p>
        </w:tc>
        <w:tc>
          <w:tcPr>
            <w:tcW w:w="0" w:type="auto"/>
            <w:shd w:val="clear" w:color="auto" w:fill="auto"/>
          </w:tcPr>
          <w:p w14:paraId="5C7C7055" w14:textId="77777777" w:rsidR="0008009C" w:rsidRDefault="0008009C">
            <w:pPr>
              <w:rPr>
                <w:rFonts w:ascii="宋体"/>
                <w:vanish/>
              </w:rPr>
            </w:pPr>
          </w:p>
        </w:tc>
        <w:tc>
          <w:tcPr>
            <w:tcW w:w="0" w:type="auto"/>
            <w:shd w:val="clear" w:color="auto" w:fill="auto"/>
          </w:tcPr>
          <w:p w14:paraId="5C7C7056" w14:textId="77777777" w:rsidR="0008009C" w:rsidRDefault="0008009C">
            <w:pPr>
              <w:rPr>
                <w:rFonts w:ascii="宋体"/>
                <w:vanish/>
              </w:rPr>
            </w:pPr>
          </w:p>
        </w:tc>
        <w:tc>
          <w:tcPr>
            <w:tcW w:w="0" w:type="auto"/>
            <w:gridSpan w:val="3"/>
            <w:shd w:val="clear" w:color="auto" w:fill="auto"/>
          </w:tcPr>
          <w:p w14:paraId="5C7C7057" w14:textId="77777777" w:rsidR="0008009C" w:rsidRDefault="0008009C">
            <w:pPr>
              <w:rPr>
                <w:rFonts w:ascii="宋体"/>
                <w:vanish/>
              </w:rPr>
            </w:pPr>
          </w:p>
        </w:tc>
        <w:tc>
          <w:tcPr>
            <w:tcW w:w="0" w:type="auto"/>
            <w:gridSpan w:val="3"/>
            <w:shd w:val="clear" w:color="auto" w:fill="auto"/>
          </w:tcPr>
          <w:p w14:paraId="5C7C7058" w14:textId="77777777" w:rsidR="0008009C" w:rsidRDefault="0008009C">
            <w:pPr>
              <w:rPr>
                <w:rFonts w:ascii="宋体"/>
                <w:vanish/>
              </w:rPr>
            </w:pPr>
          </w:p>
        </w:tc>
        <w:tc>
          <w:tcPr>
            <w:tcW w:w="0" w:type="auto"/>
            <w:gridSpan w:val="3"/>
            <w:shd w:val="clear" w:color="auto" w:fill="auto"/>
          </w:tcPr>
          <w:p w14:paraId="5C7C7059" w14:textId="77777777" w:rsidR="0008009C" w:rsidRDefault="0008009C">
            <w:pPr>
              <w:rPr>
                <w:rFonts w:ascii="宋体"/>
                <w:vanish/>
              </w:rPr>
            </w:pPr>
          </w:p>
        </w:tc>
      </w:tr>
      <w:tr w:rsidR="0008009C" w14:paraId="5C7C7067" w14:textId="77777777">
        <w:trPr>
          <w:trHeight w:val="280"/>
        </w:trPr>
        <w:tc>
          <w:tcPr>
            <w:tcW w:w="0" w:type="auto"/>
            <w:gridSpan w:val="3"/>
            <w:shd w:val="clear" w:color="auto" w:fill="auto"/>
            <w:tcMar>
              <w:top w:w="40" w:type="dxa"/>
              <w:left w:w="20" w:type="dxa"/>
              <w:bottom w:w="40" w:type="dxa"/>
              <w:right w:w="20" w:type="dxa"/>
            </w:tcMar>
            <w:vAlign w:val="bottom"/>
          </w:tcPr>
          <w:p w14:paraId="5C7C705B" w14:textId="77777777" w:rsidR="0008009C" w:rsidRDefault="00936FDF">
            <w:pPr>
              <w:textAlignment w:val="bottom"/>
            </w:pPr>
            <w:r>
              <w:rPr>
                <w:rFonts w:ascii="Arial" w:eastAsia="宋体" w:hAnsi="Arial" w:cs="Arial"/>
                <w:color w:val="262626"/>
                <w:sz w:val="18"/>
                <w:szCs w:val="18"/>
              </w:rPr>
              <w:t>Desktop platform ASP</w:t>
            </w:r>
          </w:p>
        </w:tc>
        <w:tc>
          <w:tcPr>
            <w:tcW w:w="0" w:type="auto"/>
            <w:gridSpan w:val="3"/>
            <w:shd w:val="clear" w:color="auto" w:fill="auto"/>
            <w:tcMar>
              <w:top w:w="0" w:type="dxa"/>
              <w:left w:w="20" w:type="dxa"/>
              <w:bottom w:w="0" w:type="dxa"/>
              <w:right w:w="20" w:type="dxa"/>
            </w:tcMar>
          </w:tcPr>
          <w:p w14:paraId="5C7C705C"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center"/>
          </w:tcPr>
          <w:p w14:paraId="5C7C705D" w14:textId="77777777" w:rsidR="0008009C" w:rsidRDefault="00936FDF">
            <w:pPr>
              <w:jc w:val="right"/>
              <w:textAlignment w:val="center"/>
            </w:pPr>
            <w:r>
              <w:rPr>
                <w:rFonts w:ascii="Arial" w:eastAsia="宋体" w:hAnsi="Arial" w:cs="Arial"/>
                <w:color w:val="0068B5"/>
                <w:sz w:val="18"/>
                <w:szCs w:val="18"/>
              </w:rPr>
              <w:t>down</w:t>
            </w:r>
          </w:p>
        </w:tc>
        <w:tc>
          <w:tcPr>
            <w:tcW w:w="0" w:type="auto"/>
            <w:gridSpan w:val="3"/>
            <w:shd w:val="clear" w:color="auto" w:fill="auto"/>
            <w:tcMar>
              <w:top w:w="40" w:type="dxa"/>
              <w:left w:w="20" w:type="dxa"/>
              <w:bottom w:w="40" w:type="dxa"/>
              <w:right w:w="20" w:type="dxa"/>
            </w:tcMar>
            <w:vAlign w:val="center"/>
          </w:tcPr>
          <w:p w14:paraId="5C7C705E" w14:textId="77777777" w:rsidR="0008009C" w:rsidRDefault="00936FDF">
            <w:pPr>
              <w:textAlignment w:val="center"/>
            </w:pPr>
            <w:r>
              <w:rPr>
                <w:rFonts w:ascii="Arial" w:eastAsia="宋体" w:hAnsi="Arial" w:cs="Arial"/>
                <w:color w:val="0068B5"/>
                <w:sz w:val="18"/>
                <w:szCs w:val="18"/>
              </w:rPr>
              <w:t>(5)%</w:t>
            </w:r>
          </w:p>
        </w:tc>
        <w:tc>
          <w:tcPr>
            <w:tcW w:w="0" w:type="auto"/>
            <w:gridSpan w:val="3"/>
            <w:shd w:val="clear" w:color="auto" w:fill="auto"/>
            <w:tcMar>
              <w:top w:w="0" w:type="dxa"/>
              <w:left w:w="20" w:type="dxa"/>
              <w:bottom w:w="0" w:type="dxa"/>
              <w:right w:w="20" w:type="dxa"/>
            </w:tcMar>
          </w:tcPr>
          <w:p w14:paraId="5C7C705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center"/>
          </w:tcPr>
          <w:p w14:paraId="5C7C7060" w14:textId="77777777" w:rsidR="0008009C" w:rsidRDefault="00936FDF">
            <w:pPr>
              <w:jc w:val="right"/>
              <w:textAlignment w:val="center"/>
            </w:pPr>
            <w:r>
              <w:rPr>
                <w:rFonts w:ascii="Arial" w:eastAsia="宋体" w:hAnsi="Arial" w:cs="Arial"/>
                <w:color w:val="0068B5"/>
                <w:sz w:val="18"/>
                <w:szCs w:val="18"/>
              </w:rPr>
              <w:t>(133)</w:t>
            </w:r>
          </w:p>
        </w:tc>
        <w:tc>
          <w:tcPr>
            <w:tcW w:w="0" w:type="auto"/>
            <w:shd w:val="clear" w:color="auto" w:fill="auto"/>
            <w:tcMar>
              <w:top w:w="40" w:type="dxa"/>
              <w:left w:w="0" w:type="dxa"/>
              <w:bottom w:w="40" w:type="dxa"/>
              <w:right w:w="20" w:type="dxa"/>
            </w:tcMar>
            <w:vAlign w:val="center"/>
          </w:tcPr>
          <w:p w14:paraId="5C7C7061" w14:textId="77777777" w:rsidR="0008009C" w:rsidRDefault="0008009C">
            <w:pPr>
              <w:jc w:val="right"/>
              <w:rPr>
                <w:rFonts w:ascii="宋体"/>
              </w:rPr>
            </w:pPr>
          </w:p>
        </w:tc>
        <w:tc>
          <w:tcPr>
            <w:tcW w:w="0" w:type="auto"/>
            <w:shd w:val="clear" w:color="auto" w:fill="auto"/>
          </w:tcPr>
          <w:p w14:paraId="5C7C7062" w14:textId="77777777" w:rsidR="0008009C" w:rsidRDefault="0008009C">
            <w:pPr>
              <w:rPr>
                <w:rFonts w:ascii="宋体"/>
                <w:vanish/>
              </w:rPr>
            </w:pPr>
          </w:p>
        </w:tc>
        <w:tc>
          <w:tcPr>
            <w:tcW w:w="0" w:type="auto"/>
            <w:shd w:val="clear" w:color="auto" w:fill="auto"/>
          </w:tcPr>
          <w:p w14:paraId="5C7C7063" w14:textId="77777777" w:rsidR="0008009C" w:rsidRDefault="0008009C">
            <w:pPr>
              <w:rPr>
                <w:rFonts w:ascii="宋体"/>
                <w:vanish/>
              </w:rPr>
            </w:pPr>
          </w:p>
        </w:tc>
        <w:tc>
          <w:tcPr>
            <w:tcW w:w="0" w:type="auto"/>
            <w:gridSpan w:val="3"/>
            <w:shd w:val="clear" w:color="auto" w:fill="auto"/>
          </w:tcPr>
          <w:p w14:paraId="5C7C7064" w14:textId="77777777" w:rsidR="0008009C" w:rsidRDefault="0008009C">
            <w:pPr>
              <w:rPr>
                <w:rFonts w:ascii="宋体"/>
                <w:vanish/>
              </w:rPr>
            </w:pPr>
          </w:p>
        </w:tc>
        <w:tc>
          <w:tcPr>
            <w:tcW w:w="0" w:type="auto"/>
            <w:gridSpan w:val="3"/>
            <w:shd w:val="clear" w:color="auto" w:fill="auto"/>
          </w:tcPr>
          <w:p w14:paraId="5C7C7065" w14:textId="77777777" w:rsidR="0008009C" w:rsidRDefault="0008009C">
            <w:pPr>
              <w:rPr>
                <w:rFonts w:ascii="宋体"/>
                <w:vanish/>
              </w:rPr>
            </w:pPr>
          </w:p>
        </w:tc>
        <w:tc>
          <w:tcPr>
            <w:tcW w:w="0" w:type="auto"/>
            <w:gridSpan w:val="3"/>
            <w:shd w:val="clear" w:color="auto" w:fill="auto"/>
          </w:tcPr>
          <w:p w14:paraId="5C7C7066" w14:textId="77777777" w:rsidR="0008009C" w:rsidRDefault="0008009C">
            <w:pPr>
              <w:rPr>
                <w:rFonts w:ascii="宋体"/>
                <w:vanish/>
              </w:rPr>
            </w:pPr>
          </w:p>
        </w:tc>
      </w:tr>
      <w:tr w:rsidR="0008009C" w14:paraId="5C7C7074" w14:textId="77777777">
        <w:trPr>
          <w:trHeight w:val="280"/>
        </w:trPr>
        <w:tc>
          <w:tcPr>
            <w:tcW w:w="0" w:type="auto"/>
            <w:gridSpan w:val="3"/>
            <w:shd w:val="clear" w:color="auto" w:fill="auto"/>
            <w:tcMar>
              <w:top w:w="40" w:type="dxa"/>
              <w:left w:w="20" w:type="dxa"/>
              <w:bottom w:w="40" w:type="dxa"/>
              <w:right w:w="20" w:type="dxa"/>
            </w:tcMar>
            <w:vAlign w:val="bottom"/>
          </w:tcPr>
          <w:p w14:paraId="5C7C7068" w14:textId="77777777" w:rsidR="0008009C" w:rsidRDefault="00936FDF">
            <w:pPr>
              <w:textAlignment w:val="bottom"/>
            </w:pPr>
            <w:r>
              <w:rPr>
                <w:rFonts w:ascii="Arial" w:eastAsia="宋体" w:hAnsi="Arial" w:cs="Arial"/>
                <w:color w:val="262626"/>
                <w:sz w:val="18"/>
                <w:szCs w:val="18"/>
              </w:rPr>
              <w:t>Notebook platform volume</w:t>
            </w:r>
          </w:p>
        </w:tc>
        <w:tc>
          <w:tcPr>
            <w:tcW w:w="0" w:type="auto"/>
            <w:gridSpan w:val="3"/>
            <w:shd w:val="clear" w:color="auto" w:fill="auto"/>
            <w:tcMar>
              <w:top w:w="0" w:type="dxa"/>
              <w:left w:w="20" w:type="dxa"/>
              <w:bottom w:w="0" w:type="dxa"/>
              <w:right w:w="20" w:type="dxa"/>
            </w:tcMar>
          </w:tcPr>
          <w:p w14:paraId="5C7C7069"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center"/>
          </w:tcPr>
          <w:p w14:paraId="5C7C706A" w14:textId="77777777" w:rsidR="0008009C" w:rsidRDefault="00936FDF">
            <w:pPr>
              <w:jc w:val="right"/>
              <w:textAlignment w:val="center"/>
            </w:pPr>
            <w:r>
              <w:rPr>
                <w:rFonts w:ascii="Arial" w:eastAsia="宋体" w:hAnsi="Arial" w:cs="Arial"/>
                <w:color w:val="0068B5"/>
                <w:sz w:val="18"/>
                <w:szCs w:val="18"/>
              </w:rPr>
              <w:t>up</w:t>
            </w:r>
          </w:p>
        </w:tc>
        <w:tc>
          <w:tcPr>
            <w:tcW w:w="0" w:type="auto"/>
            <w:gridSpan w:val="3"/>
            <w:shd w:val="clear" w:color="auto" w:fill="auto"/>
            <w:tcMar>
              <w:top w:w="40" w:type="dxa"/>
              <w:left w:w="20" w:type="dxa"/>
              <w:bottom w:w="40" w:type="dxa"/>
              <w:right w:w="20" w:type="dxa"/>
            </w:tcMar>
            <w:vAlign w:val="center"/>
          </w:tcPr>
          <w:p w14:paraId="5C7C706B" w14:textId="77777777" w:rsidR="0008009C" w:rsidRDefault="00936FDF">
            <w:pPr>
              <w:textAlignment w:val="center"/>
            </w:pPr>
            <w:r>
              <w:rPr>
                <w:rFonts w:ascii="Arial" w:eastAsia="宋体" w:hAnsi="Arial" w:cs="Arial"/>
                <w:color w:val="0068B5"/>
                <w:sz w:val="18"/>
                <w:szCs w:val="18"/>
              </w:rPr>
              <w:t>54%</w:t>
            </w:r>
          </w:p>
        </w:tc>
        <w:tc>
          <w:tcPr>
            <w:tcW w:w="0" w:type="auto"/>
            <w:gridSpan w:val="3"/>
            <w:shd w:val="clear" w:color="auto" w:fill="auto"/>
            <w:tcMar>
              <w:top w:w="0" w:type="dxa"/>
              <w:left w:w="20" w:type="dxa"/>
              <w:bottom w:w="0" w:type="dxa"/>
              <w:right w:w="20" w:type="dxa"/>
            </w:tcMar>
          </w:tcPr>
          <w:p w14:paraId="5C7C706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center"/>
          </w:tcPr>
          <w:p w14:paraId="5C7C706D" w14:textId="77777777" w:rsidR="0008009C" w:rsidRDefault="00936FDF">
            <w:pPr>
              <w:jc w:val="right"/>
              <w:textAlignment w:val="center"/>
            </w:pPr>
            <w:r>
              <w:rPr>
                <w:rFonts w:ascii="Arial" w:eastAsia="宋体" w:hAnsi="Arial" w:cs="Arial"/>
                <w:color w:val="0068B5"/>
                <w:sz w:val="18"/>
                <w:szCs w:val="18"/>
              </w:rPr>
              <w:t>3,196 </w:t>
            </w:r>
          </w:p>
        </w:tc>
        <w:tc>
          <w:tcPr>
            <w:tcW w:w="0" w:type="auto"/>
            <w:shd w:val="clear" w:color="auto" w:fill="auto"/>
            <w:tcMar>
              <w:top w:w="40" w:type="dxa"/>
              <w:left w:w="0" w:type="dxa"/>
              <w:bottom w:w="40" w:type="dxa"/>
              <w:right w:w="20" w:type="dxa"/>
            </w:tcMar>
            <w:vAlign w:val="center"/>
          </w:tcPr>
          <w:p w14:paraId="5C7C706E" w14:textId="77777777" w:rsidR="0008009C" w:rsidRDefault="0008009C">
            <w:pPr>
              <w:jc w:val="right"/>
              <w:rPr>
                <w:rFonts w:ascii="宋体"/>
              </w:rPr>
            </w:pPr>
          </w:p>
        </w:tc>
        <w:tc>
          <w:tcPr>
            <w:tcW w:w="0" w:type="auto"/>
            <w:shd w:val="clear" w:color="auto" w:fill="auto"/>
          </w:tcPr>
          <w:p w14:paraId="5C7C706F" w14:textId="77777777" w:rsidR="0008009C" w:rsidRDefault="0008009C">
            <w:pPr>
              <w:rPr>
                <w:rFonts w:ascii="宋体"/>
                <w:vanish/>
              </w:rPr>
            </w:pPr>
          </w:p>
        </w:tc>
        <w:tc>
          <w:tcPr>
            <w:tcW w:w="0" w:type="auto"/>
            <w:shd w:val="clear" w:color="auto" w:fill="auto"/>
          </w:tcPr>
          <w:p w14:paraId="5C7C7070" w14:textId="77777777" w:rsidR="0008009C" w:rsidRDefault="0008009C">
            <w:pPr>
              <w:rPr>
                <w:rFonts w:ascii="宋体"/>
                <w:vanish/>
              </w:rPr>
            </w:pPr>
          </w:p>
        </w:tc>
        <w:tc>
          <w:tcPr>
            <w:tcW w:w="0" w:type="auto"/>
            <w:gridSpan w:val="3"/>
            <w:shd w:val="clear" w:color="auto" w:fill="auto"/>
          </w:tcPr>
          <w:p w14:paraId="5C7C7071" w14:textId="77777777" w:rsidR="0008009C" w:rsidRDefault="0008009C">
            <w:pPr>
              <w:rPr>
                <w:rFonts w:ascii="宋体"/>
                <w:vanish/>
              </w:rPr>
            </w:pPr>
          </w:p>
        </w:tc>
        <w:tc>
          <w:tcPr>
            <w:tcW w:w="0" w:type="auto"/>
            <w:gridSpan w:val="3"/>
            <w:shd w:val="clear" w:color="auto" w:fill="auto"/>
          </w:tcPr>
          <w:p w14:paraId="5C7C7072" w14:textId="77777777" w:rsidR="0008009C" w:rsidRDefault="0008009C">
            <w:pPr>
              <w:rPr>
                <w:rFonts w:ascii="宋体"/>
                <w:vanish/>
              </w:rPr>
            </w:pPr>
          </w:p>
        </w:tc>
        <w:tc>
          <w:tcPr>
            <w:tcW w:w="0" w:type="auto"/>
            <w:gridSpan w:val="3"/>
            <w:shd w:val="clear" w:color="auto" w:fill="auto"/>
          </w:tcPr>
          <w:p w14:paraId="5C7C7073" w14:textId="77777777" w:rsidR="0008009C" w:rsidRDefault="0008009C">
            <w:pPr>
              <w:rPr>
                <w:rFonts w:ascii="宋体"/>
                <w:vanish/>
              </w:rPr>
            </w:pPr>
          </w:p>
        </w:tc>
      </w:tr>
      <w:tr w:rsidR="0008009C" w14:paraId="5C7C7081" w14:textId="77777777">
        <w:trPr>
          <w:trHeight w:val="280"/>
        </w:trPr>
        <w:tc>
          <w:tcPr>
            <w:tcW w:w="0" w:type="auto"/>
            <w:gridSpan w:val="3"/>
            <w:shd w:val="clear" w:color="auto" w:fill="auto"/>
            <w:tcMar>
              <w:top w:w="40" w:type="dxa"/>
              <w:left w:w="20" w:type="dxa"/>
              <w:bottom w:w="40" w:type="dxa"/>
              <w:right w:w="20" w:type="dxa"/>
            </w:tcMar>
            <w:vAlign w:val="bottom"/>
          </w:tcPr>
          <w:p w14:paraId="5C7C7075" w14:textId="77777777" w:rsidR="0008009C" w:rsidRDefault="00936FDF">
            <w:pPr>
              <w:textAlignment w:val="bottom"/>
            </w:pPr>
            <w:r>
              <w:rPr>
                <w:rFonts w:ascii="Arial" w:eastAsia="宋体" w:hAnsi="Arial" w:cs="Arial"/>
                <w:color w:val="262626"/>
                <w:sz w:val="18"/>
                <w:szCs w:val="18"/>
              </w:rPr>
              <w:t>Notebook platform ASP</w:t>
            </w:r>
          </w:p>
        </w:tc>
        <w:tc>
          <w:tcPr>
            <w:tcW w:w="0" w:type="auto"/>
            <w:gridSpan w:val="3"/>
            <w:shd w:val="clear" w:color="auto" w:fill="auto"/>
            <w:tcMar>
              <w:top w:w="0" w:type="dxa"/>
              <w:left w:w="20" w:type="dxa"/>
              <w:bottom w:w="0" w:type="dxa"/>
              <w:right w:w="20" w:type="dxa"/>
            </w:tcMar>
          </w:tcPr>
          <w:p w14:paraId="5C7C7076"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center"/>
          </w:tcPr>
          <w:p w14:paraId="5C7C7077" w14:textId="77777777" w:rsidR="0008009C" w:rsidRDefault="00936FDF">
            <w:pPr>
              <w:jc w:val="right"/>
              <w:textAlignment w:val="center"/>
            </w:pPr>
            <w:r>
              <w:rPr>
                <w:rFonts w:ascii="Arial" w:eastAsia="宋体" w:hAnsi="Arial" w:cs="Arial"/>
                <w:color w:val="0068B5"/>
                <w:sz w:val="18"/>
                <w:szCs w:val="18"/>
              </w:rPr>
              <w:t>down</w:t>
            </w:r>
          </w:p>
        </w:tc>
        <w:tc>
          <w:tcPr>
            <w:tcW w:w="0" w:type="auto"/>
            <w:gridSpan w:val="3"/>
            <w:shd w:val="clear" w:color="auto" w:fill="auto"/>
            <w:tcMar>
              <w:top w:w="40" w:type="dxa"/>
              <w:left w:w="20" w:type="dxa"/>
              <w:bottom w:w="40" w:type="dxa"/>
              <w:right w:w="20" w:type="dxa"/>
            </w:tcMar>
            <w:vAlign w:val="center"/>
          </w:tcPr>
          <w:p w14:paraId="5C7C7078" w14:textId="77777777" w:rsidR="0008009C" w:rsidRDefault="00936FDF">
            <w:pPr>
              <w:textAlignment w:val="center"/>
            </w:pPr>
            <w:r>
              <w:rPr>
                <w:rFonts w:ascii="Arial" w:eastAsia="宋体" w:hAnsi="Arial" w:cs="Arial"/>
                <w:color w:val="0068B5"/>
                <w:sz w:val="18"/>
                <w:szCs w:val="18"/>
              </w:rPr>
              <w:t>(23)%</w:t>
            </w:r>
          </w:p>
        </w:tc>
        <w:tc>
          <w:tcPr>
            <w:tcW w:w="0" w:type="auto"/>
            <w:gridSpan w:val="3"/>
            <w:shd w:val="clear" w:color="auto" w:fill="auto"/>
            <w:tcMar>
              <w:top w:w="0" w:type="dxa"/>
              <w:left w:w="20" w:type="dxa"/>
              <w:bottom w:w="0" w:type="dxa"/>
              <w:right w:w="20" w:type="dxa"/>
            </w:tcMar>
          </w:tcPr>
          <w:p w14:paraId="5C7C707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center"/>
          </w:tcPr>
          <w:p w14:paraId="5C7C707A" w14:textId="77777777" w:rsidR="0008009C" w:rsidRDefault="00936FDF">
            <w:pPr>
              <w:jc w:val="right"/>
              <w:textAlignment w:val="center"/>
            </w:pPr>
            <w:r>
              <w:rPr>
                <w:rFonts w:ascii="Arial" w:eastAsia="宋体" w:hAnsi="Arial" w:cs="Arial"/>
                <w:color w:val="0068B5"/>
                <w:sz w:val="18"/>
                <w:szCs w:val="18"/>
              </w:rPr>
              <w:t>(2,094)</w:t>
            </w:r>
          </w:p>
        </w:tc>
        <w:tc>
          <w:tcPr>
            <w:tcW w:w="0" w:type="auto"/>
            <w:shd w:val="clear" w:color="auto" w:fill="auto"/>
            <w:tcMar>
              <w:top w:w="40" w:type="dxa"/>
              <w:left w:w="0" w:type="dxa"/>
              <w:bottom w:w="40" w:type="dxa"/>
              <w:right w:w="20" w:type="dxa"/>
            </w:tcMar>
            <w:vAlign w:val="center"/>
          </w:tcPr>
          <w:p w14:paraId="5C7C707B" w14:textId="77777777" w:rsidR="0008009C" w:rsidRDefault="0008009C">
            <w:pPr>
              <w:jc w:val="right"/>
              <w:rPr>
                <w:rFonts w:ascii="宋体"/>
              </w:rPr>
            </w:pPr>
          </w:p>
        </w:tc>
        <w:tc>
          <w:tcPr>
            <w:tcW w:w="0" w:type="auto"/>
            <w:shd w:val="clear" w:color="auto" w:fill="auto"/>
          </w:tcPr>
          <w:p w14:paraId="5C7C707C" w14:textId="77777777" w:rsidR="0008009C" w:rsidRDefault="0008009C">
            <w:pPr>
              <w:rPr>
                <w:rFonts w:ascii="宋体"/>
                <w:vanish/>
              </w:rPr>
            </w:pPr>
          </w:p>
        </w:tc>
        <w:tc>
          <w:tcPr>
            <w:tcW w:w="0" w:type="auto"/>
            <w:shd w:val="clear" w:color="auto" w:fill="auto"/>
          </w:tcPr>
          <w:p w14:paraId="5C7C707D" w14:textId="77777777" w:rsidR="0008009C" w:rsidRDefault="0008009C">
            <w:pPr>
              <w:rPr>
                <w:rFonts w:ascii="宋体"/>
                <w:vanish/>
              </w:rPr>
            </w:pPr>
          </w:p>
        </w:tc>
        <w:tc>
          <w:tcPr>
            <w:tcW w:w="0" w:type="auto"/>
            <w:gridSpan w:val="3"/>
            <w:shd w:val="clear" w:color="auto" w:fill="auto"/>
          </w:tcPr>
          <w:p w14:paraId="5C7C707E" w14:textId="77777777" w:rsidR="0008009C" w:rsidRDefault="0008009C">
            <w:pPr>
              <w:rPr>
                <w:rFonts w:ascii="宋体"/>
                <w:vanish/>
              </w:rPr>
            </w:pPr>
          </w:p>
        </w:tc>
        <w:tc>
          <w:tcPr>
            <w:tcW w:w="0" w:type="auto"/>
            <w:gridSpan w:val="3"/>
            <w:shd w:val="clear" w:color="auto" w:fill="auto"/>
          </w:tcPr>
          <w:p w14:paraId="5C7C707F" w14:textId="77777777" w:rsidR="0008009C" w:rsidRDefault="0008009C">
            <w:pPr>
              <w:rPr>
                <w:rFonts w:ascii="宋体"/>
                <w:vanish/>
              </w:rPr>
            </w:pPr>
          </w:p>
        </w:tc>
        <w:tc>
          <w:tcPr>
            <w:tcW w:w="0" w:type="auto"/>
            <w:gridSpan w:val="3"/>
            <w:shd w:val="clear" w:color="auto" w:fill="auto"/>
          </w:tcPr>
          <w:p w14:paraId="5C7C7080" w14:textId="77777777" w:rsidR="0008009C" w:rsidRDefault="0008009C">
            <w:pPr>
              <w:rPr>
                <w:rFonts w:ascii="宋体"/>
                <w:vanish/>
              </w:rPr>
            </w:pPr>
          </w:p>
        </w:tc>
      </w:tr>
      <w:tr w:rsidR="0008009C" w14:paraId="5C7C708E" w14:textId="77777777">
        <w:trPr>
          <w:trHeight w:val="280"/>
        </w:trPr>
        <w:tc>
          <w:tcPr>
            <w:tcW w:w="0" w:type="auto"/>
            <w:gridSpan w:val="3"/>
            <w:shd w:val="clear" w:color="auto" w:fill="auto"/>
            <w:tcMar>
              <w:top w:w="40" w:type="dxa"/>
              <w:left w:w="20" w:type="dxa"/>
              <w:bottom w:w="40" w:type="dxa"/>
              <w:right w:w="20" w:type="dxa"/>
            </w:tcMar>
            <w:vAlign w:val="bottom"/>
          </w:tcPr>
          <w:p w14:paraId="5C7C7082" w14:textId="77777777" w:rsidR="0008009C" w:rsidRDefault="00936FDF">
            <w:pPr>
              <w:textAlignment w:val="bottom"/>
            </w:pPr>
            <w:r>
              <w:rPr>
                <w:rFonts w:ascii="Arial" w:eastAsia="宋体" w:hAnsi="Arial" w:cs="Arial"/>
                <w:color w:val="262626"/>
                <w:sz w:val="18"/>
                <w:szCs w:val="18"/>
              </w:rPr>
              <w:t>Adjacent products and other</w:t>
            </w:r>
          </w:p>
        </w:tc>
        <w:tc>
          <w:tcPr>
            <w:tcW w:w="0" w:type="auto"/>
            <w:gridSpan w:val="3"/>
            <w:shd w:val="clear" w:color="auto" w:fill="auto"/>
            <w:tcMar>
              <w:top w:w="0" w:type="dxa"/>
              <w:left w:w="20" w:type="dxa"/>
              <w:bottom w:w="0" w:type="dxa"/>
              <w:right w:w="20" w:type="dxa"/>
            </w:tcMar>
          </w:tcPr>
          <w:p w14:paraId="5C7C708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08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08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08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center"/>
          </w:tcPr>
          <w:p w14:paraId="5C7C7087" w14:textId="77777777" w:rsidR="0008009C" w:rsidRDefault="00936FDF">
            <w:pPr>
              <w:jc w:val="right"/>
              <w:textAlignment w:val="center"/>
            </w:pPr>
            <w:r>
              <w:rPr>
                <w:rFonts w:ascii="Arial" w:eastAsia="宋体" w:hAnsi="Arial" w:cs="Arial"/>
                <w:color w:val="0068B5"/>
                <w:sz w:val="18"/>
                <w:szCs w:val="18"/>
              </w:rPr>
              <w:t>(76)</w:t>
            </w:r>
          </w:p>
        </w:tc>
        <w:tc>
          <w:tcPr>
            <w:tcW w:w="0" w:type="auto"/>
            <w:shd w:val="clear" w:color="auto" w:fill="auto"/>
            <w:tcMar>
              <w:top w:w="40" w:type="dxa"/>
              <w:left w:w="0" w:type="dxa"/>
              <w:bottom w:w="40" w:type="dxa"/>
              <w:right w:w="20" w:type="dxa"/>
            </w:tcMar>
            <w:vAlign w:val="center"/>
          </w:tcPr>
          <w:p w14:paraId="5C7C7088" w14:textId="77777777" w:rsidR="0008009C" w:rsidRDefault="0008009C">
            <w:pPr>
              <w:jc w:val="right"/>
              <w:rPr>
                <w:rFonts w:ascii="宋体"/>
              </w:rPr>
            </w:pPr>
          </w:p>
        </w:tc>
        <w:tc>
          <w:tcPr>
            <w:tcW w:w="0" w:type="auto"/>
            <w:shd w:val="clear" w:color="auto" w:fill="auto"/>
          </w:tcPr>
          <w:p w14:paraId="5C7C7089" w14:textId="77777777" w:rsidR="0008009C" w:rsidRDefault="0008009C">
            <w:pPr>
              <w:rPr>
                <w:rFonts w:ascii="宋体"/>
                <w:vanish/>
              </w:rPr>
            </w:pPr>
          </w:p>
        </w:tc>
        <w:tc>
          <w:tcPr>
            <w:tcW w:w="0" w:type="auto"/>
            <w:shd w:val="clear" w:color="auto" w:fill="auto"/>
          </w:tcPr>
          <w:p w14:paraId="5C7C708A" w14:textId="77777777" w:rsidR="0008009C" w:rsidRDefault="0008009C">
            <w:pPr>
              <w:rPr>
                <w:rFonts w:ascii="宋体"/>
                <w:vanish/>
              </w:rPr>
            </w:pPr>
          </w:p>
        </w:tc>
        <w:tc>
          <w:tcPr>
            <w:tcW w:w="0" w:type="auto"/>
            <w:gridSpan w:val="3"/>
            <w:shd w:val="clear" w:color="auto" w:fill="auto"/>
          </w:tcPr>
          <w:p w14:paraId="5C7C708B" w14:textId="77777777" w:rsidR="0008009C" w:rsidRDefault="0008009C">
            <w:pPr>
              <w:rPr>
                <w:rFonts w:ascii="宋体"/>
                <w:vanish/>
              </w:rPr>
            </w:pPr>
          </w:p>
        </w:tc>
        <w:tc>
          <w:tcPr>
            <w:tcW w:w="0" w:type="auto"/>
            <w:gridSpan w:val="3"/>
            <w:shd w:val="clear" w:color="auto" w:fill="auto"/>
          </w:tcPr>
          <w:p w14:paraId="5C7C708C" w14:textId="77777777" w:rsidR="0008009C" w:rsidRDefault="0008009C">
            <w:pPr>
              <w:rPr>
                <w:rFonts w:ascii="宋体"/>
                <w:vanish/>
              </w:rPr>
            </w:pPr>
          </w:p>
        </w:tc>
        <w:tc>
          <w:tcPr>
            <w:tcW w:w="0" w:type="auto"/>
            <w:gridSpan w:val="3"/>
            <w:shd w:val="clear" w:color="auto" w:fill="auto"/>
          </w:tcPr>
          <w:p w14:paraId="5C7C708D" w14:textId="77777777" w:rsidR="0008009C" w:rsidRDefault="0008009C">
            <w:pPr>
              <w:rPr>
                <w:rFonts w:ascii="宋体"/>
                <w:vanish/>
              </w:rPr>
            </w:pPr>
          </w:p>
        </w:tc>
      </w:tr>
      <w:tr w:rsidR="0008009C" w14:paraId="5C7C709A" w14:textId="77777777">
        <w:trPr>
          <w:hidden/>
        </w:trPr>
        <w:tc>
          <w:tcPr>
            <w:tcW w:w="0" w:type="auto"/>
            <w:gridSpan w:val="3"/>
            <w:shd w:val="clear" w:color="auto" w:fill="auto"/>
          </w:tcPr>
          <w:p w14:paraId="5C7C708F" w14:textId="77777777" w:rsidR="0008009C" w:rsidRDefault="0008009C">
            <w:pPr>
              <w:rPr>
                <w:rFonts w:ascii="宋体"/>
                <w:vanish/>
              </w:rPr>
            </w:pPr>
          </w:p>
        </w:tc>
        <w:tc>
          <w:tcPr>
            <w:tcW w:w="0" w:type="auto"/>
            <w:gridSpan w:val="3"/>
            <w:shd w:val="clear" w:color="auto" w:fill="auto"/>
          </w:tcPr>
          <w:p w14:paraId="5C7C7090" w14:textId="77777777" w:rsidR="0008009C" w:rsidRDefault="0008009C">
            <w:pPr>
              <w:rPr>
                <w:rFonts w:ascii="宋体"/>
                <w:vanish/>
              </w:rPr>
            </w:pPr>
          </w:p>
        </w:tc>
        <w:tc>
          <w:tcPr>
            <w:tcW w:w="0" w:type="auto"/>
            <w:gridSpan w:val="3"/>
            <w:shd w:val="clear" w:color="auto" w:fill="auto"/>
          </w:tcPr>
          <w:p w14:paraId="5C7C7091" w14:textId="77777777" w:rsidR="0008009C" w:rsidRDefault="0008009C">
            <w:pPr>
              <w:rPr>
                <w:rFonts w:ascii="宋体"/>
                <w:vanish/>
              </w:rPr>
            </w:pPr>
          </w:p>
        </w:tc>
        <w:tc>
          <w:tcPr>
            <w:tcW w:w="0" w:type="auto"/>
            <w:gridSpan w:val="3"/>
            <w:shd w:val="clear" w:color="auto" w:fill="auto"/>
          </w:tcPr>
          <w:p w14:paraId="5C7C7092" w14:textId="77777777" w:rsidR="0008009C" w:rsidRDefault="0008009C">
            <w:pPr>
              <w:rPr>
                <w:rFonts w:ascii="宋体"/>
                <w:vanish/>
              </w:rPr>
            </w:pPr>
          </w:p>
        </w:tc>
        <w:tc>
          <w:tcPr>
            <w:tcW w:w="0" w:type="auto"/>
            <w:gridSpan w:val="3"/>
            <w:shd w:val="clear" w:color="auto" w:fill="auto"/>
          </w:tcPr>
          <w:p w14:paraId="5C7C7093" w14:textId="77777777" w:rsidR="0008009C" w:rsidRDefault="0008009C">
            <w:pPr>
              <w:rPr>
                <w:rFonts w:ascii="宋体"/>
                <w:vanish/>
              </w:rPr>
            </w:pPr>
          </w:p>
        </w:tc>
        <w:tc>
          <w:tcPr>
            <w:tcW w:w="0" w:type="auto"/>
            <w:gridSpan w:val="3"/>
            <w:shd w:val="clear" w:color="auto" w:fill="auto"/>
          </w:tcPr>
          <w:p w14:paraId="5C7C7094" w14:textId="77777777" w:rsidR="0008009C" w:rsidRDefault="0008009C">
            <w:pPr>
              <w:rPr>
                <w:rFonts w:ascii="宋体"/>
                <w:vanish/>
              </w:rPr>
            </w:pPr>
          </w:p>
        </w:tc>
        <w:tc>
          <w:tcPr>
            <w:tcW w:w="0" w:type="auto"/>
            <w:shd w:val="clear" w:color="auto" w:fill="auto"/>
          </w:tcPr>
          <w:p w14:paraId="5C7C7095" w14:textId="77777777" w:rsidR="0008009C" w:rsidRDefault="0008009C">
            <w:pPr>
              <w:rPr>
                <w:rFonts w:ascii="宋体"/>
                <w:vanish/>
              </w:rPr>
            </w:pPr>
          </w:p>
        </w:tc>
        <w:tc>
          <w:tcPr>
            <w:tcW w:w="0" w:type="auto"/>
            <w:shd w:val="clear" w:color="auto" w:fill="auto"/>
          </w:tcPr>
          <w:p w14:paraId="5C7C7096" w14:textId="77777777" w:rsidR="0008009C" w:rsidRDefault="0008009C">
            <w:pPr>
              <w:rPr>
                <w:rFonts w:ascii="宋体"/>
                <w:vanish/>
              </w:rPr>
            </w:pPr>
          </w:p>
        </w:tc>
        <w:tc>
          <w:tcPr>
            <w:tcW w:w="0" w:type="auto"/>
            <w:gridSpan w:val="3"/>
            <w:shd w:val="clear" w:color="auto" w:fill="auto"/>
          </w:tcPr>
          <w:p w14:paraId="5C7C7097" w14:textId="77777777" w:rsidR="0008009C" w:rsidRDefault="0008009C">
            <w:pPr>
              <w:rPr>
                <w:rFonts w:ascii="宋体"/>
                <w:vanish/>
              </w:rPr>
            </w:pPr>
          </w:p>
        </w:tc>
        <w:tc>
          <w:tcPr>
            <w:tcW w:w="0" w:type="auto"/>
            <w:gridSpan w:val="3"/>
            <w:shd w:val="clear" w:color="auto" w:fill="auto"/>
          </w:tcPr>
          <w:p w14:paraId="5C7C7098" w14:textId="77777777" w:rsidR="0008009C" w:rsidRDefault="0008009C">
            <w:pPr>
              <w:rPr>
                <w:rFonts w:ascii="宋体"/>
                <w:vanish/>
              </w:rPr>
            </w:pPr>
          </w:p>
        </w:tc>
        <w:tc>
          <w:tcPr>
            <w:tcW w:w="0" w:type="auto"/>
            <w:gridSpan w:val="3"/>
            <w:shd w:val="clear" w:color="auto" w:fill="auto"/>
          </w:tcPr>
          <w:p w14:paraId="5C7C7099" w14:textId="77777777" w:rsidR="0008009C" w:rsidRDefault="0008009C">
            <w:pPr>
              <w:rPr>
                <w:rFonts w:ascii="宋体"/>
                <w:vanish/>
              </w:rPr>
            </w:pPr>
          </w:p>
        </w:tc>
      </w:tr>
      <w:tr w:rsidR="0008009C" w14:paraId="5C7C70A8" w14:textId="77777777">
        <w:trPr>
          <w:trHeight w:val="280"/>
        </w:trPr>
        <w:tc>
          <w:tcPr>
            <w:tcW w:w="0" w:type="auto"/>
            <w:gridSpan w:val="3"/>
            <w:shd w:val="clear" w:color="auto" w:fill="auto"/>
            <w:tcMar>
              <w:top w:w="40" w:type="dxa"/>
              <w:left w:w="20" w:type="dxa"/>
              <w:bottom w:w="40" w:type="dxa"/>
              <w:right w:w="20" w:type="dxa"/>
            </w:tcMar>
            <w:vAlign w:val="bottom"/>
          </w:tcPr>
          <w:p w14:paraId="5C7C709B" w14:textId="77777777" w:rsidR="0008009C" w:rsidRDefault="00936FDF">
            <w:pPr>
              <w:textAlignment w:val="bottom"/>
            </w:pPr>
            <w:r>
              <w:rPr>
                <w:rFonts w:ascii="Arial" w:eastAsia="宋体" w:hAnsi="Arial" w:cs="Arial"/>
                <w:b/>
                <w:bCs/>
                <w:color w:val="262626"/>
                <w:sz w:val="18"/>
                <w:szCs w:val="18"/>
              </w:rPr>
              <w:t>Total change in revenue</w:t>
            </w:r>
          </w:p>
        </w:tc>
        <w:tc>
          <w:tcPr>
            <w:tcW w:w="0" w:type="auto"/>
            <w:gridSpan w:val="3"/>
            <w:shd w:val="clear" w:color="auto" w:fill="auto"/>
            <w:tcMar>
              <w:top w:w="0" w:type="dxa"/>
              <w:left w:w="20" w:type="dxa"/>
              <w:bottom w:w="0" w:type="dxa"/>
              <w:right w:w="20" w:type="dxa"/>
            </w:tcMar>
          </w:tcPr>
          <w:p w14:paraId="5C7C709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09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09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09F"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70A0"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70A1" w14:textId="77777777" w:rsidR="0008009C" w:rsidRDefault="00936FDF">
            <w:pPr>
              <w:jc w:val="right"/>
              <w:textAlignment w:val="bottom"/>
            </w:pPr>
            <w:r>
              <w:rPr>
                <w:rFonts w:ascii="Arial" w:eastAsia="宋体" w:hAnsi="Arial" w:cs="Arial"/>
                <w:b/>
                <w:bCs/>
                <w:color w:val="0068B5"/>
                <w:sz w:val="18"/>
                <w:szCs w:val="18"/>
              </w:rPr>
              <w:t>830</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70A2" w14:textId="77777777" w:rsidR="0008009C" w:rsidRDefault="0008009C">
            <w:pPr>
              <w:jc w:val="right"/>
              <w:rPr>
                <w:rFonts w:ascii="宋体"/>
              </w:rPr>
            </w:pPr>
          </w:p>
        </w:tc>
        <w:tc>
          <w:tcPr>
            <w:tcW w:w="0" w:type="auto"/>
            <w:shd w:val="clear" w:color="auto" w:fill="auto"/>
          </w:tcPr>
          <w:p w14:paraId="5C7C70A3" w14:textId="77777777" w:rsidR="0008009C" w:rsidRDefault="0008009C">
            <w:pPr>
              <w:rPr>
                <w:rFonts w:ascii="宋体"/>
                <w:vanish/>
              </w:rPr>
            </w:pPr>
          </w:p>
        </w:tc>
        <w:tc>
          <w:tcPr>
            <w:tcW w:w="0" w:type="auto"/>
            <w:shd w:val="clear" w:color="auto" w:fill="auto"/>
          </w:tcPr>
          <w:p w14:paraId="5C7C70A4" w14:textId="77777777" w:rsidR="0008009C" w:rsidRDefault="0008009C">
            <w:pPr>
              <w:rPr>
                <w:rFonts w:ascii="宋体"/>
                <w:vanish/>
              </w:rPr>
            </w:pPr>
          </w:p>
        </w:tc>
        <w:tc>
          <w:tcPr>
            <w:tcW w:w="0" w:type="auto"/>
            <w:gridSpan w:val="3"/>
            <w:shd w:val="clear" w:color="auto" w:fill="auto"/>
          </w:tcPr>
          <w:p w14:paraId="5C7C70A5" w14:textId="77777777" w:rsidR="0008009C" w:rsidRDefault="0008009C">
            <w:pPr>
              <w:rPr>
                <w:rFonts w:ascii="宋体"/>
                <w:vanish/>
              </w:rPr>
            </w:pPr>
          </w:p>
        </w:tc>
        <w:tc>
          <w:tcPr>
            <w:tcW w:w="0" w:type="auto"/>
            <w:gridSpan w:val="3"/>
            <w:shd w:val="clear" w:color="auto" w:fill="auto"/>
          </w:tcPr>
          <w:p w14:paraId="5C7C70A6" w14:textId="77777777" w:rsidR="0008009C" w:rsidRDefault="0008009C">
            <w:pPr>
              <w:rPr>
                <w:rFonts w:ascii="宋体"/>
                <w:vanish/>
              </w:rPr>
            </w:pPr>
          </w:p>
        </w:tc>
        <w:tc>
          <w:tcPr>
            <w:tcW w:w="0" w:type="auto"/>
            <w:gridSpan w:val="3"/>
            <w:shd w:val="clear" w:color="auto" w:fill="auto"/>
          </w:tcPr>
          <w:p w14:paraId="5C7C70A7" w14:textId="77777777" w:rsidR="0008009C" w:rsidRDefault="0008009C">
            <w:pPr>
              <w:rPr>
                <w:rFonts w:ascii="宋体"/>
                <w:vanish/>
              </w:rPr>
            </w:pPr>
          </w:p>
        </w:tc>
      </w:tr>
    </w:tbl>
    <w:p w14:paraId="5C7C70A9"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8009C" w14:paraId="5C7C70AD" w14:textId="77777777">
        <w:tc>
          <w:tcPr>
            <w:tcW w:w="50" w:type="pct"/>
            <w:shd w:val="clear" w:color="auto" w:fill="auto"/>
          </w:tcPr>
          <w:p w14:paraId="5C7C70AA" w14:textId="77777777" w:rsidR="0008009C" w:rsidRDefault="0008009C">
            <w:pPr>
              <w:rPr>
                <w:rFonts w:ascii="宋体"/>
              </w:rPr>
            </w:pPr>
          </w:p>
        </w:tc>
        <w:tc>
          <w:tcPr>
            <w:tcW w:w="4945" w:type="pct"/>
            <w:shd w:val="clear" w:color="auto" w:fill="auto"/>
          </w:tcPr>
          <w:p w14:paraId="5C7C70AB" w14:textId="77777777" w:rsidR="0008009C" w:rsidRDefault="0008009C">
            <w:pPr>
              <w:rPr>
                <w:rFonts w:ascii="宋体"/>
              </w:rPr>
            </w:pPr>
          </w:p>
        </w:tc>
        <w:tc>
          <w:tcPr>
            <w:tcW w:w="5" w:type="pct"/>
            <w:shd w:val="clear" w:color="auto" w:fill="auto"/>
          </w:tcPr>
          <w:p w14:paraId="5C7C70AC" w14:textId="77777777" w:rsidR="0008009C" w:rsidRDefault="0008009C">
            <w:pPr>
              <w:rPr>
                <w:rFonts w:ascii="宋体"/>
              </w:rPr>
            </w:pPr>
          </w:p>
        </w:tc>
      </w:tr>
      <w:tr w:rsidR="0008009C" w14:paraId="5C7C70AF"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70AE" w14:textId="77777777" w:rsidR="0008009C" w:rsidRDefault="00936FDF">
            <w:pPr>
              <w:textAlignment w:val="bottom"/>
            </w:pPr>
            <w:r>
              <w:rPr>
                <w:rFonts w:ascii="Arial" w:eastAsia="宋体" w:hAnsi="Arial" w:cs="Arial"/>
                <w:color w:val="0068B5"/>
                <w:sz w:val="20"/>
                <w:szCs w:val="20"/>
              </w:rPr>
              <w:t>Operating Income Summary</w:t>
            </w:r>
          </w:p>
        </w:tc>
      </w:tr>
    </w:tbl>
    <w:p w14:paraId="5C7C70B0" w14:textId="77777777" w:rsidR="0008009C" w:rsidRDefault="00936FDF">
      <w:pPr>
        <w:spacing w:before="180" w:after="180"/>
      </w:pPr>
      <w:r>
        <w:rPr>
          <w:rFonts w:ascii="Arial" w:eastAsia="宋体" w:hAnsi="Arial" w:cs="Arial"/>
          <w:color w:val="262626"/>
          <w:sz w:val="18"/>
          <w:szCs w:val="18"/>
        </w:rPr>
        <w:t xml:space="preserve">Operating income in Q1 2021 decreased 2% from Q1 2020, with an operating margin of 39%. </w:t>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38"/>
        <w:gridCol w:w="7134"/>
        <w:gridCol w:w="37"/>
      </w:tblGrid>
      <w:tr w:rsidR="0008009C" w14:paraId="5C7C70BA" w14:textId="77777777">
        <w:tc>
          <w:tcPr>
            <w:tcW w:w="50" w:type="pct"/>
            <w:shd w:val="clear" w:color="auto" w:fill="auto"/>
          </w:tcPr>
          <w:p w14:paraId="5C7C70B1" w14:textId="77777777" w:rsidR="0008009C" w:rsidRDefault="0008009C">
            <w:pPr>
              <w:rPr>
                <w:rFonts w:ascii="宋体"/>
              </w:rPr>
            </w:pPr>
          </w:p>
        </w:tc>
        <w:tc>
          <w:tcPr>
            <w:tcW w:w="539" w:type="pct"/>
            <w:shd w:val="clear" w:color="auto" w:fill="auto"/>
          </w:tcPr>
          <w:p w14:paraId="5C7C70B2" w14:textId="77777777" w:rsidR="0008009C" w:rsidRDefault="0008009C">
            <w:pPr>
              <w:rPr>
                <w:rFonts w:ascii="宋体"/>
              </w:rPr>
            </w:pPr>
          </w:p>
        </w:tc>
        <w:tc>
          <w:tcPr>
            <w:tcW w:w="5" w:type="pct"/>
            <w:shd w:val="clear" w:color="auto" w:fill="auto"/>
          </w:tcPr>
          <w:p w14:paraId="5C7C70B3" w14:textId="77777777" w:rsidR="0008009C" w:rsidRDefault="0008009C">
            <w:pPr>
              <w:rPr>
                <w:rFonts w:ascii="宋体"/>
              </w:rPr>
            </w:pPr>
          </w:p>
        </w:tc>
        <w:tc>
          <w:tcPr>
            <w:tcW w:w="5" w:type="pct"/>
            <w:shd w:val="clear" w:color="auto" w:fill="auto"/>
          </w:tcPr>
          <w:p w14:paraId="5C7C70B4" w14:textId="77777777" w:rsidR="0008009C" w:rsidRDefault="0008009C">
            <w:pPr>
              <w:rPr>
                <w:rFonts w:ascii="宋体"/>
              </w:rPr>
            </w:pPr>
          </w:p>
        </w:tc>
        <w:tc>
          <w:tcPr>
            <w:tcW w:w="24" w:type="pct"/>
            <w:shd w:val="clear" w:color="auto" w:fill="auto"/>
          </w:tcPr>
          <w:p w14:paraId="5C7C70B5" w14:textId="77777777" w:rsidR="0008009C" w:rsidRDefault="0008009C">
            <w:pPr>
              <w:rPr>
                <w:rFonts w:ascii="宋体"/>
              </w:rPr>
            </w:pPr>
          </w:p>
        </w:tc>
        <w:tc>
          <w:tcPr>
            <w:tcW w:w="5" w:type="pct"/>
            <w:shd w:val="clear" w:color="auto" w:fill="auto"/>
          </w:tcPr>
          <w:p w14:paraId="5C7C70B6" w14:textId="77777777" w:rsidR="0008009C" w:rsidRDefault="0008009C">
            <w:pPr>
              <w:rPr>
                <w:rFonts w:ascii="宋体"/>
              </w:rPr>
            </w:pPr>
          </w:p>
        </w:tc>
        <w:tc>
          <w:tcPr>
            <w:tcW w:w="50" w:type="pct"/>
            <w:shd w:val="clear" w:color="auto" w:fill="auto"/>
          </w:tcPr>
          <w:p w14:paraId="5C7C70B7" w14:textId="77777777" w:rsidR="0008009C" w:rsidRDefault="0008009C">
            <w:pPr>
              <w:rPr>
                <w:rFonts w:ascii="宋体"/>
              </w:rPr>
            </w:pPr>
          </w:p>
        </w:tc>
        <w:tc>
          <w:tcPr>
            <w:tcW w:w="4316" w:type="pct"/>
            <w:shd w:val="clear" w:color="auto" w:fill="auto"/>
          </w:tcPr>
          <w:p w14:paraId="5C7C70B8" w14:textId="77777777" w:rsidR="0008009C" w:rsidRDefault="0008009C">
            <w:pPr>
              <w:rPr>
                <w:rFonts w:ascii="宋体"/>
              </w:rPr>
            </w:pPr>
          </w:p>
        </w:tc>
        <w:tc>
          <w:tcPr>
            <w:tcW w:w="5" w:type="pct"/>
            <w:shd w:val="clear" w:color="auto" w:fill="auto"/>
          </w:tcPr>
          <w:p w14:paraId="5C7C70B9" w14:textId="77777777" w:rsidR="0008009C" w:rsidRDefault="0008009C">
            <w:pPr>
              <w:rPr>
                <w:rFonts w:ascii="宋体"/>
              </w:rPr>
            </w:pPr>
          </w:p>
        </w:tc>
      </w:tr>
      <w:tr w:rsidR="0008009C" w14:paraId="5C7C70BE" w14:textId="77777777">
        <w:tc>
          <w:tcPr>
            <w:tcW w:w="0" w:type="auto"/>
            <w:gridSpan w:val="3"/>
            <w:shd w:val="clear" w:color="auto" w:fill="auto"/>
            <w:tcMar>
              <w:top w:w="40" w:type="dxa"/>
              <w:left w:w="20" w:type="dxa"/>
              <w:bottom w:w="40" w:type="dxa"/>
              <w:right w:w="20" w:type="dxa"/>
            </w:tcMar>
            <w:vAlign w:val="bottom"/>
          </w:tcPr>
          <w:p w14:paraId="5C7C70BB"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70B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0BD" w14:textId="77777777" w:rsidR="0008009C" w:rsidRDefault="0008009C">
            <w:pPr>
              <w:rPr>
                <w:rFonts w:ascii="宋体"/>
              </w:rPr>
            </w:pPr>
          </w:p>
        </w:tc>
      </w:tr>
      <w:tr w:rsidR="0008009C" w14:paraId="5C7C70C4"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5C7C70BF"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0C0" w14:textId="77777777" w:rsidR="0008009C" w:rsidRDefault="00936FDF">
            <w:pPr>
              <w:jc w:val="right"/>
              <w:textAlignment w:val="bottom"/>
            </w:pPr>
            <w:r>
              <w:rPr>
                <w:rFonts w:ascii="Arial" w:eastAsia="宋体" w:hAnsi="Arial" w:cs="Arial"/>
                <w:b/>
                <w:bCs/>
                <w:color w:val="0068B5"/>
                <w:sz w:val="18"/>
                <w:szCs w:val="18"/>
              </w:rPr>
              <w:t>4,120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0C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0C2"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0C3" w14:textId="77777777" w:rsidR="0008009C" w:rsidRDefault="00936FDF">
            <w:pPr>
              <w:textAlignment w:val="bottom"/>
            </w:pPr>
            <w:r>
              <w:rPr>
                <w:rFonts w:ascii="Arial" w:eastAsia="宋体" w:hAnsi="Arial" w:cs="Arial"/>
                <w:b/>
                <w:bCs/>
                <w:color w:val="262626"/>
                <w:sz w:val="18"/>
                <w:szCs w:val="18"/>
              </w:rPr>
              <w:t>Q1 2021 CCG Operating Income</w:t>
            </w:r>
          </w:p>
        </w:tc>
      </w:tr>
      <w:tr w:rsidR="0008009C" w14:paraId="5C7C70C9" w14:textId="77777777">
        <w:tc>
          <w:tcPr>
            <w:tcW w:w="0" w:type="auto"/>
            <w:gridSpan w:val="2"/>
            <w:tcBorders>
              <w:top w:val="single" w:sz="8" w:space="0" w:color="262626"/>
            </w:tcBorders>
            <w:shd w:val="clear" w:color="auto" w:fill="auto"/>
            <w:tcMar>
              <w:top w:w="40" w:type="dxa"/>
              <w:left w:w="20" w:type="dxa"/>
              <w:bottom w:w="40" w:type="dxa"/>
              <w:right w:w="0" w:type="dxa"/>
            </w:tcMar>
          </w:tcPr>
          <w:p w14:paraId="5C7C70C5" w14:textId="77777777" w:rsidR="0008009C" w:rsidRDefault="00936FDF">
            <w:pPr>
              <w:jc w:val="right"/>
              <w:textAlignment w:val="top"/>
            </w:pPr>
            <w:r>
              <w:rPr>
                <w:rFonts w:ascii="Arial" w:eastAsia="宋体" w:hAnsi="Arial" w:cs="Arial"/>
                <w:color w:val="0068B5"/>
                <w:sz w:val="18"/>
                <w:szCs w:val="18"/>
              </w:rPr>
              <w:t>(130)</w:t>
            </w:r>
          </w:p>
        </w:tc>
        <w:tc>
          <w:tcPr>
            <w:tcW w:w="0" w:type="auto"/>
            <w:tcBorders>
              <w:top w:val="single" w:sz="8" w:space="0" w:color="262626"/>
            </w:tcBorders>
            <w:shd w:val="clear" w:color="auto" w:fill="auto"/>
            <w:tcMar>
              <w:top w:w="40" w:type="dxa"/>
              <w:left w:w="0" w:type="dxa"/>
              <w:bottom w:w="40" w:type="dxa"/>
              <w:right w:w="20" w:type="dxa"/>
            </w:tcMar>
          </w:tcPr>
          <w:p w14:paraId="5C7C70C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0C7" w14:textId="77777777" w:rsidR="0008009C" w:rsidRDefault="0008009C">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tcPr>
          <w:p w14:paraId="5C7C70C8" w14:textId="77777777" w:rsidR="0008009C" w:rsidRDefault="00936FDF">
            <w:pPr>
              <w:textAlignment w:val="top"/>
            </w:pPr>
            <w:r>
              <w:rPr>
                <w:rFonts w:ascii="Arial" w:eastAsia="宋体" w:hAnsi="Arial" w:cs="Arial"/>
                <w:color w:val="0068B5"/>
                <w:sz w:val="18"/>
                <w:szCs w:val="18"/>
              </w:rPr>
              <w:t>Lower platform product margin driven by higher 10nm mix</w:t>
            </w:r>
          </w:p>
        </w:tc>
      </w:tr>
      <w:tr w:rsidR="0008009C" w14:paraId="5C7C70CE" w14:textId="77777777">
        <w:tc>
          <w:tcPr>
            <w:tcW w:w="0" w:type="auto"/>
            <w:gridSpan w:val="2"/>
            <w:shd w:val="clear" w:color="auto" w:fill="auto"/>
            <w:tcMar>
              <w:top w:w="40" w:type="dxa"/>
              <w:left w:w="20" w:type="dxa"/>
              <w:bottom w:w="40" w:type="dxa"/>
              <w:right w:w="0" w:type="dxa"/>
            </w:tcMar>
          </w:tcPr>
          <w:p w14:paraId="5C7C70CA" w14:textId="77777777" w:rsidR="0008009C" w:rsidRDefault="00936FDF">
            <w:pPr>
              <w:jc w:val="right"/>
              <w:textAlignment w:val="top"/>
            </w:pPr>
            <w:r>
              <w:rPr>
                <w:rFonts w:ascii="Arial" w:eastAsia="宋体" w:hAnsi="Arial" w:cs="Arial"/>
                <w:color w:val="0068B5"/>
                <w:sz w:val="18"/>
                <w:szCs w:val="18"/>
              </w:rPr>
              <w:t>(110)</w:t>
            </w:r>
          </w:p>
        </w:tc>
        <w:tc>
          <w:tcPr>
            <w:tcW w:w="0" w:type="auto"/>
            <w:shd w:val="clear" w:color="auto" w:fill="auto"/>
            <w:tcMar>
              <w:top w:w="40" w:type="dxa"/>
              <w:left w:w="0" w:type="dxa"/>
              <w:bottom w:w="40" w:type="dxa"/>
              <w:right w:w="20" w:type="dxa"/>
            </w:tcMar>
          </w:tcPr>
          <w:p w14:paraId="5C7C70C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0CC"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0CD" w14:textId="77777777" w:rsidR="0008009C" w:rsidRDefault="00936FDF">
            <w:pPr>
              <w:textAlignment w:val="top"/>
            </w:pPr>
            <w:r>
              <w:rPr>
                <w:rFonts w:ascii="Arial" w:eastAsia="宋体" w:hAnsi="Arial" w:cs="Arial"/>
                <w:color w:val="0068B5"/>
                <w:sz w:val="18"/>
                <w:szCs w:val="18"/>
              </w:rPr>
              <w:t>Higher operating expenses</w:t>
            </w:r>
          </w:p>
        </w:tc>
      </w:tr>
      <w:tr w:rsidR="0008009C" w14:paraId="5C7C70D3" w14:textId="77777777">
        <w:tc>
          <w:tcPr>
            <w:tcW w:w="0" w:type="auto"/>
            <w:gridSpan w:val="2"/>
            <w:shd w:val="clear" w:color="auto" w:fill="auto"/>
            <w:tcMar>
              <w:top w:w="40" w:type="dxa"/>
              <w:left w:w="20" w:type="dxa"/>
              <w:bottom w:w="40" w:type="dxa"/>
              <w:right w:w="0" w:type="dxa"/>
            </w:tcMar>
          </w:tcPr>
          <w:p w14:paraId="5C7C70CF" w14:textId="77777777" w:rsidR="0008009C" w:rsidRDefault="00936FDF">
            <w:pPr>
              <w:jc w:val="right"/>
              <w:textAlignment w:val="top"/>
            </w:pPr>
            <w:r>
              <w:rPr>
                <w:rFonts w:ascii="Arial" w:eastAsia="宋体" w:hAnsi="Arial" w:cs="Arial"/>
                <w:color w:val="0068B5"/>
                <w:sz w:val="18"/>
                <w:szCs w:val="18"/>
              </w:rPr>
              <w:t>(110)</w:t>
            </w:r>
          </w:p>
        </w:tc>
        <w:tc>
          <w:tcPr>
            <w:tcW w:w="0" w:type="auto"/>
            <w:shd w:val="clear" w:color="auto" w:fill="auto"/>
            <w:tcMar>
              <w:top w:w="40" w:type="dxa"/>
              <w:left w:w="0" w:type="dxa"/>
              <w:bottom w:w="40" w:type="dxa"/>
              <w:right w:w="20" w:type="dxa"/>
            </w:tcMar>
          </w:tcPr>
          <w:p w14:paraId="5C7C70D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0D1"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0D2" w14:textId="77777777" w:rsidR="0008009C" w:rsidRDefault="00936FDF">
            <w:pPr>
              <w:textAlignment w:val="top"/>
            </w:pPr>
            <w:r>
              <w:rPr>
                <w:rFonts w:ascii="Arial" w:eastAsia="宋体" w:hAnsi="Arial" w:cs="Arial"/>
                <w:color w:val="0068B5"/>
                <w:sz w:val="18"/>
                <w:szCs w:val="18"/>
              </w:rPr>
              <w:t>Higher period charges primarily associated with the ramp down of 14nm</w:t>
            </w:r>
          </w:p>
        </w:tc>
      </w:tr>
      <w:tr w:rsidR="0008009C" w14:paraId="5C7C70D8" w14:textId="77777777">
        <w:tc>
          <w:tcPr>
            <w:tcW w:w="0" w:type="auto"/>
            <w:gridSpan w:val="2"/>
            <w:shd w:val="clear" w:color="auto" w:fill="auto"/>
            <w:tcMar>
              <w:top w:w="40" w:type="dxa"/>
              <w:left w:w="20" w:type="dxa"/>
              <w:bottom w:w="40" w:type="dxa"/>
              <w:right w:w="0" w:type="dxa"/>
            </w:tcMar>
          </w:tcPr>
          <w:p w14:paraId="5C7C70D4" w14:textId="77777777" w:rsidR="0008009C" w:rsidRDefault="00936FDF">
            <w:pPr>
              <w:jc w:val="right"/>
              <w:textAlignment w:val="top"/>
            </w:pPr>
            <w:r>
              <w:rPr>
                <w:rFonts w:ascii="Arial" w:eastAsia="宋体" w:hAnsi="Arial" w:cs="Arial"/>
                <w:color w:val="0068B5"/>
                <w:sz w:val="18"/>
                <w:szCs w:val="18"/>
              </w:rPr>
              <w:t>130 </w:t>
            </w:r>
          </w:p>
        </w:tc>
        <w:tc>
          <w:tcPr>
            <w:tcW w:w="0" w:type="auto"/>
            <w:shd w:val="clear" w:color="auto" w:fill="auto"/>
            <w:tcMar>
              <w:top w:w="40" w:type="dxa"/>
              <w:left w:w="0" w:type="dxa"/>
              <w:bottom w:w="40" w:type="dxa"/>
              <w:right w:w="20" w:type="dxa"/>
            </w:tcMar>
          </w:tcPr>
          <w:p w14:paraId="5C7C70D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0D6"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0D7" w14:textId="77777777" w:rsidR="0008009C" w:rsidRDefault="00936FDF">
            <w:pPr>
              <w:textAlignment w:val="top"/>
            </w:pPr>
            <w:r>
              <w:rPr>
                <w:rFonts w:ascii="Arial" w:eastAsia="宋体" w:hAnsi="Arial" w:cs="Arial"/>
                <w:color w:val="0068B5"/>
                <w:sz w:val="18"/>
                <w:szCs w:val="18"/>
              </w:rPr>
              <w:t>Higher CCG adjacent product margin</w:t>
            </w:r>
          </w:p>
        </w:tc>
      </w:tr>
      <w:tr w:rsidR="0008009C" w14:paraId="5C7C70DD" w14:textId="77777777">
        <w:tc>
          <w:tcPr>
            <w:tcW w:w="0" w:type="auto"/>
            <w:gridSpan w:val="2"/>
            <w:shd w:val="clear" w:color="auto" w:fill="auto"/>
            <w:tcMar>
              <w:top w:w="40" w:type="dxa"/>
              <w:left w:w="20" w:type="dxa"/>
              <w:bottom w:w="40" w:type="dxa"/>
              <w:right w:w="0" w:type="dxa"/>
            </w:tcMar>
          </w:tcPr>
          <w:p w14:paraId="5C7C70D9" w14:textId="77777777" w:rsidR="0008009C" w:rsidRDefault="00936FDF">
            <w:pPr>
              <w:jc w:val="right"/>
              <w:textAlignment w:val="top"/>
            </w:pPr>
            <w:r>
              <w:rPr>
                <w:rFonts w:ascii="Arial" w:eastAsia="宋体" w:hAnsi="Arial" w:cs="Arial"/>
                <w:color w:val="0068B5"/>
                <w:sz w:val="18"/>
                <w:szCs w:val="18"/>
              </w:rPr>
              <w:t>80 </w:t>
            </w:r>
          </w:p>
        </w:tc>
        <w:tc>
          <w:tcPr>
            <w:tcW w:w="0" w:type="auto"/>
            <w:shd w:val="clear" w:color="auto" w:fill="auto"/>
            <w:tcMar>
              <w:top w:w="40" w:type="dxa"/>
              <w:left w:w="0" w:type="dxa"/>
              <w:bottom w:w="40" w:type="dxa"/>
              <w:right w:w="20" w:type="dxa"/>
            </w:tcMar>
          </w:tcPr>
          <w:p w14:paraId="5C7C70D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0DB"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0DC" w14:textId="77777777" w:rsidR="0008009C" w:rsidRDefault="00936FDF">
            <w:pPr>
              <w:textAlignment w:val="top"/>
            </w:pPr>
            <w:r>
              <w:rPr>
                <w:rFonts w:ascii="Arial" w:eastAsia="宋体" w:hAnsi="Arial" w:cs="Arial"/>
                <w:color w:val="0068B5"/>
                <w:sz w:val="18"/>
                <w:szCs w:val="18"/>
              </w:rPr>
              <w:t xml:space="preserve">Lower period charges driven by absence of reserves taken in Q1 of 2020, partially </w:t>
            </w:r>
            <w:r>
              <w:rPr>
                <w:rFonts w:ascii="Arial" w:eastAsia="宋体" w:hAnsi="Arial" w:cs="Arial"/>
                <w:color w:val="0068B5"/>
                <w:sz w:val="18"/>
                <w:szCs w:val="18"/>
              </w:rPr>
              <w:t>offset by sell-through of other reserves in 2020 and 7nm start-up costs</w:t>
            </w:r>
          </w:p>
        </w:tc>
      </w:tr>
      <w:tr w:rsidR="0008009C" w14:paraId="5C7C70E2" w14:textId="77777777">
        <w:tc>
          <w:tcPr>
            <w:tcW w:w="0" w:type="auto"/>
            <w:gridSpan w:val="2"/>
            <w:shd w:val="clear" w:color="auto" w:fill="auto"/>
            <w:tcMar>
              <w:top w:w="40" w:type="dxa"/>
              <w:left w:w="20" w:type="dxa"/>
              <w:bottom w:w="40" w:type="dxa"/>
              <w:right w:w="0" w:type="dxa"/>
            </w:tcMar>
          </w:tcPr>
          <w:p w14:paraId="5C7C70DE" w14:textId="77777777" w:rsidR="0008009C" w:rsidRDefault="00936FDF">
            <w:pPr>
              <w:jc w:val="right"/>
              <w:textAlignment w:val="top"/>
            </w:pPr>
            <w:r>
              <w:rPr>
                <w:rFonts w:ascii="Arial" w:eastAsia="宋体" w:hAnsi="Arial" w:cs="Arial"/>
                <w:color w:val="0068B5"/>
                <w:sz w:val="18"/>
                <w:szCs w:val="18"/>
              </w:rPr>
              <w:t>35 </w:t>
            </w:r>
          </w:p>
        </w:tc>
        <w:tc>
          <w:tcPr>
            <w:tcW w:w="0" w:type="auto"/>
            <w:shd w:val="clear" w:color="auto" w:fill="auto"/>
            <w:tcMar>
              <w:top w:w="40" w:type="dxa"/>
              <w:left w:w="0" w:type="dxa"/>
              <w:bottom w:w="40" w:type="dxa"/>
              <w:right w:w="20" w:type="dxa"/>
            </w:tcMar>
          </w:tcPr>
          <w:p w14:paraId="5C7C70D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0E0"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0E1" w14:textId="77777777" w:rsidR="0008009C" w:rsidRDefault="00936FDF">
            <w:pPr>
              <w:textAlignment w:val="top"/>
            </w:pPr>
            <w:r>
              <w:rPr>
                <w:rFonts w:ascii="Arial" w:eastAsia="宋体" w:hAnsi="Arial" w:cs="Arial"/>
                <w:color w:val="0068B5"/>
                <w:sz w:val="18"/>
                <w:szCs w:val="18"/>
              </w:rPr>
              <w:t>Other</w:t>
            </w:r>
          </w:p>
        </w:tc>
      </w:tr>
      <w:tr w:rsidR="0008009C" w14:paraId="5C7C70E8" w14:textId="77777777">
        <w:tc>
          <w:tcPr>
            <w:tcW w:w="0" w:type="auto"/>
            <w:tcBorders>
              <w:top w:val="single" w:sz="8" w:space="0" w:color="262626"/>
              <w:bottom w:val="single" w:sz="8" w:space="0" w:color="262626"/>
            </w:tcBorders>
            <w:shd w:val="clear" w:color="auto" w:fill="auto"/>
            <w:tcMar>
              <w:top w:w="40" w:type="dxa"/>
              <w:left w:w="20" w:type="dxa"/>
              <w:bottom w:w="40" w:type="dxa"/>
              <w:right w:w="0" w:type="dxa"/>
            </w:tcMar>
            <w:vAlign w:val="bottom"/>
          </w:tcPr>
          <w:p w14:paraId="5C7C70E3"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single" w:sz="8" w:space="0" w:color="262626"/>
            </w:tcBorders>
            <w:shd w:val="clear" w:color="auto" w:fill="auto"/>
            <w:tcMar>
              <w:top w:w="40" w:type="dxa"/>
              <w:left w:w="0" w:type="dxa"/>
              <w:bottom w:w="40" w:type="dxa"/>
              <w:right w:w="0" w:type="dxa"/>
            </w:tcMar>
            <w:vAlign w:val="bottom"/>
          </w:tcPr>
          <w:p w14:paraId="5C7C70E4" w14:textId="77777777" w:rsidR="0008009C" w:rsidRDefault="00936FDF">
            <w:pPr>
              <w:jc w:val="right"/>
              <w:textAlignment w:val="bottom"/>
            </w:pPr>
            <w:r>
              <w:rPr>
                <w:rFonts w:ascii="Arial" w:eastAsia="宋体" w:hAnsi="Arial" w:cs="Arial"/>
                <w:b/>
                <w:bCs/>
                <w:color w:val="262626"/>
                <w:sz w:val="18"/>
                <w:szCs w:val="18"/>
              </w:rPr>
              <w:t>4,225</w:t>
            </w:r>
            <w:r>
              <w:rPr>
                <w:rFonts w:ascii="Arial" w:eastAsia="宋体" w:hAnsi="Arial" w:cs="Arial"/>
                <w:color w:val="262626"/>
                <w:sz w:val="18"/>
                <w:szCs w:val="18"/>
              </w:rPr>
              <w:t> </w:t>
            </w:r>
          </w:p>
        </w:tc>
        <w:tc>
          <w:tcPr>
            <w:tcW w:w="0" w:type="auto"/>
            <w:tcBorders>
              <w:top w:val="single" w:sz="8" w:space="0" w:color="262626"/>
              <w:bottom w:val="single" w:sz="8" w:space="0" w:color="262626"/>
            </w:tcBorders>
            <w:shd w:val="clear" w:color="auto" w:fill="auto"/>
            <w:tcMar>
              <w:top w:w="40" w:type="dxa"/>
              <w:left w:w="0" w:type="dxa"/>
              <w:bottom w:w="40" w:type="dxa"/>
              <w:right w:w="20" w:type="dxa"/>
            </w:tcMar>
            <w:vAlign w:val="bottom"/>
          </w:tcPr>
          <w:p w14:paraId="5C7C70E5"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0E6" w14:textId="77777777" w:rsidR="0008009C" w:rsidRDefault="0008009C">
            <w:pPr>
              <w:rPr>
                <w:rFonts w:ascii="宋体"/>
              </w:rPr>
            </w:pPr>
          </w:p>
        </w:tc>
        <w:tc>
          <w:tcPr>
            <w:tcW w:w="0" w:type="auto"/>
            <w:gridSpan w:val="3"/>
            <w:tcBorders>
              <w:top w:val="single" w:sz="8" w:space="0" w:color="262626"/>
              <w:bottom w:val="single" w:sz="8" w:space="0" w:color="262626"/>
            </w:tcBorders>
            <w:shd w:val="clear" w:color="auto" w:fill="auto"/>
            <w:tcMar>
              <w:top w:w="40" w:type="dxa"/>
              <w:left w:w="20" w:type="dxa"/>
              <w:bottom w:w="40" w:type="dxa"/>
              <w:right w:w="20" w:type="dxa"/>
            </w:tcMar>
            <w:vAlign w:val="bottom"/>
          </w:tcPr>
          <w:p w14:paraId="5C7C70E7" w14:textId="77777777" w:rsidR="0008009C" w:rsidRDefault="00936FDF">
            <w:pPr>
              <w:textAlignment w:val="bottom"/>
            </w:pPr>
            <w:r>
              <w:rPr>
                <w:rFonts w:ascii="Arial" w:eastAsia="宋体" w:hAnsi="Arial" w:cs="Arial"/>
                <w:b/>
                <w:bCs/>
                <w:color w:val="262626"/>
                <w:sz w:val="18"/>
                <w:szCs w:val="18"/>
              </w:rPr>
              <w:t>Q1 2020 CCG Operating Income</w:t>
            </w:r>
          </w:p>
        </w:tc>
      </w:tr>
      <w:tr w:rsidR="0008009C" w14:paraId="5C7C70EC" w14:textId="77777777">
        <w:trPr>
          <w:hidden/>
        </w:trPr>
        <w:tc>
          <w:tcPr>
            <w:tcW w:w="0" w:type="auto"/>
            <w:gridSpan w:val="3"/>
            <w:shd w:val="clear" w:color="auto" w:fill="auto"/>
          </w:tcPr>
          <w:p w14:paraId="5C7C70E9" w14:textId="77777777" w:rsidR="0008009C" w:rsidRDefault="0008009C">
            <w:pPr>
              <w:rPr>
                <w:rFonts w:ascii="宋体"/>
                <w:vanish/>
              </w:rPr>
            </w:pPr>
          </w:p>
        </w:tc>
        <w:tc>
          <w:tcPr>
            <w:tcW w:w="0" w:type="auto"/>
            <w:gridSpan w:val="3"/>
            <w:shd w:val="clear" w:color="auto" w:fill="auto"/>
          </w:tcPr>
          <w:p w14:paraId="5C7C70EA" w14:textId="77777777" w:rsidR="0008009C" w:rsidRDefault="0008009C">
            <w:pPr>
              <w:rPr>
                <w:rFonts w:ascii="宋体"/>
                <w:vanish/>
              </w:rPr>
            </w:pPr>
          </w:p>
        </w:tc>
        <w:tc>
          <w:tcPr>
            <w:tcW w:w="0" w:type="auto"/>
            <w:gridSpan w:val="3"/>
            <w:shd w:val="clear" w:color="auto" w:fill="auto"/>
          </w:tcPr>
          <w:p w14:paraId="5C7C70EB" w14:textId="77777777" w:rsidR="0008009C" w:rsidRDefault="0008009C">
            <w:pPr>
              <w:rPr>
                <w:rFonts w:ascii="宋体"/>
                <w:vanish/>
              </w:rPr>
            </w:pPr>
          </w:p>
        </w:tc>
      </w:tr>
      <w:tr w:rsidR="0008009C" w14:paraId="5C7C70F0" w14:textId="77777777">
        <w:trPr>
          <w:hidden/>
        </w:trPr>
        <w:tc>
          <w:tcPr>
            <w:tcW w:w="0" w:type="auto"/>
            <w:gridSpan w:val="3"/>
            <w:shd w:val="clear" w:color="auto" w:fill="auto"/>
          </w:tcPr>
          <w:p w14:paraId="5C7C70ED" w14:textId="77777777" w:rsidR="0008009C" w:rsidRDefault="0008009C">
            <w:pPr>
              <w:rPr>
                <w:rFonts w:ascii="宋体"/>
                <w:vanish/>
              </w:rPr>
            </w:pPr>
          </w:p>
        </w:tc>
        <w:tc>
          <w:tcPr>
            <w:tcW w:w="0" w:type="auto"/>
            <w:gridSpan w:val="3"/>
            <w:shd w:val="clear" w:color="auto" w:fill="auto"/>
          </w:tcPr>
          <w:p w14:paraId="5C7C70EE" w14:textId="77777777" w:rsidR="0008009C" w:rsidRDefault="0008009C">
            <w:pPr>
              <w:rPr>
                <w:rFonts w:ascii="宋体"/>
                <w:vanish/>
              </w:rPr>
            </w:pPr>
          </w:p>
        </w:tc>
        <w:tc>
          <w:tcPr>
            <w:tcW w:w="0" w:type="auto"/>
            <w:gridSpan w:val="3"/>
            <w:shd w:val="clear" w:color="auto" w:fill="auto"/>
          </w:tcPr>
          <w:p w14:paraId="5C7C70EF" w14:textId="77777777" w:rsidR="0008009C" w:rsidRDefault="0008009C">
            <w:pPr>
              <w:rPr>
                <w:rFonts w:ascii="宋体"/>
                <w:vanish/>
              </w:rPr>
            </w:pPr>
          </w:p>
        </w:tc>
      </w:tr>
      <w:tr w:rsidR="0008009C" w14:paraId="5C7C70F4" w14:textId="77777777">
        <w:trPr>
          <w:hidden/>
        </w:trPr>
        <w:tc>
          <w:tcPr>
            <w:tcW w:w="0" w:type="auto"/>
            <w:gridSpan w:val="3"/>
            <w:shd w:val="clear" w:color="auto" w:fill="auto"/>
          </w:tcPr>
          <w:p w14:paraId="5C7C70F1" w14:textId="77777777" w:rsidR="0008009C" w:rsidRDefault="0008009C">
            <w:pPr>
              <w:rPr>
                <w:rFonts w:ascii="宋体"/>
                <w:vanish/>
              </w:rPr>
            </w:pPr>
          </w:p>
        </w:tc>
        <w:tc>
          <w:tcPr>
            <w:tcW w:w="0" w:type="auto"/>
            <w:gridSpan w:val="3"/>
            <w:shd w:val="clear" w:color="auto" w:fill="auto"/>
          </w:tcPr>
          <w:p w14:paraId="5C7C70F2" w14:textId="77777777" w:rsidR="0008009C" w:rsidRDefault="0008009C">
            <w:pPr>
              <w:rPr>
                <w:rFonts w:ascii="宋体"/>
                <w:vanish/>
              </w:rPr>
            </w:pPr>
          </w:p>
        </w:tc>
        <w:tc>
          <w:tcPr>
            <w:tcW w:w="0" w:type="auto"/>
            <w:gridSpan w:val="3"/>
            <w:shd w:val="clear" w:color="auto" w:fill="auto"/>
          </w:tcPr>
          <w:p w14:paraId="5C7C70F3" w14:textId="77777777" w:rsidR="0008009C" w:rsidRDefault="0008009C">
            <w:pPr>
              <w:rPr>
                <w:rFonts w:ascii="宋体"/>
                <w:vanish/>
              </w:rPr>
            </w:pPr>
          </w:p>
        </w:tc>
      </w:tr>
      <w:tr w:rsidR="0008009C" w14:paraId="5C7C70F8" w14:textId="77777777">
        <w:trPr>
          <w:hidden/>
        </w:trPr>
        <w:tc>
          <w:tcPr>
            <w:tcW w:w="0" w:type="auto"/>
            <w:gridSpan w:val="3"/>
            <w:shd w:val="clear" w:color="auto" w:fill="auto"/>
          </w:tcPr>
          <w:p w14:paraId="5C7C70F5" w14:textId="77777777" w:rsidR="0008009C" w:rsidRDefault="0008009C">
            <w:pPr>
              <w:rPr>
                <w:rFonts w:ascii="宋体"/>
                <w:vanish/>
              </w:rPr>
            </w:pPr>
          </w:p>
        </w:tc>
        <w:tc>
          <w:tcPr>
            <w:tcW w:w="0" w:type="auto"/>
            <w:gridSpan w:val="3"/>
            <w:shd w:val="clear" w:color="auto" w:fill="auto"/>
          </w:tcPr>
          <w:p w14:paraId="5C7C70F6" w14:textId="77777777" w:rsidR="0008009C" w:rsidRDefault="0008009C">
            <w:pPr>
              <w:rPr>
                <w:rFonts w:ascii="宋体"/>
                <w:vanish/>
              </w:rPr>
            </w:pPr>
          </w:p>
        </w:tc>
        <w:tc>
          <w:tcPr>
            <w:tcW w:w="0" w:type="auto"/>
            <w:gridSpan w:val="3"/>
            <w:shd w:val="clear" w:color="auto" w:fill="auto"/>
          </w:tcPr>
          <w:p w14:paraId="5C7C70F7" w14:textId="77777777" w:rsidR="0008009C" w:rsidRDefault="0008009C">
            <w:pPr>
              <w:rPr>
                <w:rFonts w:ascii="宋体"/>
                <w:vanish/>
              </w:rPr>
            </w:pPr>
          </w:p>
        </w:tc>
      </w:tr>
      <w:tr w:rsidR="0008009C" w14:paraId="5C7C70FC" w14:textId="77777777">
        <w:trPr>
          <w:hidden/>
        </w:trPr>
        <w:tc>
          <w:tcPr>
            <w:tcW w:w="0" w:type="auto"/>
            <w:gridSpan w:val="3"/>
            <w:shd w:val="clear" w:color="auto" w:fill="auto"/>
          </w:tcPr>
          <w:p w14:paraId="5C7C70F9" w14:textId="77777777" w:rsidR="0008009C" w:rsidRDefault="0008009C">
            <w:pPr>
              <w:rPr>
                <w:rFonts w:ascii="宋体"/>
                <w:vanish/>
              </w:rPr>
            </w:pPr>
          </w:p>
        </w:tc>
        <w:tc>
          <w:tcPr>
            <w:tcW w:w="0" w:type="auto"/>
            <w:gridSpan w:val="3"/>
            <w:shd w:val="clear" w:color="auto" w:fill="auto"/>
          </w:tcPr>
          <w:p w14:paraId="5C7C70FA" w14:textId="77777777" w:rsidR="0008009C" w:rsidRDefault="0008009C">
            <w:pPr>
              <w:rPr>
                <w:rFonts w:ascii="宋体"/>
                <w:vanish/>
              </w:rPr>
            </w:pPr>
          </w:p>
        </w:tc>
        <w:tc>
          <w:tcPr>
            <w:tcW w:w="0" w:type="auto"/>
            <w:gridSpan w:val="3"/>
            <w:shd w:val="clear" w:color="auto" w:fill="auto"/>
          </w:tcPr>
          <w:p w14:paraId="5C7C70FB" w14:textId="77777777" w:rsidR="0008009C" w:rsidRDefault="0008009C">
            <w:pPr>
              <w:rPr>
                <w:rFonts w:ascii="宋体"/>
                <w:vanish/>
              </w:rPr>
            </w:pPr>
          </w:p>
        </w:tc>
      </w:tr>
      <w:tr w:rsidR="0008009C" w14:paraId="5C7C7100" w14:textId="77777777">
        <w:trPr>
          <w:hidden/>
        </w:trPr>
        <w:tc>
          <w:tcPr>
            <w:tcW w:w="0" w:type="auto"/>
            <w:gridSpan w:val="3"/>
            <w:shd w:val="clear" w:color="auto" w:fill="auto"/>
          </w:tcPr>
          <w:p w14:paraId="5C7C70FD" w14:textId="77777777" w:rsidR="0008009C" w:rsidRDefault="0008009C">
            <w:pPr>
              <w:rPr>
                <w:rFonts w:ascii="宋体"/>
                <w:vanish/>
              </w:rPr>
            </w:pPr>
          </w:p>
        </w:tc>
        <w:tc>
          <w:tcPr>
            <w:tcW w:w="0" w:type="auto"/>
            <w:gridSpan w:val="3"/>
            <w:shd w:val="clear" w:color="auto" w:fill="auto"/>
          </w:tcPr>
          <w:p w14:paraId="5C7C70FE" w14:textId="77777777" w:rsidR="0008009C" w:rsidRDefault="0008009C">
            <w:pPr>
              <w:rPr>
                <w:rFonts w:ascii="宋体"/>
                <w:vanish/>
              </w:rPr>
            </w:pPr>
          </w:p>
        </w:tc>
        <w:tc>
          <w:tcPr>
            <w:tcW w:w="0" w:type="auto"/>
            <w:gridSpan w:val="3"/>
            <w:shd w:val="clear" w:color="auto" w:fill="auto"/>
          </w:tcPr>
          <w:p w14:paraId="5C7C70FF" w14:textId="77777777" w:rsidR="0008009C" w:rsidRDefault="0008009C">
            <w:pPr>
              <w:rPr>
                <w:rFonts w:ascii="宋体"/>
                <w:vanish/>
              </w:rPr>
            </w:pPr>
          </w:p>
        </w:tc>
      </w:tr>
      <w:tr w:rsidR="0008009C" w14:paraId="5C7C7104" w14:textId="77777777">
        <w:trPr>
          <w:hidden/>
        </w:trPr>
        <w:tc>
          <w:tcPr>
            <w:tcW w:w="0" w:type="auto"/>
            <w:gridSpan w:val="3"/>
            <w:shd w:val="clear" w:color="auto" w:fill="auto"/>
          </w:tcPr>
          <w:p w14:paraId="5C7C7101" w14:textId="77777777" w:rsidR="0008009C" w:rsidRDefault="0008009C">
            <w:pPr>
              <w:rPr>
                <w:rFonts w:ascii="宋体"/>
                <w:vanish/>
              </w:rPr>
            </w:pPr>
          </w:p>
        </w:tc>
        <w:tc>
          <w:tcPr>
            <w:tcW w:w="0" w:type="auto"/>
            <w:gridSpan w:val="3"/>
            <w:shd w:val="clear" w:color="auto" w:fill="auto"/>
          </w:tcPr>
          <w:p w14:paraId="5C7C7102" w14:textId="77777777" w:rsidR="0008009C" w:rsidRDefault="0008009C">
            <w:pPr>
              <w:rPr>
                <w:rFonts w:ascii="宋体"/>
                <w:vanish/>
              </w:rPr>
            </w:pPr>
          </w:p>
        </w:tc>
        <w:tc>
          <w:tcPr>
            <w:tcW w:w="0" w:type="auto"/>
            <w:gridSpan w:val="3"/>
            <w:shd w:val="clear" w:color="auto" w:fill="auto"/>
          </w:tcPr>
          <w:p w14:paraId="5C7C7103" w14:textId="77777777" w:rsidR="0008009C" w:rsidRDefault="0008009C">
            <w:pPr>
              <w:rPr>
                <w:rFonts w:ascii="宋体"/>
                <w:vanish/>
              </w:rPr>
            </w:pPr>
          </w:p>
        </w:tc>
      </w:tr>
      <w:tr w:rsidR="0008009C" w14:paraId="5C7C7108" w14:textId="77777777">
        <w:trPr>
          <w:hidden/>
        </w:trPr>
        <w:tc>
          <w:tcPr>
            <w:tcW w:w="0" w:type="auto"/>
            <w:gridSpan w:val="3"/>
            <w:shd w:val="clear" w:color="auto" w:fill="auto"/>
          </w:tcPr>
          <w:p w14:paraId="5C7C7105" w14:textId="77777777" w:rsidR="0008009C" w:rsidRDefault="0008009C">
            <w:pPr>
              <w:rPr>
                <w:rFonts w:ascii="宋体"/>
                <w:vanish/>
              </w:rPr>
            </w:pPr>
          </w:p>
        </w:tc>
        <w:tc>
          <w:tcPr>
            <w:tcW w:w="0" w:type="auto"/>
            <w:gridSpan w:val="3"/>
            <w:shd w:val="clear" w:color="auto" w:fill="auto"/>
          </w:tcPr>
          <w:p w14:paraId="5C7C7106" w14:textId="77777777" w:rsidR="0008009C" w:rsidRDefault="0008009C">
            <w:pPr>
              <w:rPr>
                <w:rFonts w:ascii="宋体"/>
                <w:vanish/>
              </w:rPr>
            </w:pPr>
          </w:p>
        </w:tc>
        <w:tc>
          <w:tcPr>
            <w:tcW w:w="0" w:type="auto"/>
            <w:gridSpan w:val="3"/>
            <w:shd w:val="clear" w:color="auto" w:fill="auto"/>
          </w:tcPr>
          <w:p w14:paraId="5C7C7107" w14:textId="77777777" w:rsidR="0008009C" w:rsidRDefault="0008009C">
            <w:pPr>
              <w:rPr>
                <w:rFonts w:ascii="宋体"/>
                <w:vanish/>
              </w:rPr>
            </w:pPr>
          </w:p>
        </w:tc>
      </w:tr>
      <w:tr w:rsidR="0008009C" w14:paraId="5C7C710C" w14:textId="77777777">
        <w:trPr>
          <w:hidden/>
        </w:trPr>
        <w:tc>
          <w:tcPr>
            <w:tcW w:w="0" w:type="auto"/>
            <w:gridSpan w:val="3"/>
            <w:shd w:val="clear" w:color="auto" w:fill="auto"/>
          </w:tcPr>
          <w:p w14:paraId="5C7C7109" w14:textId="77777777" w:rsidR="0008009C" w:rsidRDefault="0008009C">
            <w:pPr>
              <w:rPr>
                <w:rFonts w:ascii="宋体"/>
                <w:vanish/>
              </w:rPr>
            </w:pPr>
          </w:p>
        </w:tc>
        <w:tc>
          <w:tcPr>
            <w:tcW w:w="0" w:type="auto"/>
            <w:gridSpan w:val="3"/>
            <w:shd w:val="clear" w:color="auto" w:fill="auto"/>
          </w:tcPr>
          <w:p w14:paraId="5C7C710A" w14:textId="77777777" w:rsidR="0008009C" w:rsidRDefault="0008009C">
            <w:pPr>
              <w:rPr>
                <w:rFonts w:ascii="宋体"/>
                <w:vanish/>
              </w:rPr>
            </w:pPr>
          </w:p>
        </w:tc>
        <w:tc>
          <w:tcPr>
            <w:tcW w:w="0" w:type="auto"/>
            <w:gridSpan w:val="3"/>
            <w:shd w:val="clear" w:color="auto" w:fill="auto"/>
          </w:tcPr>
          <w:p w14:paraId="5C7C710B" w14:textId="77777777" w:rsidR="0008009C" w:rsidRDefault="0008009C">
            <w:pPr>
              <w:rPr>
                <w:rFonts w:ascii="宋体"/>
                <w:vanish/>
              </w:rPr>
            </w:pPr>
          </w:p>
        </w:tc>
      </w:tr>
      <w:tr w:rsidR="0008009C" w14:paraId="5C7C7110" w14:textId="77777777">
        <w:trPr>
          <w:hidden/>
        </w:trPr>
        <w:tc>
          <w:tcPr>
            <w:tcW w:w="0" w:type="auto"/>
            <w:gridSpan w:val="3"/>
            <w:shd w:val="clear" w:color="auto" w:fill="auto"/>
          </w:tcPr>
          <w:p w14:paraId="5C7C710D" w14:textId="77777777" w:rsidR="0008009C" w:rsidRDefault="0008009C">
            <w:pPr>
              <w:rPr>
                <w:rFonts w:ascii="宋体"/>
                <w:vanish/>
              </w:rPr>
            </w:pPr>
          </w:p>
        </w:tc>
        <w:tc>
          <w:tcPr>
            <w:tcW w:w="0" w:type="auto"/>
            <w:gridSpan w:val="3"/>
            <w:shd w:val="clear" w:color="auto" w:fill="auto"/>
          </w:tcPr>
          <w:p w14:paraId="5C7C710E" w14:textId="77777777" w:rsidR="0008009C" w:rsidRDefault="0008009C">
            <w:pPr>
              <w:rPr>
                <w:rFonts w:ascii="宋体"/>
                <w:vanish/>
              </w:rPr>
            </w:pPr>
          </w:p>
        </w:tc>
        <w:tc>
          <w:tcPr>
            <w:tcW w:w="0" w:type="auto"/>
            <w:gridSpan w:val="3"/>
            <w:shd w:val="clear" w:color="auto" w:fill="auto"/>
          </w:tcPr>
          <w:p w14:paraId="5C7C710F" w14:textId="77777777" w:rsidR="0008009C" w:rsidRDefault="0008009C">
            <w:pPr>
              <w:rPr>
                <w:rFonts w:ascii="宋体"/>
                <w:vanish/>
              </w:rPr>
            </w:pPr>
          </w:p>
        </w:tc>
      </w:tr>
      <w:tr w:rsidR="0008009C" w14:paraId="5C7C7114" w14:textId="77777777">
        <w:trPr>
          <w:hidden/>
        </w:trPr>
        <w:tc>
          <w:tcPr>
            <w:tcW w:w="0" w:type="auto"/>
            <w:gridSpan w:val="3"/>
            <w:shd w:val="clear" w:color="auto" w:fill="auto"/>
          </w:tcPr>
          <w:p w14:paraId="5C7C7111" w14:textId="77777777" w:rsidR="0008009C" w:rsidRDefault="0008009C">
            <w:pPr>
              <w:rPr>
                <w:rFonts w:ascii="宋体"/>
                <w:vanish/>
              </w:rPr>
            </w:pPr>
          </w:p>
        </w:tc>
        <w:tc>
          <w:tcPr>
            <w:tcW w:w="0" w:type="auto"/>
            <w:gridSpan w:val="3"/>
            <w:shd w:val="clear" w:color="auto" w:fill="auto"/>
          </w:tcPr>
          <w:p w14:paraId="5C7C7112" w14:textId="77777777" w:rsidR="0008009C" w:rsidRDefault="0008009C">
            <w:pPr>
              <w:rPr>
                <w:rFonts w:ascii="宋体"/>
                <w:vanish/>
              </w:rPr>
            </w:pPr>
          </w:p>
        </w:tc>
        <w:tc>
          <w:tcPr>
            <w:tcW w:w="0" w:type="auto"/>
            <w:gridSpan w:val="3"/>
            <w:shd w:val="clear" w:color="auto" w:fill="auto"/>
          </w:tcPr>
          <w:p w14:paraId="5C7C7113" w14:textId="77777777" w:rsidR="0008009C" w:rsidRDefault="0008009C">
            <w:pPr>
              <w:rPr>
                <w:rFonts w:ascii="宋体"/>
                <w:vanish/>
              </w:rPr>
            </w:pPr>
          </w:p>
        </w:tc>
      </w:tr>
      <w:tr w:rsidR="0008009C" w14:paraId="5C7C7118" w14:textId="77777777">
        <w:trPr>
          <w:hidden/>
        </w:trPr>
        <w:tc>
          <w:tcPr>
            <w:tcW w:w="0" w:type="auto"/>
            <w:gridSpan w:val="3"/>
            <w:shd w:val="clear" w:color="auto" w:fill="auto"/>
          </w:tcPr>
          <w:p w14:paraId="5C7C7115" w14:textId="77777777" w:rsidR="0008009C" w:rsidRDefault="0008009C">
            <w:pPr>
              <w:rPr>
                <w:rFonts w:ascii="宋体"/>
                <w:vanish/>
              </w:rPr>
            </w:pPr>
          </w:p>
        </w:tc>
        <w:tc>
          <w:tcPr>
            <w:tcW w:w="0" w:type="auto"/>
            <w:gridSpan w:val="3"/>
            <w:shd w:val="clear" w:color="auto" w:fill="auto"/>
          </w:tcPr>
          <w:p w14:paraId="5C7C7116" w14:textId="77777777" w:rsidR="0008009C" w:rsidRDefault="0008009C">
            <w:pPr>
              <w:rPr>
                <w:rFonts w:ascii="宋体"/>
                <w:vanish/>
              </w:rPr>
            </w:pPr>
          </w:p>
        </w:tc>
        <w:tc>
          <w:tcPr>
            <w:tcW w:w="0" w:type="auto"/>
            <w:gridSpan w:val="3"/>
            <w:shd w:val="clear" w:color="auto" w:fill="auto"/>
          </w:tcPr>
          <w:p w14:paraId="5C7C7117" w14:textId="77777777" w:rsidR="0008009C" w:rsidRDefault="0008009C">
            <w:pPr>
              <w:rPr>
                <w:rFonts w:ascii="宋体"/>
                <w:vanish/>
              </w:rPr>
            </w:pPr>
          </w:p>
        </w:tc>
      </w:tr>
      <w:tr w:rsidR="0008009C" w14:paraId="5C7C711C" w14:textId="77777777">
        <w:trPr>
          <w:hidden/>
        </w:trPr>
        <w:tc>
          <w:tcPr>
            <w:tcW w:w="0" w:type="auto"/>
            <w:gridSpan w:val="3"/>
            <w:shd w:val="clear" w:color="auto" w:fill="auto"/>
          </w:tcPr>
          <w:p w14:paraId="5C7C7119" w14:textId="77777777" w:rsidR="0008009C" w:rsidRDefault="0008009C">
            <w:pPr>
              <w:rPr>
                <w:rFonts w:ascii="宋体"/>
                <w:vanish/>
              </w:rPr>
            </w:pPr>
          </w:p>
        </w:tc>
        <w:tc>
          <w:tcPr>
            <w:tcW w:w="0" w:type="auto"/>
            <w:gridSpan w:val="3"/>
            <w:shd w:val="clear" w:color="auto" w:fill="auto"/>
          </w:tcPr>
          <w:p w14:paraId="5C7C711A" w14:textId="77777777" w:rsidR="0008009C" w:rsidRDefault="0008009C">
            <w:pPr>
              <w:rPr>
                <w:rFonts w:ascii="宋体"/>
                <w:vanish/>
              </w:rPr>
            </w:pPr>
          </w:p>
        </w:tc>
        <w:tc>
          <w:tcPr>
            <w:tcW w:w="0" w:type="auto"/>
            <w:gridSpan w:val="3"/>
            <w:shd w:val="clear" w:color="auto" w:fill="auto"/>
          </w:tcPr>
          <w:p w14:paraId="5C7C711B" w14:textId="77777777" w:rsidR="0008009C" w:rsidRDefault="0008009C">
            <w:pPr>
              <w:rPr>
                <w:rFonts w:ascii="宋体"/>
                <w:vanish/>
              </w:rPr>
            </w:pPr>
          </w:p>
        </w:tc>
      </w:tr>
      <w:tr w:rsidR="0008009C" w14:paraId="5C7C7120" w14:textId="77777777">
        <w:trPr>
          <w:hidden/>
        </w:trPr>
        <w:tc>
          <w:tcPr>
            <w:tcW w:w="0" w:type="auto"/>
            <w:gridSpan w:val="3"/>
            <w:shd w:val="clear" w:color="auto" w:fill="auto"/>
          </w:tcPr>
          <w:p w14:paraId="5C7C711D" w14:textId="77777777" w:rsidR="0008009C" w:rsidRDefault="0008009C">
            <w:pPr>
              <w:rPr>
                <w:rFonts w:ascii="宋体"/>
                <w:vanish/>
              </w:rPr>
            </w:pPr>
          </w:p>
        </w:tc>
        <w:tc>
          <w:tcPr>
            <w:tcW w:w="0" w:type="auto"/>
            <w:gridSpan w:val="3"/>
            <w:shd w:val="clear" w:color="auto" w:fill="auto"/>
          </w:tcPr>
          <w:p w14:paraId="5C7C711E" w14:textId="77777777" w:rsidR="0008009C" w:rsidRDefault="0008009C">
            <w:pPr>
              <w:rPr>
                <w:rFonts w:ascii="宋体"/>
                <w:vanish/>
              </w:rPr>
            </w:pPr>
          </w:p>
        </w:tc>
        <w:tc>
          <w:tcPr>
            <w:tcW w:w="0" w:type="auto"/>
            <w:gridSpan w:val="3"/>
            <w:shd w:val="clear" w:color="auto" w:fill="auto"/>
          </w:tcPr>
          <w:p w14:paraId="5C7C711F" w14:textId="77777777" w:rsidR="0008009C" w:rsidRDefault="0008009C">
            <w:pPr>
              <w:rPr>
                <w:rFonts w:ascii="宋体"/>
                <w:vanish/>
              </w:rPr>
            </w:pPr>
          </w:p>
        </w:tc>
      </w:tr>
      <w:tr w:rsidR="0008009C" w14:paraId="5C7C7124" w14:textId="77777777">
        <w:trPr>
          <w:hidden/>
        </w:trPr>
        <w:tc>
          <w:tcPr>
            <w:tcW w:w="0" w:type="auto"/>
            <w:gridSpan w:val="3"/>
            <w:shd w:val="clear" w:color="auto" w:fill="auto"/>
          </w:tcPr>
          <w:p w14:paraId="5C7C7121" w14:textId="77777777" w:rsidR="0008009C" w:rsidRDefault="0008009C">
            <w:pPr>
              <w:rPr>
                <w:rFonts w:ascii="宋体"/>
                <w:vanish/>
              </w:rPr>
            </w:pPr>
          </w:p>
        </w:tc>
        <w:tc>
          <w:tcPr>
            <w:tcW w:w="0" w:type="auto"/>
            <w:gridSpan w:val="3"/>
            <w:shd w:val="clear" w:color="auto" w:fill="auto"/>
          </w:tcPr>
          <w:p w14:paraId="5C7C7122" w14:textId="77777777" w:rsidR="0008009C" w:rsidRDefault="0008009C">
            <w:pPr>
              <w:rPr>
                <w:rFonts w:ascii="宋体"/>
                <w:vanish/>
              </w:rPr>
            </w:pPr>
          </w:p>
        </w:tc>
        <w:tc>
          <w:tcPr>
            <w:tcW w:w="0" w:type="auto"/>
            <w:gridSpan w:val="3"/>
            <w:shd w:val="clear" w:color="auto" w:fill="auto"/>
          </w:tcPr>
          <w:p w14:paraId="5C7C7123" w14:textId="77777777" w:rsidR="0008009C" w:rsidRDefault="0008009C">
            <w:pPr>
              <w:rPr>
                <w:rFonts w:ascii="宋体"/>
                <w:vanish/>
              </w:rPr>
            </w:pPr>
          </w:p>
        </w:tc>
      </w:tr>
    </w:tbl>
    <w:p w14:paraId="5C7C7125"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08009C" w14:paraId="5C7C712F" w14:textId="77777777">
        <w:tc>
          <w:tcPr>
            <w:tcW w:w="50" w:type="pct"/>
            <w:shd w:val="clear" w:color="auto" w:fill="auto"/>
            <w:vAlign w:val="bottom"/>
          </w:tcPr>
          <w:p w14:paraId="5C7C7126" w14:textId="77777777" w:rsidR="0008009C" w:rsidRDefault="0008009C">
            <w:pPr>
              <w:rPr>
                <w:rFonts w:ascii="宋体"/>
              </w:rPr>
            </w:pPr>
          </w:p>
        </w:tc>
        <w:tc>
          <w:tcPr>
            <w:tcW w:w="212" w:type="pct"/>
            <w:shd w:val="clear" w:color="auto" w:fill="auto"/>
            <w:vAlign w:val="bottom"/>
          </w:tcPr>
          <w:p w14:paraId="5C7C7127" w14:textId="77777777" w:rsidR="0008009C" w:rsidRDefault="0008009C">
            <w:pPr>
              <w:rPr>
                <w:rFonts w:ascii="宋体"/>
              </w:rPr>
            </w:pPr>
          </w:p>
        </w:tc>
        <w:tc>
          <w:tcPr>
            <w:tcW w:w="5" w:type="pct"/>
            <w:shd w:val="clear" w:color="auto" w:fill="auto"/>
            <w:vAlign w:val="bottom"/>
          </w:tcPr>
          <w:p w14:paraId="5C7C7128" w14:textId="77777777" w:rsidR="0008009C" w:rsidRDefault="0008009C">
            <w:pPr>
              <w:rPr>
                <w:rFonts w:ascii="宋体"/>
              </w:rPr>
            </w:pPr>
          </w:p>
        </w:tc>
        <w:tc>
          <w:tcPr>
            <w:tcW w:w="50" w:type="pct"/>
            <w:shd w:val="clear" w:color="auto" w:fill="auto"/>
            <w:vAlign w:val="bottom"/>
          </w:tcPr>
          <w:p w14:paraId="5C7C7129" w14:textId="77777777" w:rsidR="0008009C" w:rsidRDefault="0008009C">
            <w:pPr>
              <w:rPr>
                <w:rFonts w:ascii="宋体"/>
              </w:rPr>
            </w:pPr>
          </w:p>
        </w:tc>
        <w:tc>
          <w:tcPr>
            <w:tcW w:w="2499" w:type="pct"/>
            <w:shd w:val="clear" w:color="auto" w:fill="auto"/>
            <w:vAlign w:val="bottom"/>
          </w:tcPr>
          <w:p w14:paraId="5C7C712A" w14:textId="77777777" w:rsidR="0008009C" w:rsidRDefault="0008009C">
            <w:pPr>
              <w:rPr>
                <w:rFonts w:ascii="宋体"/>
              </w:rPr>
            </w:pPr>
          </w:p>
        </w:tc>
        <w:tc>
          <w:tcPr>
            <w:tcW w:w="5" w:type="pct"/>
            <w:shd w:val="clear" w:color="auto" w:fill="auto"/>
            <w:vAlign w:val="bottom"/>
          </w:tcPr>
          <w:p w14:paraId="5C7C712B" w14:textId="77777777" w:rsidR="0008009C" w:rsidRDefault="0008009C">
            <w:pPr>
              <w:rPr>
                <w:rFonts w:ascii="宋体"/>
              </w:rPr>
            </w:pPr>
          </w:p>
        </w:tc>
        <w:tc>
          <w:tcPr>
            <w:tcW w:w="50" w:type="pct"/>
            <w:shd w:val="clear" w:color="auto" w:fill="auto"/>
            <w:vAlign w:val="bottom"/>
          </w:tcPr>
          <w:p w14:paraId="5C7C712C" w14:textId="77777777" w:rsidR="0008009C" w:rsidRDefault="0008009C">
            <w:pPr>
              <w:rPr>
                <w:rFonts w:ascii="宋体"/>
              </w:rPr>
            </w:pPr>
          </w:p>
        </w:tc>
        <w:tc>
          <w:tcPr>
            <w:tcW w:w="2122" w:type="pct"/>
            <w:shd w:val="clear" w:color="auto" w:fill="auto"/>
            <w:vAlign w:val="bottom"/>
          </w:tcPr>
          <w:p w14:paraId="5C7C712D" w14:textId="77777777" w:rsidR="0008009C" w:rsidRDefault="0008009C">
            <w:pPr>
              <w:rPr>
                <w:rFonts w:ascii="宋体"/>
              </w:rPr>
            </w:pPr>
          </w:p>
        </w:tc>
        <w:tc>
          <w:tcPr>
            <w:tcW w:w="5" w:type="pct"/>
            <w:shd w:val="clear" w:color="auto" w:fill="auto"/>
            <w:vAlign w:val="bottom"/>
          </w:tcPr>
          <w:p w14:paraId="5C7C712E" w14:textId="77777777" w:rsidR="0008009C" w:rsidRDefault="0008009C">
            <w:pPr>
              <w:rPr>
                <w:rFonts w:ascii="宋体"/>
              </w:rPr>
            </w:pPr>
          </w:p>
        </w:tc>
      </w:tr>
      <w:tr w:rsidR="0008009C" w14:paraId="5C7C7133"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7130"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4F" wp14:editId="5C7C7D50">
                  <wp:extent cx="304800" cy="304800"/>
                  <wp:effectExtent l="0" t="0" r="0" b="0"/>
                  <wp:docPr id="21" name="图片 103"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3"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131" w14:textId="77777777" w:rsidR="0008009C" w:rsidRDefault="00936FDF">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132" w14:textId="77777777" w:rsidR="0008009C" w:rsidRDefault="00936FDF">
            <w:pPr>
              <w:jc w:val="right"/>
              <w:textAlignment w:val="center"/>
            </w:pPr>
            <w:r>
              <w:rPr>
                <w:rFonts w:ascii="Arial" w:eastAsia="宋体" w:hAnsi="Arial" w:cs="Arial"/>
                <w:color w:val="262626"/>
                <w:sz w:val="16"/>
                <w:szCs w:val="16"/>
              </w:rPr>
              <w:t>27</w:t>
            </w:r>
          </w:p>
        </w:tc>
      </w:tr>
    </w:tbl>
    <w:p w14:paraId="5C7C7134" w14:textId="77777777" w:rsidR="0008009C" w:rsidRDefault="00936FDF">
      <w:r>
        <w:pict w14:anchorId="5C7C7D51">
          <v:rect id="_x0000_i1053" style="width:415.3pt;height:1.5pt" o:hralign="center" o:hrstd="t" o:hr="t" fillcolor="#a0a0a0" stroked="f"/>
        </w:pict>
      </w:r>
    </w:p>
    <w:p w14:paraId="5C7C7135" w14:textId="77777777" w:rsidR="0008009C" w:rsidRDefault="00936FDF">
      <w:pPr>
        <w:spacing w:after="180"/>
        <w:jc w:val="right"/>
      </w:pPr>
      <w:hyperlink r:id="rId52" w:anchor="i3a00378f6cc84b1c9cfc83239548ad53_7" w:history="1">
        <w:r>
          <w:rPr>
            <w:rStyle w:val="a5"/>
            <w:rFonts w:ascii="Arial" w:eastAsia="宋体" w:hAnsi="Arial" w:cs="Arial"/>
            <w:b/>
            <w:bCs/>
            <w:sz w:val="16"/>
            <w:szCs w:val="16"/>
          </w:rPr>
          <w:t>Table of Contents</w:t>
        </w:r>
      </w:hyperlink>
    </w:p>
    <w:p w14:paraId="5C7C7136" w14:textId="77777777" w:rsidR="0008009C" w:rsidRDefault="0008009C">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8009C" w14:paraId="5C7C713D" w14:textId="77777777">
        <w:tc>
          <w:tcPr>
            <w:tcW w:w="50" w:type="pct"/>
            <w:shd w:val="clear" w:color="auto" w:fill="auto"/>
          </w:tcPr>
          <w:p w14:paraId="5C7C7137" w14:textId="77777777" w:rsidR="0008009C" w:rsidRDefault="0008009C">
            <w:pPr>
              <w:rPr>
                <w:rFonts w:ascii="宋体"/>
              </w:rPr>
            </w:pPr>
          </w:p>
        </w:tc>
        <w:tc>
          <w:tcPr>
            <w:tcW w:w="4870" w:type="pct"/>
            <w:shd w:val="clear" w:color="auto" w:fill="auto"/>
          </w:tcPr>
          <w:p w14:paraId="5C7C7138" w14:textId="77777777" w:rsidR="0008009C" w:rsidRDefault="0008009C">
            <w:pPr>
              <w:rPr>
                <w:rFonts w:ascii="宋体"/>
              </w:rPr>
            </w:pPr>
          </w:p>
        </w:tc>
        <w:tc>
          <w:tcPr>
            <w:tcW w:w="5" w:type="pct"/>
            <w:shd w:val="clear" w:color="auto" w:fill="auto"/>
          </w:tcPr>
          <w:p w14:paraId="5C7C7139" w14:textId="77777777" w:rsidR="0008009C" w:rsidRDefault="0008009C">
            <w:pPr>
              <w:rPr>
                <w:rFonts w:ascii="宋体"/>
              </w:rPr>
            </w:pPr>
          </w:p>
        </w:tc>
        <w:tc>
          <w:tcPr>
            <w:tcW w:w="5" w:type="pct"/>
            <w:shd w:val="clear" w:color="auto" w:fill="auto"/>
          </w:tcPr>
          <w:p w14:paraId="5C7C713A" w14:textId="77777777" w:rsidR="0008009C" w:rsidRDefault="0008009C">
            <w:pPr>
              <w:rPr>
                <w:rFonts w:ascii="宋体"/>
              </w:rPr>
            </w:pPr>
          </w:p>
        </w:tc>
        <w:tc>
          <w:tcPr>
            <w:tcW w:w="64" w:type="pct"/>
            <w:shd w:val="clear" w:color="auto" w:fill="auto"/>
          </w:tcPr>
          <w:p w14:paraId="5C7C713B" w14:textId="77777777" w:rsidR="0008009C" w:rsidRDefault="0008009C">
            <w:pPr>
              <w:rPr>
                <w:rFonts w:ascii="宋体"/>
              </w:rPr>
            </w:pPr>
          </w:p>
        </w:tc>
        <w:tc>
          <w:tcPr>
            <w:tcW w:w="5" w:type="pct"/>
            <w:shd w:val="clear" w:color="auto" w:fill="auto"/>
          </w:tcPr>
          <w:p w14:paraId="5C7C713C" w14:textId="77777777" w:rsidR="0008009C" w:rsidRDefault="0008009C">
            <w:pPr>
              <w:rPr>
                <w:rFonts w:ascii="宋体"/>
              </w:rPr>
            </w:pPr>
          </w:p>
        </w:tc>
      </w:tr>
      <w:tr w:rsidR="0008009C" w14:paraId="5C7C7140" w14:textId="77777777">
        <w:tc>
          <w:tcPr>
            <w:tcW w:w="0" w:type="auto"/>
            <w:gridSpan w:val="3"/>
            <w:shd w:val="clear" w:color="auto" w:fill="004A86"/>
            <w:tcMar>
              <w:top w:w="40" w:type="dxa"/>
              <w:left w:w="20" w:type="dxa"/>
              <w:bottom w:w="40" w:type="dxa"/>
              <w:right w:w="20" w:type="dxa"/>
            </w:tcMar>
            <w:vAlign w:val="center"/>
          </w:tcPr>
          <w:p w14:paraId="5C7C713E" w14:textId="77777777" w:rsidR="0008009C" w:rsidRDefault="00936FDF">
            <w:pPr>
              <w:textAlignment w:val="center"/>
            </w:pPr>
            <w:r>
              <w:rPr>
                <w:rFonts w:ascii="Arial" w:eastAsia="宋体" w:hAnsi="Arial" w:cs="Arial"/>
                <w:color w:val="FFFFFF"/>
                <w:sz w:val="36"/>
                <w:szCs w:val="36"/>
              </w:rPr>
              <w:t>Consolidated Results of Operations</w:t>
            </w:r>
          </w:p>
        </w:tc>
        <w:tc>
          <w:tcPr>
            <w:tcW w:w="0" w:type="auto"/>
            <w:gridSpan w:val="3"/>
            <w:shd w:val="clear" w:color="auto" w:fill="auto"/>
            <w:tcMar>
              <w:top w:w="0" w:type="dxa"/>
              <w:left w:w="20" w:type="dxa"/>
              <w:bottom w:w="0" w:type="dxa"/>
              <w:right w:w="20" w:type="dxa"/>
            </w:tcMar>
          </w:tcPr>
          <w:p w14:paraId="5C7C713F" w14:textId="77777777" w:rsidR="0008009C" w:rsidRDefault="0008009C">
            <w:pPr>
              <w:rPr>
                <w:rFonts w:ascii="宋体"/>
              </w:rPr>
            </w:pPr>
          </w:p>
        </w:tc>
      </w:tr>
      <w:tr w:rsidR="0008009C" w14:paraId="5C7C7143" w14:textId="77777777">
        <w:trPr>
          <w:trHeight w:val="160"/>
        </w:trPr>
        <w:tc>
          <w:tcPr>
            <w:tcW w:w="0" w:type="auto"/>
            <w:gridSpan w:val="3"/>
            <w:shd w:val="clear" w:color="auto" w:fill="auto"/>
            <w:tcMar>
              <w:top w:w="0" w:type="dxa"/>
              <w:left w:w="20" w:type="dxa"/>
              <w:bottom w:w="0" w:type="dxa"/>
              <w:right w:w="20" w:type="dxa"/>
            </w:tcMar>
          </w:tcPr>
          <w:p w14:paraId="5C7C7141" w14:textId="77777777" w:rsidR="0008009C" w:rsidRDefault="0008009C">
            <w:pPr>
              <w:rPr>
                <w:rFonts w:ascii="宋体"/>
              </w:rPr>
            </w:pPr>
          </w:p>
        </w:tc>
        <w:tc>
          <w:tcPr>
            <w:tcW w:w="0" w:type="auto"/>
            <w:gridSpan w:val="3"/>
            <w:shd w:val="clear" w:color="auto" w:fill="00A3F6"/>
            <w:tcMar>
              <w:top w:w="0" w:type="dxa"/>
              <w:left w:w="20" w:type="dxa"/>
              <w:bottom w:w="0" w:type="dxa"/>
              <w:right w:w="20" w:type="dxa"/>
            </w:tcMar>
          </w:tcPr>
          <w:p w14:paraId="5C7C7142" w14:textId="77777777" w:rsidR="0008009C" w:rsidRDefault="0008009C">
            <w:pPr>
              <w:rPr>
                <w:rFonts w:ascii="宋体"/>
              </w:rPr>
            </w:pPr>
          </w:p>
        </w:tc>
      </w:tr>
    </w:tbl>
    <w:p w14:paraId="5C7C7144"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661"/>
        <w:gridCol w:w="39"/>
        <w:gridCol w:w="36"/>
        <w:gridCol w:w="36"/>
        <w:gridCol w:w="36"/>
        <w:gridCol w:w="121"/>
        <w:gridCol w:w="601"/>
        <w:gridCol w:w="36"/>
        <w:gridCol w:w="36"/>
        <w:gridCol w:w="36"/>
        <w:gridCol w:w="36"/>
        <w:gridCol w:w="87"/>
        <w:gridCol w:w="696"/>
        <w:gridCol w:w="181"/>
        <w:gridCol w:w="36"/>
        <w:gridCol w:w="36"/>
        <w:gridCol w:w="36"/>
        <w:gridCol w:w="121"/>
        <w:gridCol w:w="601"/>
        <w:gridCol w:w="36"/>
        <w:gridCol w:w="36"/>
        <w:gridCol w:w="36"/>
        <w:gridCol w:w="36"/>
        <w:gridCol w:w="90"/>
        <w:gridCol w:w="693"/>
        <w:gridCol w:w="1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8009C" w14:paraId="5C7C7168" w14:textId="77777777">
        <w:tc>
          <w:tcPr>
            <w:tcW w:w="50" w:type="pct"/>
            <w:shd w:val="clear" w:color="auto" w:fill="auto"/>
          </w:tcPr>
          <w:p w14:paraId="5C7C7145" w14:textId="77777777" w:rsidR="0008009C" w:rsidRDefault="0008009C">
            <w:pPr>
              <w:rPr>
                <w:rFonts w:ascii="宋体"/>
              </w:rPr>
            </w:pPr>
          </w:p>
        </w:tc>
        <w:tc>
          <w:tcPr>
            <w:tcW w:w="2991" w:type="pct"/>
            <w:shd w:val="clear" w:color="auto" w:fill="auto"/>
          </w:tcPr>
          <w:p w14:paraId="5C7C7146" w14:textId="77777777" w:rsidR="0008009C" w:rsidRDefault="0008009C">
            <w:pPr>
              <w:rPr>
                <w:rFonts w:ascii="宋体"/>
              </w:rPr>
            </w:pPr>
          </w:p>
        </w:tc>
        <w:tc>
          <w:tcPr>
            <w:tcW w:w="5" w:type="pct"/>
            <w:shd w:val="clear" w:color="auto" w:fill="auto"/>
          </w:tcPr>
          <w:p w14:paraId="5C7C7147" w14:textId="77777777" w:rsidR="0008009C" w:rsidRDefault="0008009C">
            <w:pPr>
              <w:rPr>
                <w:rFonts w:ascii="宋体"/>
              </w:rPr>
            </w:pPr>
          </w:p>
        </w:tc>
        <w:tc>
          <w:tcPr>
            <w:tcW w:w="5" w:type="pct"/>
            <w:shd w:val="clear" w:color="auto" w:fill="auto"/>
          </w:tcPr>
          <w:p w14:paraId="5C7C7148" w14:textId="77777777" w:rsidR="0008009C" w:rsidRDefault="0008009C">
            <w:pPr>
              <w:rPr>
                <w:rFonts w:ascii="宋体"/>
              </w:rPr>
            </w:pPr>
          </w:p>
        </w:tc>
        <w:tc>
          <w:tcPr>
            <w:tcW w:w="24" w:type="pct"/>
            <w:shd w:val="clear" w:color="auto" w:fill="auto"/>
          </w:tcPr>
          <w:p w14:paraId="5C7C7149" w14:textId="77777777" w:rsidR="0008009C" w:rsidRDefault="0008009C">
            <w:pPr>
              <w:rPr>
                <w:rFonts w:ascii="宋体"/>
              </w:rPr>
            </w:pPr>
          </w:p>
        </w:tc>
        <w:tc>
          <w:tcPr>
            <w:tcW w:w="5" w:type="pct"/>
            <w:shd w:val="clear" w:color="auto" w:fill="auto"/>
          </w:tcPr>
          <w:p w14:paraId="5C7C714A" w14:textId="77777777" w:rsidR="0008009C" w:rsidRDefault="0008009C">
            <w:pPr>
              <w:rPr>
                <w:rFonts w:ascii="宋体"/>
              </w:rPr>
            </w:pPr>
          </w:p>
        </w:tc>
        <w:tc>
          <w:tcPr>
            <w:tcW w:w="50" w:type="pct"/>
            <w:shd w:val="clear" w:color="auto" w:fill="auto"/>
          </w:tcPr>
          <w:p w14:paraId="5C7C714B" w14:textId="77777777" w:rsidR="0008009C" w:rsidRDefault="0008009C">
            <w:pPr>
              <w:rPr>
                <w:rFonts w:ascii="宋体"/>
              </w:rPr>
            </w:pPr>
          </w:p>
        </w:tc>
        <w:tc>
          <w:tcPr>
            <w:tcW w:w="402" w:type="pct"/>
            <w:shd w:val="clear" w:color="auto" w:fill="auto"/>
          </w:tcPr>
          <w:p w14:paraId="5C7C714C" w14:textId="77777777" w:rsidR="0008009C" w:rsidRDefault="0008009C">
            <w:pPr>
              <w:rPr>
                <w:rFonts w:ascii="宋体"/>
              </w:rPr>
            </w:pPr>
          </w:p>
        </w:tc>
        <w:tc>
          <w:tcPr>
            <w:tcW w:w="5" w:type="pct"/>
            <w:shd w:val="clear" w:color="auto" w:fill="auto"/>
          </w:tcPr>
          <w:p w14:paraId="5C7C714D" w14:textId="77777777" w:rsidR="0008009C" w:rsidRDefault="0008009C">
            <w:pPr>
              <w:rPr>
                <w:rFonts w:ascii="宋体"/>
              </w:rPr>
            </w:pPr>
          </w:p>
        </w:tc>
        <w:tc>
          <w:tcPr>
            <w:tcW w:w="5" w:type="pct"/>
            <w:shd w:val="clear" w:color="auto" w:fill="auto"/>
          </w:tcPr>
          <w:p w14:paraId="5C7C714E" w14:textId="77777777" w:rsidR="0008009C" w:rsidRDefault="0008009C">
            <w:pPr>
              <w:rPr>
                <w:rFonts w:ascii="宋体"/>
              </w:rPr>
            </w:pPr>
          </w:p>
        </w:tc>
        <w:tc>
          <w:tcPr>
            <w:tcW w:w="24" w:type="pct"/>
            <w:shd w:val="clear" w:color="auto" w:fill="auto"/>
          </w:tcPr>
          <w:p w14:paraId="5C7C714F" w14:textId="77777777" w:rsidR="0008009C" w:rsidRDefault="0008009C">
            <w:pPr>
              <w:rPr>
                <w:rFonts w:ascii="宋体"/>
              </w:rPr>
            </w:pPr>
          </w:p>
        </w:tc>
        <w:tc>
          <w:tcPr>
            <w:tcW w:w="5" w:type="pct"/>
            <w:shd w:val="clear" w:color="auto" w:fill="auto"/>
          </w:tcPr>
          <w:p w14:paraId="5C7C7150" w14:textId="77777777" w:rsidR="0008009C" w:rsidRDefault="0008009C">
            <w:pPr>
              <w:rPr>
                <w:rFonts w:ascii="宋体"/>
              </w:rPr>
            </w:pPr>
          </w:p>
        </w:tc>
        <w:tc>
          <w:tcPr>
            <w:tcW w:w="50" w:type="pct"/>
            <w:shd w:val="clear" w:color="auto" w:fill="auto"/>
          </w:tcPr>
          <w:p w14:paraId="5C7C7151" w14:textId="77777777" w:rsidR="0008009C" w:rsidRDefault="0008009C">
            <w:pPr>
              <w:rPr>
                <w:rFonts w:ascii="宋体"/>
              </w:rPr>
            </w:pPr>
          </w:p>
        </w:tc>
        <w:tc>
          <w:tcPr>
            <w:tcW w:w="402" w:type="pct"/>
            <w:shd w:val="clear" w:color="auto" w:fill="auto"/>
          </w:tcPr>
          <w:p w14:paraId="5C7C7152" w14:textId="77777777" w:rsidR="0008009C" w:rsidRDefault="0008009C">
            <w:pPr>
              <w:rPr>
                <w:rFonts w:ascii="宋体"/>
              </w:rPr>
            </w:pPr>
          </w:p>
        </w:tc>
        <w:tc>
          <w:tcPr>
            <w:tcW w:w="5" w:type="pct"/>
            <w:shd w:val="clear" w:color="auto" w:fill="auto"/>
          </w:tcPr>
          <w:p w14:paraId="5C7C7153" w14:textId="77777777" w:rsidR="0008009C" w:rsidRDefault="0008009C">
            <w:pPr>
              <w:rPr>
                <w:rFonts w:ascii="宋体"/>
              </w:rPr>
            </w:pPr>
          </w:p>
        </w:tc>
        <w:tc>
          <w:tcPr>
            <w:tcW w:w="5" w:type="pct"/>
            <w:shd w:val="clear" w:color="auto" w:fill="auto"/>
          </w:tcPr>
          <w:p w14:paraId="5C7C7154" w14:textId="77777777" w:rsidR="0008009C" w:rsidRDefault="0008009C">
            <w:pPr>
              <w:rPr>
                <w:rFonts w:ascii="宋体"/>
              </w:rPr>
            </w:pPr>
          </w:p>
        </w:tc>
        <w:tc>
          <w:tcPr>
            <w:tcW w:w="24" w:type="pct"/>
            <w:shd w:val="clear" w:color="auto" w:fill="auto"/>
          </w:tcPr>
          <w:p w14:paraId="5C7C7155" w14:textId="77777777" w:rsidR="0008009C" w:rsidRDefault="0008009C">
            <w:pPr>
              <w:rPr>
                <w:rFonts w:ascii="宋体"/>
              </w:rPr>
            </w:pPr>
          </w:p>
        </w:tc>
        <w:tc>
          <w:tcPr>
            <w:tcW w:w="5" w:type="pct"/>
            <w:shd w:val="clear" w:color="auto" w:fill="auto"/>
          </w:tcPr>
          <w:p w14:paraId="5C7C7156" w14:textId="77777777" w:rsidR="0008009C" w:rsidRDefault="0008009C">
            <w:pPr>
              <w:rPr>
                <w:rFonts w:ascii="宋体"/>
              </w:rPr>
            </w:pPr>
          </w:p>
        </w:tc>
        <w:tc>
          <w:tcPr>
            <w:tcW w:w="50" w:type="pct"/>
            <w:shd w:val="clear" w:color="auto" w:fill="auto"/>
          </w:tcPr>
          <w:p w14:paraId="5C7C7157" w14:textId="77777777" w:rsidR="0008009C" w:rsidRDefault="0008009C">
            <w:pPr>
              <w:rPr>
                <w:rFonts w:ascii="宋体"/>
              </w:rPr>
            </w:pPr>
          </w:p>
        </w:tc>
        <w:tc>
          <w:tcPr>
            <w:tcW w:w="402" w:type="pct"/>
            <w:shd w:val="clear" w:color="auto" w:fill="auto"/>
          </w:tcPr>
          <w:p w14:paraId="5C7C7158" w14:textId="77777777" w:rsidR="0008009C" w:rsidRDefault="0008009C">
            <w:pPr>
              <w:rPr>
                <w:rFonts w:ascii="宋体"/>
              </w:rPr>
            </w:pPr>
          </w:p>
        </w:tc>
        <w:tc>
          <w:tcPr>
            <w:tcW w:w="5" w:type="pct"/>
            <w:shd w:val="clear" w:color="auto" w:fill="auto"/>
          </w:tcPr>
          <w:p w14:paraId="5C7C7159" w14:textId="77777777" w:rsidR="0008009C" w:rsidRDefault="0008009C">
            <w:pPr>
              <w:rPr>
                <w:rFonts w:ascii="宋体"/>
              </w:rPr>
            </w:pPr>
          </w:p>
        </w:tc>
        <w:tc>
          <w:tcPr>
            <w:tcW w:w="5" w:type="pct"/>
            <w:shd w:val="clear" w:color="auto" w:fill="auto"/>
          </w:tcPr>
          <w:p w14:paraId="5C7C715A" w14:textId="77777777" w:rsidR="0008009C" w:rsidRDefault="0008009C">
            <w:pPr>
              <w:rPr>
                <w:rFonts w:ascii="宋体"/>
              </w:rPr>
            </w:pPr>
          </w:p>
        </w:tc>
        <w:tc>
          <w:tcPr>
            <w:tcW w:w="24" w:type="pct"/>
            <w:shd w:val="clear" w:color="auto" w:fill="auto"/>
          </w:tcPr>
          <w:p w14:paraId="5C7C715B" w14:textId="77777777" w:rsidR="0008009C" w:rsidRDefault="0008009C">
            <w:pPr>
              <w:rPr>
                <w:rFonts w:ascii="宋体"/>
              </w:rPr>
            </w:pPr>
          </w:p>
        </w:tc>
        <w:tc>
          <w:tcPr>
            <w:tcW w:w="5" w:type="pct"/>
            <w:shd w:val="clear" w:color="auto" w:fill="auto"/>
          </w:tcPr>
          <w:p w14:paraId="5C7C715C" w14:textId="77777777" w:rsidR="0008009C" w:rsidRDefault="0008009C">
            <w:pPr>
              <w:rPr>
                <w:rFonts w:ascii="宋体"/>
              </w:rPr>
            </w:pPr>
          </w:p>
        </w:tc>
        <w:tc>
          <w:tcPr>
            <w:tcW w:w="50" w:type="pct"/>
            <w:shd w:val="clear" w:color="auto" w:fill="auto"/>
          </w:tcPr>
          <w:p w14:paraId="5C7C715D" w14:textId="77777777" w:rsidR="0008009C" w:rsidRDefault="0008009C">
            <w:pPr>
              <w:rPr>
                <w:rFonts w:ascii="宋体"/>
              </w:rPr>
            </w:pPr>
          </w:p>
        </w:tc>
        <w:tc>
          <w:tcPr>
            <w:tcW w:w="389" w:type="pct"/>
            <w:shd w:val="clear" w:color="auto" w:fill="auto"/>
          </w:tcPr>
          <w:p w14:paraId="5C7C715E" w14:textId="77777777" w:rsidR="0008009C" w:rsidRDefault="0008009C">
            <w:pPr>
              <w:rPr>
                <w:rFonts w:ascii="宋体"/>
              </w:rPr>
            </w:pPr>
          </w:p>
        </w:tc>
        <w:tc>
          <w:tcPr>
            <w:tcW w:w="5" w:type="pct"/>
            <w:shd w:val="clear" w:color="auto" w:fill="auto"/>
          </w:tcPr>
          <w:p w14:paraId="5C7C715F" w14:textId="77777777" w:rsidR="0008009C" w:rsidRDefault="0008009C">
            <w:pPr>
              <w:rPr>
                <w:rFonts w:ascii="宋体"/>
              </w:rPr>
            </w:pPr>
          </w:p>
        </w:tc>
        <w:tc>
          <w:tcPr>
            <w:tcW w:w="0" w:type="auto"/>
            <w:shd w:val="clear" w:color="auto" w:fill="auto"/>
          </w:tcPr>
          <w:p w14:paraId="5C7C7160" w14:textId="77777777" w:rsidR="0008009C" w:rsidRDefault="0008009C">
            <w:pPr>
              <w:rPr>
                <w:rFonts w:ascii="宋体"/>
                <w:vanish/>
              </w:rPr>
            </w:pPr>
          </w:p>
        </w:tc>
        <w:tc>
          <w:tcPr>
            <w:tcW w:w="0" w:type="auto"/>
            <w:shd w:val="clear" w:color="auto" w:fill="auto"/>
          </w:tcPr>
          <w:p w14:paraId="5C7C7161" w14:textId="77777777" w:rsidR="0008009C" w:rsidRDefault="0008009C">
            <w:pPr>
              <w:rPr>
                <w:rFonts w:ascii="宋体"/>
                <w:vanish/>
              </w:rPr>
            </w:pPr>
          </w:p>
        </w:tc>
        <w:tc>
          <w:tcPr>
            <w:tcW w:w="0" w:type="auto"/>
            <w:gridSpan w:val="3"/>
            <w:shd w:val="clear" w:color="auto" w:fill="auto"/>
          </w:tcPr>
          <w:p w14:paraId="5C7C7162" w14:textId="77777777" w:rsidR="0008009C" w:rsidRDefault="0008009C">
            <w:pPr>
              <w:rPr>
                <w:rFonts w:ascii="宋体"/>
                <w:vanish/>
              </w:rPr>
            </w:pPr>
          </w:p>
        </w:tc>
        <w:tc>
          <w:tcPr>
            <w:tcW w:w="0" w:type="auto"/>
            <w:gridSpan w:val="3"/>
            <w:shd w:val="clear" w:color="auto" w:fill="auto"/>
          </w:tcPr>
          <w:p w14:paraId="5C7C7163" w14:textId="77777777" w:rsidR="0008009C" w:rsidRDefault="0008009C">
            <w:pPr>
              <w:rPr>
                <w:rFonts w:ascii="宋体"/>
                <w:vanish/>
              </w:rPr>
            </w:pPr>
          </w:p>
        </w:tc>
        <w:tc>
          <w:tcPr>
            <w:tcW w:w="0" w:type="auto"/>
            <w:gridSpan w:val="3"/>
            <w:shd w:val="clear" w:color="auto" w:fill="auto"/>
          </w:tcPr>
          <w:p w14:paraId="5C7C7164" w14:textId="77777777" w:rsidR="0008009C" w:rsidRDefault="0008009C">
            <w:pPr>
              <w:rPr>
                <w:rFonts w:ascii="宋体"/>
                <w:vanish/>
              </w:rPr>
            </w:pPr>
          </w:p>
        </w:tc>
        <w:tc>
          <w:tcPr>
            <w:tcW w:w="0" w:type="auto"/>
            <w:gridSpan w:val="3"/>
            <w:shd w:val="clear" w:color="auto" w:fill="auto"/>
          </w:tcPr>
          <w:p w14:paraId="5C7C7165" w14:textId="77777777" w:rsidR="0008009C" w:rsidRDefault="0008009C">
            <w:pPr>
              <w:rPr>
                <w:rFonts w:ascii="宋体"/>
                <w:vanish/>
              </w:rPr>
            </w:pPr>
          </w:p>
        </w:tc>
        <w:tc>
          <w:tcPr>
            <w:tcW w:w="0" w:type="auto"/>
            <w:gridSpan w:val="3"/>
            <w:shd w:val="clear" w:color="auto" w:fill="auto"/>
          </w:tcPr>
          <w:p w14:paraId="5C7C7166" w14:textId="77777777" w:rsidR="0008009C" w:rsidRDefault="0008009C">
            <w:pPr>
              <w:rPr>
                <w:rFonts w:ascii="宋体"/>
                <w:vanish/>
              </w:rPr>
            </w:pPr>
          </w:p>
        </w:tc>
        <w:tc>
          <w:tcPr>
            <w:tcW w:w="0" w:type="auto"/>
            <w:gridSpan w:val="3"/>
            <w:shd w:val="clear" w:color="auto" w:fill="auto"/>
          </w:tcPr>
          <w:p w14:paraId="5C7C7167" w14:textId="77777777" w:rsidR="0008009C" w:rsidRDefault="0008009C">
            <w:pPr>
              <w:rPr>
                <w:rFonts w:ascii="宋体"/>
                <w:vanish/>
              </w:rPr>
            </w:pPr>
          </w:p>
        </w:tc>
      </w:tr>
      <w:tr w:rsidR="0008009C" w14:paraId="5C7C7180" w14:textId="77777777">
        <w:tc>
          <w:tcPr>
            <w:tcW w:w="0" w:type="auto"/>
            <w:gridSpan w:val="3"/>
            <w:shd w:val="clear" w:color="auto" w:fill="auto"/>
            <w:tcMar>
              <w:top w:w="0" w:type="dxa"/>
              <w:left w:w="20" w:type="dxa"/>
              <w:bottom w:w="0" w:type="dxa"/>
              <w:right w:w="20" w:type="dxa"/>
            </w:tcMar>
          </w:tcPr>
          <w:p w14:paraId="5C7C716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16A" w14:textId="77777777" w:rsidR="0008009C" w:rsidRDefault="0008009C">
            <w:pPr>
              <w:rPr>
                <w:rFonts w:ascii="宋体"/>
              </w:rPr>
            </w:pPr>
          </w:p>
        </w:tc>
        <w:tc>
          <w:tcPr>
            <w:tcW w:w="0" w:type="auto"/>
            <w:gridSpan w:val="21"/>
            <w:tcBorders>
              <w:bottom w:val="single" w:sz="8" w:space="0" w:color="0068B5"/>
            </w:tcBorders>
            <w:shd w:val="clear" w:color="auto" w:fill="auto"/>
            <w:tcMar>
              <w:top w:w="40" w:type="dxa"/>
              <w:left w:w="20" w:type="dxa"/>
              <w:bottom w:w="40" w:type="dxa"/>
              <w:right w:w="20" w:type="dxa"/>
            </w:tcMar>
            <w:vAlign w:val="bottom"/>
          </w:tcPr>
          <w:p w14:paraId="5C7C716B" w14:textId="77777777" w:rsidR="0008009C" w:rsidRDefault="00936FDF">
            <w:pPr>
              <w:jc w:val="center"/>
              <w:textAlignment w:val="bottom"/>
            </w:pPr>
            <w:r>
              <w:rPr>
                <w:rFonts w:ascii="Arial" w:eastAsia="宋体" w:hAnsi="Arial" w:cs="Arial"/>
                <w:b/>
                <w:bCs/>
                <w:color w:val="262626"/>
                <w:sz w:val="18"/>
                <w:szCs w:val="18"/>
              </w:rPr>
              <w:t>Three Months Ended</w:t>
            </w:r>
          </w:p>
        </w:tc>
        <w:tc>
          <w:tcPr>
            <w:tcW w:w="0" w:type="auto"/>
            <w:shd w:val="clear" w:color="auto" w:fill="auto"/>
          </w:tcPr>
          <w:p w14:paraId="5C7C716C" w14:textId="77777777" w:rsidR="0008009C" w:rsidRDefault="0008009C">
            <w:pPr>
              <w:rPr>
                <w:rFonts w:ascii="宋体"/>
                <w:vanish/>
              </w:rPr>
            </w:pPr>
          </w:p>
        </w:tc>
        <w:tc>
          <w:tcPr>
            <w:tcW w:w="0" w:type="auto"/>
            <w:shd w:val="clear" w:color="auto" w:fill="auto"/>
          </w:tcPr>
          <w:p w14:paraId="5C7C716D" w14:textId="77777777" w:rsidR="0008009C" w:rsidRDefault="0008009C">
            <w:pPr>
              <w:rPr>
                <w:rFonts w:ascii="宋体"/>
                <w:vanish/>
              </w:rPr>
            </w:pPr>
          </w:p>
        </w:tc>
        <w:tc>
          <w:tcPr>
            <w:tcW w:w="0" w:type="auto"/>
            <w:shd w:val="clear" w:color="auto" w:fill="auto"/>
          </w:tcPr>
          <w:p w14:paraId="5C7C716E" w14:textId="77777777" w:rsidR="0008009C" w:rsidRDefault="0008009C">
            <w:pPr>
              <w:rPr>
                <w:rFonts w:ascii="宋体"/>
              </w:rPr>
            </w:pPr>
          </w:p>
        </w:tc>
        <w:tc>
          <w:tcPr>
            <w:tcW w:w="0" w:type="auto"/>
            <w:shd w:val="clear" w:color="auto" w:fill="auto"/>
          </w:tcPr>
          <w:p w14:paraId="5C7C716F" w14:textId="77777777" w:rsidR="0008009C" w:rsidRDefault="0008009C">
            <w:pPr>
              <w:rPr>
                <w:rFonts w:ascii="宋体"/>
              </w:rPr>
            </w:pPr>
          </w:p>
        </w:tc>
        <w:tc>
          <w:tcPr>
            <w:tcW w:w="0" w:type="auto"/>
            <w:shd w:val="clear" w:color="auto" w:fill="auto"/>
          </w:tcPr>
          <w:p w14:paraId="5C7C7170" w14:textId="77777777" w:rsidR="0008009C" w:rsidRDefault="0008009C">
            <w:pPr>
              <w:rPr>
                <w:rFonts w:ascii="宋体"/>
              </w:rPr>
            </w:pPr>
          </w:p>
        </w:tc>
        <w:tc>
          <w:tcPr>
            <w:tcW w:w="0" w:type="auto"/>
            <w:shd w:val="clear" w:color="auto" w:fill="auto"/>
          </w:tcPr>
          <w:p w14:paraId="5C7C7171" w14:textId="77777777" w:rsidR="0008009C" w:rsidRDefault="0008009C">
            <w:pPr>
              <w:rPr>
                <w:rFonts w:ascii="宋体"/>
              </w:rPr>
            </w:pPr>
          </w:p>
        </w:tc>
        <w:tc>
          <w:tcPr>
            <w:tcW w:w="0" w:type="auto"/>
            <w:shd w:val="clear" w:color="auto" w:fill="auto"/>
          </w:tcPr>
          <w:p w14:paraId="5C7C7172" w14:textId="77777777" w:rsidR="0008009C" w:rsidRDefault="0008009C">
            <w:pPr>
              <w:rPr>
                <w:rFonts w:ascii="宋体"/>
              </w:rPr>
            </w:pPr>
          </w:p>
        </w:tc>
        <w:tc>
          <w:tcPr>
            <w:tcW w:w="0" w:type="auto"/>
            <w:shd w:val="clear" w:color="auto" w:fill="auto"/>
          </w:tcPr>
          <w:p w14:paraId="5C7C7173" w14:textId="77777777" w:rsidR="0008009C" w:rsidRDefault="0008009C">
            <w:pPr>
              <w:rPr>
                <w:rFonts w:ascii="宋体"/>
              </w:rPr>
            </w:pPr>
          </w:p>
        </w:tc>
        <w:tc>
          <w:tcPr>
            <w:tcW w:w="0" w:type="auto"/>
            <w:shd w:val="clear" w:color="auto" w:fill="auto"/>
          </w:tcPr>
          <w:p w14:paraId="5C7C7174" w14:textId="77777777" w:rsidR="0008009C" w:rsidRDefault="0008009C">
            <w:pPr>
              <w:rPr>
                <w:rFonts w:ascii="宋体"/>
              </w:rPr>
            </w:pPr>
          </w:p>
        </w:tc>
        <w:tc>
          <w:tcPr>
            <w:tcW w:w="0" w:type="auto"/>
            <w:shd w:val="clear" w:color="auto" w:fill="auto"/>
          </w:tcPr>
          <w:p w14:paraId="5C7C7175" w14:textId="77777777" w:rsidR="0008009C" w:rsidRDefault="0008009C">
            <w:pPr>
              <w:rPr>
                <w:rFonts w:ascii="宋体"/>
              </w:rPr>
            </w:pPr>
          </w:p>
        </w:tc>
        <w:tc>
          <w:tcPr>
            <w:tcW w:w="0" w:type="auto"/>
            <w:shd w:val="clear" w:color="auto" w:fill="auto"/>
          </w:tcPr>
          <w:p w14:paraId="5C7C7176" w14:textId="77777777" w:rsidR="0008009C" w:rsidRDefault="0008009C">
            <w:pPr>
              <w:rPr>
                <w:rFonts w:ascii="宋体"/>
              </w:rPr>
            </w:pPr>
          </w:p>
        </w:tc>
        <w:tc>
          <w:tcPr>
            <w:tcW w:w="0" w:type="auto"/>
            <w:shd w:val="clear" w:color="auto" w:fill="auto"/>
          </w:tcPr>
          <w:p w14:paraId="5C7C7177" w14:textId="77777777" w:rsidR="0008009C" w:rsidRDefault="0008009C">
            <w:pPr>
              <w:rPr>
                <w:rFonts w:ascii="宋体"/>
              </w:rPr>
            </w:pPr>
          </w:p>
        </w:tc>
        <w:tc>
          <w:tcPr>
            <w:tcW w:w="0" w:type="auto"/>
            <w:shd w:val="clear" w:color="auto" w:fill="auto"/>
          </w:tcPr>
          <w:p w14:paraId="5C7C7178" w14:textId="77777777" w:rsidR="0008009C" w:rsidRDefault="0008009C">
            <w:pPr>
              <w:rPr>
                <w:rFonts w:ascii="宋体"/>
              </w:rPr>
            </w:pPr>
          </w:p>
        </w:tc>
        <w:tc>
          <w:tcPr>
            <w:tcW w:w="0" w:type="auto"/>
            <w:shd w:val="clear" w:color="auto" w:fill="auto"/>
          </w:tcPr>
          <w:p w14:paraId="5C7C7179" w14:textId="77777777" w:rsidR="0008009C" w:rsidRDefault="0008009C">
            <w:pPr>
              <w:rPr>
                <w:rFonts w:ascii="宋体"/>
              </w:rPr>
            </w:pPr>
          </w:p>
        </w:tc>
        <w:tc>
          <w:tcPr>
            <w:tcW w:w="0" w:type="auto"/>
            <w:shd w:val="clear" w:color="auto" w:fill="auto"/>
          </w:tcPr>
          <w:p w14:paraId="5C7C717A" w14:textId="77777777" w:rsidR="0008009C" w:rsidRDefault="0008009C">
            <w:pPr>
              <w:rPr>
                <w:rFonts w:ascii="宋体"/>
              </w:rPr>
            </w:pPr>
          </w:p>
        </w:tc>
        <w:tc>
          <w:tcPr>
            <w:tcW w:w="0" w:type="auto"/>
            <w:shd w:val="clear" w:color="auto" w:fill="auto"/>
          </w:tcPr>
          <w:p w14:paraId="5C7C717B" w14:textId="77777777" w:rsidR="0008009C" w:rsidRDefault="0008009C">
            <w:pPr>
              <w:rPr>
                <w:rFonts w:ascii="宋体"/>
              </w:rPr>
            </w:pPr>
          </w:p>
        </w:tc>
        <w:tc>
          <w:tcPr>
            <w:tcW w:w="0" w:type="auto"/>
            <w:shd w:val="clear" w:color="auto" w:fill="auto"/>
          </w:tcPr>
          <w:p w14:paraId="5C7C717C" w14:textId="77777777" w:rsidR="0008009C" w:rsidRDefault="0008009C">
            <w:pPr>
              <w:rPr>
                <w:rFonts w:ascii="宋体"/>
              </w:rPr>
            </w:pPr>
          </w:p>
        </w:tc>
        <w:tc>
          <w:tcPr>
            <w:tcW w:w="0" w:type="auto"/>
            <w:shd w:val="clear" w:color="auto" w:fill="auto"/>
          </w:tcPr>
          <w:p w14:paraId="5C7C717D" w14:textId="77777777" w:rsidR="0008009C" w:rsidRDefault="0008009C">
            <w:pPr>
              <w:rPr>
                <w:rFonts w:ascii="宋体"/>
              </w:rPr>
            </w:pPr>
          </w:p>
        </w:tc>
        <w:tc>
          <w:tcPr>
            <w:tcW w:w="0" w:type="auto"/>
            <w:shd w:val="clear" w:color="auto" w:fill="auto"/>
          </w:tcPr>
          <w:p w14:paraId="5C7C717E" w14:textId="77777777" w:rsidR="0008009C" w:rsidRDefault="0008009C">
            <w:pPr>
              <w:rPr>
                <w:rFonts w:ascii="宋体"/>
              </w:rPr>
            </w:pPr>
          </w:p>
        </w:tc>
        <w:tc>
          <w:tcPr>
            <w:tcW w:w="0" w:type="auto"/>
            <w:shd w:val="clear" w:color="auto" w:fill="auto"/>
          </w:tcPr>
          <w:p w14:paraId="5C7C717F" w14:textId="77777777" w:rsidR="0008009C" w:rsidRDefault="0008009C">
            <w:pPr>
              <w:rPr>
                <w:rFonts w:ascii="宋体"/>
              </w:rPr>
            </w:pPr>
          </w:p>
        </w:tc>
      </w:tr>
      <w:tr w:rsidR="0008009C" w14:paraId="5C7C7196" w14:textId="77777777">
        <w:tc>
          <w:tcPr>
            <w:tcW w:w="0" w:type="auto"/>
            <w:gridSpan w:val="3"/>
            <w:shd w:val="clear" w:color="auto" w:fill="auto"/>
            <w:tcMar>
              <w:top w:w="0" w:type="dxa"/>
              <w:left w:w="20" w:type="dxa"/>
              <w:bottom w:w="0" w:type="dxa"/>
              <w:right w:w="20" w:type="dxa"/>
            </w:tcMar>
          </w:tcPr>
          <w:p w14:paraId="5C7C718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182" w14:textId="77777777" w:rsidR="0008009C" w:rsidRDefault="0008009C">
            <w:pPr>
              <w:rPr>
                <w:rFonts w:ascii="宋体"/>
              </w:rPr>
            </w:pPr>
          </w:p>
        </w:tc>
        <w:tc>
          <w:tcPr>
            <w:tcW w:w="0" w:type="auto"/>
            <w:gridSpan w:val="9"/>
            <w:tcBorders>
              <w:top w:val="single" w:sz="8" w:space="0" w:color="0068B5"/>
            </w:tcBorders>
            <w:shd w:val="clear" w:color="auto" w:fill="auto"/>
            <w:tcMar>
              <w:top w:w="40" w:type="dxa"/>
              <w:left w:w="20" w:type="dxa"/>
              <w:bottom w:w="40" w:type="dxa"/>
              <w:right w:w="20" w:type="dxa"/>
            </w:tcMar>
            <w:vAlign w:val="bottom"/>
          </w:tcPr>
          <w:p w14:paraId="5C7C7183" w14:textId="77777777" w:rsidR="0008009C" w:rsidRDefault="00936FDF">
            <w:pPr>
              <w:jc w:val="center"/>
              <w:textAlignment w:val="bottom"/>
            </w:pPr>
            <w:r>
              <w:rPr>
                <w:rFonts w:ascii="Arial" w:eastAsia="宋体" w:hAnsi="Arial" w:cs="Arial"/>
                <w:b/>
                <w:bCs/>
                <w:color w:val="262626"/>
                <w:sz w:val="18"/>
                <w:szCs w:val="18"/>
              </w:rPr>
              <w:t>Q1 2021</w:t>
            </w:r>
          </w:p>
        </w:tc>
        <w:tc>
          <w:tcPr>
            <w:tcW w:w="0" w:type="auto"/>
            <w:gridSpan w:val="3"/>
            <w:tcBorders>
              <w:top w:val="single" w:sz="8" w:space="0" w:color="0068B5"/>
            </w:tcBorders>
            <w:shd w:val="clear" w:color="auto" w:fill="auto"/>
            <w:tcMar>
              <w:top w:w="0" w:type="dxa"/>
              <w:left w:w="20" w:type="dxa"/>
              <w:bottom w:w="0" w:type="dxa"/>
              <w:right w:w="20" w:type="dxa"/>
            </w:tcMar>
          </w:tcPr>
          <w:p w14:paraId="5C7C7184" w14:textId="77777777" w:rsidR="0008009C" w:rsidRDefault="0008009C">
            <w:pPr>
              <w:rPr>
                <w:rFonts w:ascii="宋体"/>
              </w:rPr>
            </w:pPr>
          </w:p>
        </w:tc>
        <w:tc>
          <w:tcPr>
            <w:tcW w:w="0" w:type="auto"/>
            <w:gridSpan w:val="9"/>
            <w:tcBorders>
              <w:top w:val="single" w:sz="8" w:space="0" w:color="0068B5"/>
            </w:tcBorders>
            <w:shd w:val="clear" w:color="auto" w:fill="auto"/>
            <w:tcMar>
              <w:top w:w="40" w:type="dxa"/>
              <w:left w:w="20" w:type="dxa"/>
              <w:bottom w:w="40" w:type="dxa"/>
              <w:right w:w="20" w:type="dxa"/>
            </w:tcMar>
            <w:vAlign w:val="bottom"/>
          </w:tcPr>
          <w:p w14:paraId="5C7C7185" w14:textId="77777777" w:rsidR="0008009C" w:rsidRDefault="00936FDF">
            <w:pPr>
              <w:jc w:val="center"/>
              <w:textAlignment w:val="bottom"/>
            </w:pPr>
            <w:r>
              <w:rPr>
                <w:rFonts w:ascii="Arial" w:eastAsia="宋体" w:hAnsi="Arial" w:cs="Arial"/>
                <w:b/>
                <w:bCs/>
                <w:color w:val="262626"/>
                <w:sz w:val="18"/>
                <w:szCs w:val="18"/>
              </w:rPr>
              <w:t>Q1 2020</w:t>
            </w:r>
          </w:p>
        </w:tc>
        <w:tc>
          <w:tcPr>
            <w:tcW w:w="0" w:type="auto"/>
            <w:shd w:val="clear" w:color="auto" w:fill="auto"/>
          </w:tcPr>
          <w:p w14:paraId="5C7C7186" w14:textId="77777777" w:rsidR="0008009C" w:rsidRDefault="0008009C">
            <w:pPr>
              <w:rPr>
                <w:rFonts w:ascii="宋体"/>
                <w:vanish/>
              </w:rPr>
            </w:pPr>
          </w:p>
        </w:tc>
        <w:tc>
          <w:tcPr>
            <w:tcW w:w="0" w:type="auto"/>
            <w:shd w:val="clear" w:color="auto" w:fill="auto"/>
          </w:tcPr>
          <w:p w14:paraId="5C7C7187" w14:textId="77777777" w:rsidR="0008009C" w:rsidRDefault="0008009C">
            <w:pPr>
              <w:rPr>
                <w:rFonts w:ascii="宋体"/>
                <w:vanish/>
              </w:rPr>
            </w:pPr>
          </w:p>
        </w:tc>
        <w:tc>
          <w:tcPr>
            <w:tcW w:w="0" w:type="auto"/>
            <w:gridSpan w:val="3"/>
            <w:shd w:val="clear" w:color="auto" w:fill="auto"/>
          </w:tcPr>
          <w:p w14:paraId="5C7C7188" w14:textId="77777777" w:rsidR="0008009C" w:rsidRDefault="0008009C">
            <w:pPr>
              <w:rPr>
                <w:rFonts w:ascii="宋体"/>
                <w:vanish/>
              </w:rPr>
            </w:pPr>
          </w:p>
        </w:tc>
        <w:tc>
          <w:tcPr>
            <w:tcW w:w="0" w:type="auto"/>
            <w:gridSpan w:val="3"/>
            <w:shd w:val="clear" w:color="auto" w:fill="auto"/>
          </w:tcPr>
          <w:p w14:paraId="5C7C7189" w14:textId="77777777" w:rsidR="0008009C" w:rsidRDefault="0008009C">
            <w:pPr>
              <w:rPr>
                <w:rFonts w:ascii="宋体"/>
                <w:vanish/>
              </w:rPr>
            </w:pPr>
          </w:p>
        </w:tc>
        <w:tc>
          <w:tcPr>
            <w:tcW w:w="0" w:type="auto"/>
            <w:shd w:val="clear" w:color="auto" w:fill="auto"/>
          </w:tcPr>
          <w:p w14:paraId="5C7C718A" w14:textId="77777777" w:rsidR="0008009C" w:rsidRDefault="0008009C">
            <w:pPr>
              <w:rPr>
                <w:rFonts w:ascii="宋体"/>
              </w:rPr>
            </w:pPr>
          </w:p>
        </w:tc>
        <w:tc>
          <w:tcPr>
            <w:tcW w:w="0" w:type="auto"/>
            <w:shd w:val="clear" w:color="auto" w:fill="auto"/>
          </w:tcPr>
          <w:p w14:paraId="5C7C718B" w14:textId="77777777" w:rsidR="0008009C" w:rsidRDefault="0008009C">
            <w:pPr>
              <w:rPr>
                <w:rFonts w:ascii="宋体"/>
              </w:rPr>
            </w:pPr>
          </w:p>
        </w:tc>
        <w:tc>
          <w:tcPr>
            <w:tcW w:w="0" w:type="auto"/>
            <w:shd w:val="clear" w:color="auto" w:fill="auto"/>
          </w:tcPr>
          <w:p w14:paraId="5C7C718C" w14:textId="77777777" w:rsidR="0008009C" w:rsidRDefault="0008009C">
            <w:pPr>
              <w:rPr>
                <w:rFonts w:ascii="宋体"/>
              </w:rPr>
            </w:pPr>
          </w:p>
        </w:tc>
        <w:tc>
          <w:tcPr>
            <w:tcW w:w="0" w:type="auto"/>
            <w:shd w:val="clear" w:color="auto" w:fill="auto"/>
          </w:tcPr>
          <w:p w14:paraId="5C7C718D" w14:textId="77777777" w:rsidR="0008009C" w:rsidRDefault="0008009C">
            <w:pPr>
              <w:rPr>
                <w:rFonts w:ascii="宋体"/>
              </w:rPr>
            </w:pPr>
          </w:p>
        </w:tc>
        <w:tc>
          <w:tcPr>
            <w:tcW w:w="0" w:type="auto"/>
            <w:shd w:val="clear" w:color="auto" w:fill="auto"/>
          </w:tcPr>
          <w:p w14:paraId="5C7C718E" w14:textId="77777777" w:rsidR="0008009C" w:rsidRDefault="0008009C">
            <w:pPr>
              <w:rPr>
                <w:rFonts w:ascii="宋体"/>
              </w:rPr>
            </w:pPr>
          </w:p>
        </w:tc>
        <w:tc>
          <w:tcPr>
            <w:tcW w:w="0" w:type="auto"/>
            <w:shd w:val="clear" w:color="auto" w:fill="auto"/>
          </w:tcPr>
          <w:p w14:paraId="5C7C718F" w14:textId="77777777" w:rsidR="0008009C" w:rsidRDefault="0008009C">
            <w:pPr>
              <w:rPr>
                <w:rFonts w:ascii="宋体"/>
              </w:rPr>
            </w:pPr>
          </w:p>
        </w:tc>
        <w:tc>
          <w:tcPr>
            <w:tcW w:w="0" w:type="auto"/>
            <w:shd w:val="clear" w:color="auto" w:fill="auto"/>
          </w:tcPr>
          <w:p w14:paraId="5C7C7190" w14:textId="77777777" w:rsidR="0008009C" w:rsidRDefault="0008009C">
            <w:pPr>
              <w:rPr>
                <w:rFonts w:ascii="宋体"/>
              </w:rPr>
            </w:pPr>
          </w:p>
        </w:tc>
        <w:tc>
          <w:tcPr>
            <w:tcW w:w="0" w:type="auto"/>
            <w:shd w:val="clear" w:color="auto" w:fill="auto"/>
          </w:tcPr>
          <w:p w14:paraId="5C7C7191" w14:textId="77777777" w:rsidR="0008009C" w:rsidRDefault="0008009C">
            <w:pPr>
              <w:rPr>
                <w:rFonts w:ascii="宋体"/>
              </w:rPr>
            </w:pPr>
          </w:p>
        </w:tc>
        <w:tc>
          <w:tcPr>
            <w:tcW w:w="0" w:type="auto"/>
            <w:shd w:val="clear" w:color="auto" w:fill="auto"/>
          </w:tcPr>
          <w:p w14:paraId="5C7C7192" w14:textId="77777777" w:rsidR="0008009C" w:rsidRDefault="0008009C">
            <w:pPr>
              <w:rPr>
                <w:rFonts w:ascii="宋体"/>
              </w:rPr>
            </w:pPr>
          </w:p>
        </w:tc>
        <w:tc>
          <w:tcPr>
            <w:tcW w:w="0" w:type="auto"/>
            <w:shd w:val="clear" w:color="auto" w:fill="auto"/>
          </w:tcPr>
          <w:p w14:paraId="5C7C7193" w14:textId="77777777" w:rsidR="0008009C" w:rsidRDefault="0008009C">
            <w:pPr>
              <w:rPr>
                <w:rFonts w:ascii="宋体"/>
              </w:rPr>
            </w:pPr>
          </w:p>
        </w:tc>
        <w:tc>
          <w:tcPr>
            <w:tcW w:w="0" w:type="auto"/>
            <w:shd w:val="clear" w:color="auto" w:fill="auto"/>
          </w:tcPr>
          <w:p w14:paraId="5C7C7194" w14:textId="77777777" w:rsidR="0008009C" w:rsidRDefault="0008009C">
            <w:pPr>
              <w:rPr>
                <w:rFonts w:ascii="宋体"/>
              </w:rPr>
            </w:pPr>
          </w:p>
        </w:tc>
        <w:tc>
          <w:tcPr>
            <w:tcW w:w="0" w:type="auto"/>
            <w:shd w:val="clear" w:color="auto" w:fill="auto"/>
          </w:tcPr>
          <w:p w14:paraId="5C7C7195" w14:textId="77777777" w:rsidR="0008009C" w:rsidRDefault="0008009C">
            <w:pPr>
              <w:rPr>
                <w:rFonts w:ascii="宋体"/>
              </w:rPr>
            </w:pPr>
          </w:p>
        </w:tc>
      </w:tr>
      <w:tr w:rsidR="0008009C" w14:paraId="5C7C71A8" w14:textId="77777777">
        <w:tc>
          <w:tcPr>
            <w:tcW w:w="0" w:type="auto"/>
            <w:gridSpan w:val="3"/>
            <w:shd w:val="clear" w:color="auto" w:fill="auto"/>
            <w:tcMar>
              <w:top w:w="40" w:type="dxa"/>
              <w:left w:w="20" w:type="dxa"/>
              <w:bottom w:w="40" w:type="dxa"/>
              <w:right w:w="20" w:type="dxa"/>
            </w:tcMar>
            <w:vAlign w:val="bottom"/>
          </w:tcPr>
          <w:p w14:paraId="5C7C7197" w14:textId="77777777" w:rsidR="0008009C" w:rsidRDefault="00936FDF">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tcPr>
          <w:p w14:paraId="5C7C7198"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199" w14:textId="77777777" w:rsidR="0008009C" w:rsidRDefault="00936FDF">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tcPr>
          <w:p w14:paraId="5C7C719A"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19B" w14:textId="77777777" w:rsidR="0008009C" w:rsidRDefault="00936FDF">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tcPr>
          <w:p w14:paraId="5C7C719C"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19D" w14:textId="77777777" w:rsidR="0008009C" w:rsidRDefault="00936FDF">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tcPr>
          <w:p w14:paraId="5C7C719E"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19F" w14:textId="77777777" w:rsidR="0008009C" w:rsidRDefault="00936FDF">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shd w:val="clear" w:color="auto" w:fill="auto"/>
          </w:tcPr>
          <w:p w14:paraId="5C7C71A0" w14:textId="77777777" w:rsidR="0008009C" w:rsidRDefault="0008009C">
            <w:pPr>
              <w:rPr>
                <w:rFonts w:ascii="宋体"/>
                <w:vanish/>
              </w:rPr>
            </w:pPr>
          </w:p>
        </w:tc>
        <w:tc>
          <w:tcPr>
            <w:tcW w:w="0" w:type="auto"/>
            <w:shd w:val="clear" w:color="auto" w:fill="auto"/>
          </w:tcPr>
          <w:p w14:paraId="5C7C71A1" w14:textId="77777777" w:rsidR="0008009C" w:rsidRDefault="0008009C">
            <w:pPr>
              <w:rPr>
                <w:rFonts w:ascii="宋体"/>
                <w:vanish/>
              </w:rPr>
            </w:pPr>
          </w:p>
        </w:tc>
        <w:tc>
          <w:tcPr>
            <w:tcW w:w="0" w:type="auto"/>
            <w:gridSpan w:val="3"/>
            <w:shd w:val="clear" w:color="auto" w:fill="auto"/>
          </w:tcPr>
          <w:p w14:paraId="5C7C71A2" w14:textId="77777777" w:rsidR="0008009C" w:rsidRDefault="0008009C">
            <w:pPr>
              <w:rPr>
                <w:rFonts w:ascii="宋体"/>
                <w:vanish/>
              </w:rPr>
            </w:pPr>
          </w:p>
        </w:tc>
        <w:tc>
          <w:tcPr>
            <w:tcW w:w="0" w:type="auto"/>
            <w:gridSpan w:val="3"/>
            <w:shd w:val="clear" w:color="auto" w:fill="auto"/>
          </w:tcPr>
          <w:p w14:paraId="5C7C71A3" w14:textId="77777777" w:rsidR="0008009C" w:rsidRDefault="0008009C">
            <w:pPr>
              <w:rPr>
                <w:rFonts w:ascii="宋体"/>
                <w:vanish/>
              </w:rPr>
            </w:pPr>
          </w:p>
        </w:tc>
        <w:tc>
          <w:tcPr>
            <w:tcW w:w="0" w:type="auto"/>
            <w:gridSpan w:val="3"/>
            <w:shd w:val="clear" w:color="auto" w:fill="auto"/>
          </w:tcPr>
          <w:p w14:paraId="5C7C71A4" w14:textId="77777777" w:rsidR="0008009C" w:rsidRDefault="0008009C">
            <w:pPr>
              <w:rPr>
                <w:rFonts w:ascii="宋体"/>
                <w:vanish/>
              </w:rPr>
            </w:pPr>
          </w:p>
        </w:tc>
        <w:tc>
          <w:tcPr>
            <w:tcW w:w="0" w:type="auto"/>
            <w:gridSpan w:val="3"/>
            <w:shd w:val="clear" w:color="auto" w:fill="auto"/>
          </w:tcPr>
          <w:p w14:paraId="5C7C71A5" w14:textId="77777777" w:rsidR="0008009C" w:rsidRDefault="0008009C">
            <w:pPr>
              <w:rPr>
                <w:rFonts w:ascii="宋体"/>
                <w:vanish/>
              </w:rPr>
            </w:pPr>
          </w:p>
        </w:tc>
        <w:tc>
          <w:tcPr>
            <w:tcW w:w="0" w:type="auto"/>
            <w:gridSpan w:val="3"/>
            <w:shd w:val="clear" w:color="auto" w:fill="auto"/>
          </w:tcPr>
          <w:p w14:paraId="5C7C71A6" w14:textId="77777777" w:rsidR="0008009C" w:rsidRDefault="0008009C">
            <w:pPr>
              <w:rPr>
                <w:rFonts w:ascii="宋体"/>
                <w:vanish/>
              </w:rPr>
            </w:pPr>
          </w:p>
        </w:tc>
        <w:tc>
          <w:tcPr>
            <w:tcW w:w="0" w:type="auto"/>
            <w:gridSpan w:val="3"/>
            <w:shd w:val="clear" w:color="auto" w:fill="auto"/>
          </w:tcPr>
          <w:p w14:paraId="5C7C71A7" w14:textId="77777777" w:rsidR="0008009C" w:rsidRDefault="0008009C">
            <w:pPr>
              <w:rPr>
                <w:rFonts w:ascii="宋体"/>
                <w:vanish/>
              </w:rPr>
            </w:pPr>
          </w:p>
        </w:tc>
      </w:tr>
      <w:tr w:rsidR="0008009C" w14:paraId="5C7C71C0"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71A9" w14:textId="77777777" w:rsidR="0008009C" w:rsidRDefault="00936FDF">
            <w:pPr>
              <w:textAlignment w:val="top"/>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tcPr>
          <w:p w14:paraId="5C7C71AA"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71AB"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1AC" w14:textId="77777777" w:rsidR="0008009C" w:rsidRDefault="00936FDF">
            <w:pPr>
              <w:jc w:val="right"/>
              <w:textAlignment w:val="bottom"/>
            </w:pPr>
            <w:r>
              <w:rPr>
                <w:rFonts w:ascii="Arial" w:eastAsia="宋体" w:hAnsi="Arial" w:cs="Arial"/>
                <w:b/>
                <w:bCs/>
                <w:color w:val="0068B5"/>
                <w:sz w:val="18"/>
                <w:szCs w:val="18"/>
              </w:rPr>
              <w:t>19,673</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1A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1AE" w14:textId="77777777" w:rsidR="0008009C" w:rsidRDefault="0008009C">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5C7C71AF" w14:textId="77777777" w:rsidR="0008009C" w:rsidRDefault="00936FDF">
            <w:pPr>
              <w:jc w:val="right"/>
              <w:textAlignment w:val="bottom"/>
            </w:pPr>
            <w:r>
              <w:rPr>
                <w:rFonts w:ascii="Arial" w:eastAsia="宋体" w:hAnsi="Arial" w:cs="Arial"/>
                <w:b/>
                <w:bCs/>
                <w:color w:val="0068B5"/>
                <w:sz w:val="18"/>
                <w:szCs w:val="18"/>
              </w:rPr>
              <w:t>100.0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1B0" w14:textId="77777777" w:rsidR="0008009C" w:rsidRDefault="00936FDF">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tcPr>
          <w:p w14:paraId="5C7C71B1"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71B2"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1B3" w14:textId="77777777" w:rsidR="0008009C" w:rsidRDefault="00936FDF">
            <w:pPr>
              <w:jc w:val="right"/>
              <w:textAlignment w:val="bottom"/>
            </w:pPr>
            <w:r>
              <w:rPr>
                <w:rFonts w:ascii="Arial" w:eastAsia="宋体" w:hAnsi="Arial" w:cs="Arial"/>
                <w:b/>
                <w:bCs/>
                <w:color w:val="262626"/>
                <w:sz w:val="18"/>
                <w:szCs w:val="18"/>
              </w:rPr>
              <w:t>19,828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1B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1B5" w14:textId="77777777" w:rsidR="0008009C" w:rsidRDefault="0008009C">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5C7C71B6" w14:textId="77777777" w:rsidR="0008009C" w:rsidRDefault="00936FDF">
            <w:pPr>
              <w:jc w:val="right"/>
              <w:textAlignment w:val="bottom"/>
            </w:pPr>
            <w:r>
              <w:rPr>
                <w:rFonts w:ascii="Arial" w:eastAsia="宋体" w:hAnsi="Arial" w:cs="Arial"/>
                <w:b/>
                <w:bCs/>
                <w:color w:val="262626"/>
                <w:sz w:val="18"/>
                <w:szCs w:val="18"/>
              </w:rPr>
              <w:t>100.0</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1B7" w14:textId="77777777" w:rsidR="0008009C" w:rsidRDefault="00936FDF">
            <w:pPr>
              <w:jc w:val="right"/>
              <w:textAlignment w:val="bottom"/>
            </w:pPr>
            <w:r>
              <w:rPr>
                <w:rFonts w:ascii="Arial" w:eastAsia="宋体" w:hAnsi="Arial" w:cs="Arial"/>
                <w:b/>
                <w:bCs/>
                <w:color w:val="262626"/>
                <w:sz w:val="18"/>
                <w:szCs w:val="18"/>
              </w:rPr>
              <w:t>%</w:t>
            </w:r>
          </w:p>
        </w:tc>
        <w:tc>
          <w:tcPr>
            <w:tcW w:w="0" w:type="auto"/>
            <w:shd w:val="clear" w:color="auto" w:fill="auto"/>
          </w:tcPr>
          <w:p w14:paraId="5C7C71B8" w14:textId="77777777" w:rsidR="0008009C" w:rsidRDefault="0008009C">
            <w:pPr>
              <w:rPr>
                <w:rFonts w:ascii="宋体"/>
                <w:vanish/>
              </w:rPr>
            </w:pPr>
          </w:p>
        </w:tc>
        <w:tc>
          <w:tcPr>
            <w:tcW w:w="0" w:type="auto"/>
            <w:shd w:val="clear" w:color="auto" w:fill="auto"/>
          </w:tcPr>
          <w:p w14:paraId="5C7C71B9" w14:textId="77777777" w:rsidR="0008009C" w:rsidRDefault="0008009C">
            <w:pPr>
              <w:rPr>
                <w:rFonts w:ascii="宋体"/>
                <w:vanish/>
              </w:rPr>
            </w:pPr>
          </w:p>
        </w:tc>
        <w:tc>
          <w:tcPr>
            <w:tcW w:w="0" w:type="auto"/>
            <w:gridSpan w:val="3"/>
            <w:shd w:val="clear" w:color="auto" w:fill="auto"/>
          </w:tcPr>
          <w:p w14:paraId="5C7C71BA" w14:textId="77777777" w:rsidR="0008009C" w:rsidRDefault="0008009C">
            <w:pPr>
              <w:rPr>
                <w:rFonts w:ascii="宋体"/>
                <w:vanish/>
              </w:rPr>
            </w:pPr>
          </w:p>
        </w:tc>
        <w:tc>
          <w:tcPr>
            <w:tcW w:w="0" w:type="auto"/>
            <w:gridSpan w:val="3"/>
            <w:shd w:val="clear" w:color="auto" w:fill="auto"/>
          </w:tcPr>
          <w:p w14:paraId="5C7C71BB" w14:textId="77777777" w:rsidR="0008009C" w:rsidRDefault="0008009C">
            <w:pPr>
              <w:rPr>
                <w:rFonts w:ascii="宋体"/>
                <w:vanish/>
              </w:rPr>
            </w:pPr>
          </w:p>
        </w:tc>
        <w:tc>
          <w:tcPr>
            <w:tcW w:w="0" w:type="auto"/>
            <w:gridSpan w:val="3"/>
            <w:shd w:val="clear" w:color="auto" w:fill="auto"/>
          </w:tcPr>
          <w:p w14:paraId="5C7C71BC" w14:textId="77777777" w:rsidR="0008009C" w:rsidRDefault="0008009C">
            <w:pPr>
              <w:rPr>
                <w:rFonts w:ascii="宋体"/>
                <w:vanish/>
              </w:rPr>
            </w:pPr>
          </w:p>
        </w:tc>
        <w:tc>
          <w:tcPr>
            <w:tcW w:w="0" w:type="auto"/>
            <w:gridSpan w:val="3"/>
            <w:shd w:val="clear" w:color="auto" w:fill="auto"/>
          </w:tcPr>
          <w:p w14:paraId="5C7C71BD" w14:textId="77777777" w:rsidR="0008009C" w:rsidRDefault="0008009C">
            <w:pPr>
              <w:rPr>
                <w:rFonts w:ascii="宋体"/>
                <w:vanish/>
              </w:rPr>
            </w:pPr>
          </w:p>
        </w:tc>
        <w:tc>
          <w:tcPr>
            <w:tcW w:w="0" w:type="auto"/>
            <w:gridSpan w:val="3"/>
            <w:shd w:val="clear" w:color="auto" w:fill="auto"/>
          </w:tcPr>
          <w:p w14:paraId="5C7C71BE" w14:textId="77777777" w:rsidR="0008009C" w:rsidRDefault="0008009C">
            <w:pPr>
              <w:rPr>
                <w:rFonts w:ascii="宋体"/>
                <w:vanish/>
              </w:rPr>
            </w:pPr>
          </w:p>
        </w:tc>
        <w:tc>
          <w:tcPr>
            <w:tcW w:w="0" w:type="auto"/>
            <w:gridSpan w:val="3"/>
            <w:shd w:val="clear" w:color="auto" w:fill="auto"/>
          </w:tcPr>
          <w:p w14:paraId="5C7C71BF" w14:textId="77777777" w:rsidR="0008009C" w:rsidRDefault="0008009C">
            <w:pPr>
              <w:rPr>
                <w:rFonts w:ascii="宋体"/>
                <w:vanish/>
              </w:rPr>
            </w:pPr>
          </w:p>
        </w:tc>
      </w:tr>
      <w:tr w:rsidR="0008009C" w14:paraId="5C7C71D6" w14:textId="77777777">
        <w:tc>
          <w:tcPr>
            <w:tcW w:w="0" w:type="auto"/>
            <w:gridSpan w:val="3"/>
            <w:shd w:val="clear" w:color="auto" w:fill="auto"/>
            <w:tcMar>
              <w:top w:w="40" w:type="dxa"/>
              <w:left w:w="20" w:type="dxa"/>
              <w:bottom w:w="40" w:type="dxa"/>
              <w:right w:w="20" w:type="dxa"/>
            </w:tcMar>
          </w:tcPr>
          <w:p w14:paraId="5C7C71C1" w14:textId="77777777" w:rsidR="0008009C" w:rsidRDefault="00936FDF">
            <w:pPr>
              <w:textAlignment w:val="top"/>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tcPr>
          <w:p w14:paraId="5C7C71C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1C3" w14:textId="77777777" w:rsidR="0008009C" w:rsidRDefault="00936FDF">
            <w:pPr>
              <w:jc w:val="right"/>
              <w:textAlignment w:val="bottom"/>
            </w:pPr>
            <w:r>
              <w:rPr>
                <w:rFonts w:ascii="Arial" w:eastAsia="宋体" w:hAnsi="Arial" w:cs="Arial"/>
                <w:color w:val="0068B5"/>
                <w:sz w:val="18"/>
                <w:szCs w:val="18"/>
              </w:rPr>
              <w:t>8,819 </w:t>
            </w:r>
          </w:p>
        </w:tc>
        <w:tc>
          <w:tcPr>
            <w:tcW w:w="0" w:type="auto"/>
            <w:shd w:val="clear" w:color="auto" w:fill="auto"/>
            <w:tcMar>
              <w:top w:w="40" w:type="dxa"/>
              <w:left w:w="0" w:type="dxa"/>
              <w:bottom w:w="40" w:type="dxa"/>
              <w:right w:w="20" w:type="dxa"/>
            </w:tcMar>
            <w:vAlign w:val="bottom"/>
          </w:tcPr>
          <w:p w14:paraId="5C7C71C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1C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1C6" w14:textId="77777777" w:rsidR="0008009C" w:rsidRDefault="00936FDF">
            <w:pPr>
              <w:jc w:val="right"/>
              <w:textAlignment w:val="bottom"/>
            </w:pPr>
            <w:r>
              <w:rPr>
                <w:rFonts w:ascii="Arial" w:eastAsia="宋体" w:hAnsi="Arial" w:cs="Arial"/>
                <w:color w:val="0068B5"/>
                <w:sz w:val="18"/>
                <w:szCs w:val="18"/>
              </w:rPr>
              <w:t>44.8 </w:t>
            </w:r>
          </w:p>
        </w:tc>
        <w:tc>
          <w:tcPr>
            <w:tcW w:w="0" w:type="auto"/>
            <w:shd w:val="clear" w:color="auto" w:fill="auto"/>
            <w:tcMar>
              <w:top w:w="40" w:type="dxa"/>
              <w:left w:w="0" w:type="dxa"/>
              <w:bottom w:w="40" w:type="dxa"/>
              <w:right w:w="20" w:type="dxa"/>
            </w:tcMar>
            <w:vAlign w:val="bottom"/>
          </w:tcPr>
          <w:p w14:paraId="5C7C71C7" w14:textId="77777777" w:rsidR="0008009C" w:rsidRDefault="00936FDF">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5C7C71C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1C9" w14:textId="77777777" w:rsidR="0008009C" w:rsidRDefault="00936FDF">
            <w:pPr>
              <w:jc w:val="right"/>
              <w:textAlignment w:val="bottom"/>
            </w:pPr>
            <w:r>
              <w:rPr>
                <w:rFonts w:ascii="Arial" w:eastAsia="宋体" w:hAnsi="Arial" w:cs="Arial"/>
                <w:color w:val="262626"/>
                <w:sz w:val="18"/>
                <w:szCs w:val="18"/>
              </w:rPr>
              <w:t>7,812 </w:t>
            </w:r>
          </w:p>
        </w:tc>
        <w:tc>
          <w:tcPr>
            <w:tcW w:w="0" w:type="auto"/>
            <w:shd w:val="clear" w:color="auto" w:fill="auto"/>
            <w:tcMar>
              <w:top w:w="40" w:type="dxa"/>
              <w:left w:w="0" w:type="dxa"/>
              <w:bottom w:w="40" w:type="dxa"/>
              <w:right w:w="20" w:type="dxa"/>
            </w:tcMar>
            <w:vAlign w:val="bottom"/>
          </w:tcPr>
          <w:p w14:paraId="5C7C71C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1C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1CC" w14:textId="77777777" w:rsidR="0008009C" w:rsidRDefault="00936FDF">
            <w:pPr>
              <w:jc w:val="right"/>
              <w:textAlignment w:val="bottom"/>
            </w:pPr>
            <w:r>
              <w:rPr>
                <w:rFonts w:ascii="Arial" w:eastAsia="宋体" w:hAnsi="Arial" w:cs="Arial"/>
                <w:color w:val="262626"/>
                <w:sz w:val="18"/>
                <w:szCs w:val="18"/>
              </w:rPr>
              <w:t>39.4 </w:t>
            </w:r>
          </w:p>
        </w:tc>
        <w:tc>
          <w:tcPr>
            <w:tcW w:w="0" w:type="auto"/>
            <w:shd w:val="clear" w:color="auto" w:fill="auto"/>
            <w:tcMar>
              <w:top w:w="40" w:type="dxa"/>
              <w:left w:w="0" w:type="dxa"/>
              <w:bottom w:w="40" w:type="dxa"/>
              <w:right w:w="20" w:type="dxa"/>
            </w:tcMar>
            <w:vAlign w:val="bottom"/>
          </w:tcPr>
          <w:p w14:paraId="5C7C71CD" w14:textId="77777777" w:rsidR="0008009C" w:rsidRDefault="00936FDF">
            <w:pPr>
              <w:jc w:val="right"/>
              <w:textAlignment w:val="bottom"/>
            </w:pPr>
            <w:r>
              <w:rPr>
                <w:rFonts w:ascii="Arial" w:eastAsia="宋体" w:hAnsi="Arial" w:cs="Arial"/>
                <w:color w:val="262626"/>
                <w:sz w:val="18"/>
                <w:szCs w:val="18"/>
              </w:rPr>
              <w:t>%</w:t>
            </w:r>
          </w:p>
        </w:tc>
        <w:tc>
          <w:tcPr>
            <w:tcW w:w="0" w:type="auto"/>
            <w:shd w:val="clear" w:color="auto" w:fill="auto"/>
          </w:tcPr>
          <w:p w14:paraId="5C7C71CE" w14:textId="77777777" w:rsidR="0008009C" w:rsidRDefault="0008009C">
            <w:pPr>
              <w:rPr>
                <w:rFonts w:ascii="宋体"/>
                <w:vanish/>
              </w:rPr>
            </w:pPr>
          </w:p>
        </w:tc>
        <w:tc>
          <w:tcPr>
            <w:tcW w:w="0" w:type="auto"/>
            <w:shd w:val="clear" w:color="auto" w:fill="auto"/>
          </w:tcPr>
          <w:p w14:paraId="5C7C71CF" w14:textId="77777777" w:rsidR="0008009C" w:rsidRDefault="0008009C">
            <w:pPr>
              <w:rPr>
                <w:rFonts w:ascii="宋体"/>
                <w:vanish/>
              </w:rPr>
            </w:pPr>
          </w:p>
        </w:tc>
        <w:tc>
          <w:tcPr>
            <w:tcW w:w="0" w:type="auto"/>
            <w:gridSpan w:val="3"/>
            <w:shd w:val="clear" w:color="auto" w:fill="auto"/>
          </w:tcPr>
          <w:p w14:paraId="5C7C71D0" w14:textId="77777777" w:rsidR="0008009C" w:rsidRDefault="0008009C">
            <w:pPr>
              <w:rPr>
                <w:rFonts w:ascii="宋体"/>
                <w:vanish/>
              </w:rPr>
            </w:pPr>
          </w:p>
        </w:tc>
        <w:tc>
          <w:tcPr>
            <w:tcW w:w="0" w:type="auto"/>
            <w:gridSpan w:val="3"/>
            <w:shd w:val="clear" w:color="auto" w:fill="auto"/>
          </w:tcPr>
          <w:p w14:paraId="5C7C71D1" w14:textId="77777777" w:rsidR="0008009C" w:rsidRDefault="0008009C">
            <w:pPr>
              <w:rPr>
                <w:rFonts w:ascii="宋体"/>
                <w:vanish/>
              </w:rPr>
            </w:pPr>
          </w:p>
        </w:tc>
        <w:tc>
          <w:tcPr>
            <w:tcW w:w="0" w:type="auto"/>
            <w:gridSpan w:val="3"/>
            <w:shd w:val="clear" w:color="auto" w:fill="auto"/>
          </w:tcPr>
          <w:p w14:paraId="5C7C71D2" w14:textId="77777777" w:rsidR="0008009C" w:rsidRDefault="0008009C">
            <w:pPr>
              <w:rPr>
                <w:rFonts w:ascii="宋体"/>
                <w:vanish/>
              </w:rPr>
            </w:pPr>
          </w:p>
        </w:tc>
        <w:tc>
          <w:tcPr>
            <w:tcW w:w="0" w:type="auto"/>
            <w:gridSpan w:val="3"/>
            <w:shd w:val="clear" w:color="auto" w:fill="auto"/>
          </w:tcPr>
          <w:p w14:paraId="5C7C71D3" w14:textId="77777777" w:rsidR="0008009C" w:rsidRDefault="0008009C">
            <w:pPr>
              <w:rPr>
                <w:rFonts w:ascii="宋体"/>
                <w:vanish/>
              </w:rPr>
            </w:pPr>
          </w:p>
        </w:tc>
        <w:tc>
          <w:tcPr>
            <w:tcW w:w="0" w:type="auto"/>
            <w:gridSpan w:val="3"/>
            <w:shd w:val="clear" w:color="auto" w:fill="auto"/>
          </w:tcPr>
          <w:p w14:paraId="5C7C71D4" w14:textId="77777777" w:rsidR="0008009C" w:rsidRDefault="0008009C">
            <w:pPr>
              <w:rPr>
                <w:rFonts w:ascii="宋体"/>
                <w:vanish/>
              </w:rPr>
            </w:pPr>
          </w:p>
        </w:tc>
        <w:tc>
          <w:tcPr>
            <w:tcW w:w="0" w:type="auto"/>
            <w:gridSpan w:val="3"/>
            <w:shd w:val="clear" w:color="auto" w:fill="auto"/>
          </w:tcPr>
          <w:p w14:paraId="5C7C71D5" w14:textId="77777777" w:rsidR="0008009C" w:rsidRDefault="0008009C">
            <w:pPr>
              <w:rPr>
                <w:rFonts w:ascii="宋体"/>
                <w:vanish/>
              </w:rPr>
            </w:pPr>
          </w:p>
        </w:tc>
      </w:tr>
      <w:tr w:rsidR="0008009C" w14:paraId="5C7C71EC" w14:textId="77777777">
        <w:tc>
          <w:tcPr>
            <w:tcW w:w="0" w:type="auto"/>
            <w:gridSpan w:val="3"/>
            <w:shd w:val="clear" w:color="auto" w:fill="auto"/>
            <w:tcMar>
              <w:top w:w="40" w:type="dxa"/>
              <w:left w:w="20" w:type="dxa"/>
              <w:bottom w:w="40" w:type="dxa"/>
              <w:right w:w="20" w:type="dxa"/>
            </w:tcMar>
          </w:tcPr>
          <w:p w14:paraId="5C7C71D7" w14:textId="77777777" w:rsidR="0008009C" w:rsidRDefault="00936FDF">
            <w:pPr>
              <w:textAlignment w:val="top"/>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tcPr>
          <w:p w14:paraId="5C7C71D8"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71D9" w14:textId="77777777" w:rsidR="0008009C" w:rsidRDefault="00936FDF">
            <w:pPr>
              <w:jc w:val="right"/>
              <w:textAlignment w:val="bottom"/>
            </w:pPr>
            <w:r>
              <w:rPr>
                <w:rFonts w:ascii="Arial" w:eastAsia="宋体" w:hAnsi="Arial" w:cs="Arial"/>
                <w:b/>
                <w:bCs/>
                <w:color w:val="0068B5"/>
                <w:sz w:val="18"/>
                <w:szCs w:val="18"/>
              </w:rPr>
              <w:t>10,854</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1D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1DB"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71DC" w14:textId="77777777" w:rsidR="0008009C" w:rsidRDefault="00936FDF">
            <w:pPr>
              <w:jc w:val="right"/>
              <w:textAlignment w:val="bottom"/>
            </w:pPr>
            <w:r>
              <w:rPr>
                <w:rFonts w:ascii="Arial" w:eastAsia="宋体" w:hAnsi="Arial" w:cs="Arial"/>
                <w:b/>
                <w:bCs/>
                <w:color w:val="0068B5"/>
                <w:sz w:val="18"/>
                <w:szCs w:val="18"/>
              </w:rPr>
              <w:t>55.2</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1DD" w14:textId="77777777" w:rsidR="0008009C" w:rsidRDefault="00936FDF">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tcPr>
          <w:p w14:paraId="5C7C71DE"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71DF" w14:textId="77777777" w:rsidR="0008009C" w:rsidRDefault="00936FDF">
            <w:pPr>
              <w:jc w:val="right"/>
              <w:textAlignment w:val="bottom"/>
            </w:pPr>
            <w:r>
              <w:rPr>
                <w:rFonts w:ascii="Arial" w:eastAsia="宋体" w:hAnsi="Arial" w:cs="Arial"/>
                <w:b/>
                <w:bCs/>
                <w:color w:val="262626"/>
                <w:sz w:val="18"/>
                <w:szCs w:val="18"/>
              </w:rPr>
              <w:t>12,016</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1E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1E1"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71E2" w14:textId="77777777" w:rsidR="0008009C" w:rsidRDefault="00936FDF">
            <w:pPr>
              <w:jc w:val="right"/>
              <w:textAlignment w:val="bottom"/>
            </w:pPr>
            <w:r>
              <w:rPr>
                <w:rFonts w:ascii="Arial" w:eastAsia="宋体" w:hAnsi="Arial" w:cs="Arial"/>
                <w:b/>
                <w:bCs/>
                <w:color w:val="262626"/>
                <w:sz w:val="18"/>
                <w:szCs w:val="18"/>
              </w:rPr>
              <w:t>60.6</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1E3" w14:textId="77777777" w:rsidR="0008009C" w:rsidRDefault="00936FDF">
            <w:pPr>
              <w:jc w:val="right"/>
              <w:textAlignment w:val="bottom"/>
            </w:pPr>
            <w:r>
              <w:rPr>
                <w:rFonts w:ascii="Arial" w:eastAsia="宋体" w:hAnsi="Arial" w:cs="Arial"/>
                <w:b/>
                <w:bCs/>
                <w:color w:val="262626"/>
                <w:sz w:val="18"/>
                <w:szCs w:val="18"/>
              </w:rPr>
              <w:t>%</w:t>
            </w:r>
          </w:p>
        </w:tc>
        <w:tc>
          <w:tcPr>
            <w:tcW w:w="0" w:type="auto"/>
            <w:shd w:val="clear" w:color="auto" w:fill="auto"/>
          </w:tcPr>
          <w:p w14:paraId="5C7C71E4" w14:textId="77777777" w:rsidR="0008009C" w:rsidRDefault="0008009C">
            <w:pPr>
              <w:rPr>
                <w:rFonts w:ascii="宋体"/>
                <w:vanish/>
              </w:rPr>
            </w:pPr>
          </w:p>
        </w:tc>
        <w:tc>
          <w:tcPr>
            <w:tcW w:w="0" w:type="auto"/>
            <w:shd w:val="clear" w:color="auto" w:fill="auto"/>
          </w:tcPr>
          <w:p w14:paraId="5C7C71E5" w14:textId="77777777" w:rsidR="0008009C" w:rsidRDefault="0008009C">
            <w:pPr>
              <w:rPr>
                <w:rFonts w:ascii="宋体"/>
                <w:vanish/>
              </w:rPr>
            </w:pPr>
          </w:p>
        </w:tc>
        <w:tc>
          <w:tcPr>
            <w:tcW w:w="0" w:type="auto"/>
            <w:gridSpan w:val="3"/>
            <w:shd w:val="clear" w:color="auto" w:fill="auto"/>
          </w:tcPr>
          <w:p w14:paraId="5C7C71E6" w14:textId="77777777" w:rsidR="0008009C" w:rsidRDefault="0008009C">
            <w:pPr>
              <w:rPr>
                <w:rFonts w:ascii="宋体"/>
                <w:vanish/>
              </w:rPr>
            </w:pPr>
          </w:p>
        </w:tc>
        <w:tc>
          <w:tcPr>
            <w:tcW w:w="0" w:type="auto"/>
            <w:gridSpan w:val="3"/>
            <w:shd w:val="clear" w:color="auto" w:fill="auto"/>
          </w:tcPr>
          <w:p w14:paraId="5C7C71E7" w14:textId="77777777" w:rsidR="0008009C" w:rsidRDefault="0008009C">
            <w:pPr>
              <w:rPr>
                <w:rFonts w:ascii="宋体"/>
                <w:vanish/>
              </w:rPr>
            </w:pPr>
          </w:p>
        </w:tc>
        <w:tc>
          <w:tcPr>
            <w:tcW w:w="0" w:type="auto"/>
            <w:gridSpan w:val="3"/>
            <w:shd w:val="clear" w:color="auto" w:fill="auto"/>
          </w:tcPr>
          <w:p w14:paraId="5C7C71E8" w14:textId="77777777" w:rsidR="0008009C" w:rsidRDefault="0008009C">
            <w:pPr>
              <w:rPr>
                <w:rFonts w:ascii="宋体"/>
                <w:vanish/>
              </w:rPr>
            </w:pPr>
          </w:p>
        </w:tc>
        <w:tc>
          <w:tcPr>
            <w:tcW w:w="0" w:type="auto"/>
            <w:gridSpan w:val="3"/>
            <w:shd w:val="clear" w:color="auto" w:fill="auto"/>
          </w:tcPr>
          <w:p w14:paraId="5C7C71E9" w14:textId="77777777" w:rsidR="0008009C" w:rsidRDefault="0008009C">
            <w:pPr>
              <w:rPr>
                <w:rFonts w:ascii="宋体"/>
                <w:vanish/>
              </w:rPr>
            </w:pPr>
          </w:p>
        </w:tc>
        <w:tc>
          <w:tcPr>
            <w:tcW w:w="0" w:type="auto"/>
            <w:gridSpan w:val="3"/>
            <w:shd w:val="clear" w:color="auto" w:fill="auto"/>
          </w:tcPr>
          <w:p w14:paraId="5C7C71EA" w14:textId="77777777" w:rsidR="0008009C" w:rsidRDefault="0008009C">
            <w:pPr>
              <w:rPr>
                <w:rFonts w:ascii="宋体"/>
                <w:vanish/>
              </w:rPr>
            </w:pPr>
          </w:p>
        </w:tc>
        <w:tc>
          <w:tcPr>
            <w:tcW w:w="0" w:type="auto"/>
            <w:gridSpan w:val="3"/>
            <w:shd w:val="clear" w:color="auto" w:fill="auto"/>
          </w:tcPr>
          <w:p w14:paraId="5C7C71EB" w14:textId="77777777" w:rsidR="0008009C" w:rsidRDefault="0008009C">
            <w:pPr>
              <w:rPr>
                <w:rFonts w:ascii="宋体"/>
                <w:vanish/>
              </w:rPr>
            </w:pPr>
          </w:p>
        </w:tc>
      </w:tr>
      <w:tr w:rsidR="0008009C" w14:paraId="5C7C7202" w14:textId="77777777">
        <w:tc>
          <w:tcPr>
            <w:tcW w:w="0" w:type="auto"/>
            <w:gridSpan w:val="3"/>
            <w:shd w:val="clear" w:color="auto" w:fill="auto"/>
            <w:tcMar>
              <w:top w:w="40" w:type="dxa"/>
              <w:left w:w="20" w:type="dxa"/>
              <w:bottom w:w="40" w:type="dxa"/>
              <w:right w:w="20" w:type="dxa"/>
            </w:tcMar>
          </w:tcPr>
          <w:p w14:paraId="5C7C71ED" w14:textId="77777777" w:rsidR="0008009C" w:rsidRDefault="00936FDF">
            <w:pPr>
              <w:textAlignment w:val="top"/>
            </w:pPr>
            <w:r>
              <w:rPr>
                <w:rFonts w:ascii="Arial" w:eastAsia="宋体" w:hAnsi="Arial" w:cs="Arial"/>
                <w:color w:val="262626"/>
                <w:sz w:val="18"/>
                <w:szCs w:val="18"/>
              </w:rPr>
              <w:t>Research and development</w:t>
            </w:r>
          </w:p>
        </w:tc>
        <w:tc>
          <w:tcPr>
            <w:tcW w:w="0" w:type="auto"/>
            <w:gridSpan w:val="3"/>
            <w:shd w:val="clear" w:color="auto" w:fill="auto"/>
            <w:tcMar>
              <w:top w:w="0" w:type="dxa"/>
              <w:left w:w="20" w:type="dxa"/>
              <w:bottom w:w="0" w:type="dxa"/>
              <w:right w:w="20" w:type="dxa"/>
            </w:tcMar>
          </w:tcPr>
          <w:p w14:paraId="5C7C71E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1EF" w14:textId="77777777" w:rsidR="0008009C" w:rsidRDefault="00936FDF">
            <w:pPr>
              <w:jc w:val="right"/>
              <w:textAlignment w:val="bottom"/>
            </w:pPr>
            <w:r>
              <w:rPr>
                <w:rFonts w:ascii="Arial" w:eastAsia="宋体" w:hAnsi="Arial" w:cs="Arial"/>
                <w:color w:val="0068B5"/>
                <w:sz w:val="18"/>
                <w:szCs w:val="18"/>
              </w:rPr>
              <w:t>3,623 </w:t>
            </w:r>
          </w:p>
        </w:tc>
        <w:tc>
          <w:tcPr>
            <w:tcW w:w="0" w:type="auto"/>
            <w:shd w:val="clear" w:color="auto" w:fill="auto"/>
            <w:tcMar>
              <w:top w:w="40" w:type="dxa"/>
              <w:left w:w="0" w:type="dxa"/>
              <w:bottom w:w="40" w:type="dxa"/>
              <w:right w:w="20" w:type="dxa"/>
            </w:tcMar>
            <w:vAlign w:val="bottom"/>
          </w:tcPr>
          <w:p w14:paraId="5C7C71F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1F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1F2" w14:textId="77777777" w:rsidR="0008009C" w:rsidRDefault="00936FDF">
            <w:pPr>
              <w:jc w:val="right"/>
              <w:textAlignment w:val="bottom"/>
            </w:pPr>
            <w:r>
              <w:rPr>
                <w:rFonts w:ascii="Arial" w:eastAsia="宋体" w:hAnsi="Arial" w:cs="Arial"/>
                <w:color w:val="0068B5"/>
                <w:sz w:val="18"/>
                <w:szCs w:val="18"/>
              </w:rPr>
              <w:t>18.4 </w:t>
            </w:r>
          </w:p>
        </w:tc>
        <w:tc>
          <w:tcPr>
            <w:tcW w:w="0" w:type="auto"/>
            <w:shd w:val="clear" w:color="auto" w:fill="auto"/>
            <w:tcMar>
              <w:top w:w="40" w:type="dxa"/>
              <w:left w:w="0" w:type="dxa"/>
              <w:bottom w:w="40" w:type="dxa"/>
              <w:right w:w="20" w:type="dxa"/>
            </w:tcMar>
            <w:vAlign w:val="bottom"/>
          </w:tcPr>
          <w:p w14:paraId="5C7C71F3" w14:textId="77777777" w:rsidR="0008009C" w:rsidRDefault="00936FDF">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5C7C71F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1F5" w14:textId="77777777" w:rsidR="0008009C" w:rsidRDefault="00936FDF">
            <w:pPr>
              <w:jc w:val="right"/>
              <w:textAlignment w:val="bottom"/>
            </w:pPr>
            <w:r>
              <w:rPr>
                <w:rFonts w:ascii="Arial" w:eastAsia="宋体" w:hAnsi="Arial" w:cs="Arial"/>
                <w:color w:val="262626"/>
                <w:sz w:val="18"/>
                <w:szCs w:val="18"/>
              </w:rPr>
              <w:t>3,275 </w:t>
            </w:r>
          </w:p>
        </w:tc>
        <w:tc>
          <w:tcPr>
            <w:tcW w:w="0" w:type="auto"/>
            <w:shd w:val="clear" w:color="auto" w:fill="auto"/>
            <w:tcMar>
              <w:top w:w="40" w:type="dxa"/>
              <w:left w:w="0" w:type="dxa"/>
              <w:bottom w:w="40" w:type="dxa"/>
              <w:right w:w="20" w:type="dxa"/>
            </w:tcMar>
            <w:vAlign w:val="bottom"/>
          </w:tcPr>
          <w:p w14:paraId="5C7C71F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1F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1F8" w14:textId="77777777" w:rsidR="0008009C" w:rsidRDefault="00936FDF">
            <w:pPr>
              <w:jc w:val="right"/>
              <w:textAlignment w:val="bottom"/>
            </w:pPr>
            <w:r>
              <w:rPr>
                <w:rFonts w:ascii="Arial" w:eastAsia="宋体" w:hAnsi="Arial" w:cs="Arial"/>
                <w:color w:val="262626"/>
                <w:sz w:val="18"/>
                <w:szCs w:val="18"/>
              </w:rPr>
              <w:t>16.5 </w:t>
            </w:r>
          </w:p>
        </w:tc>
        <w:tc>
          <w:tcPr>
            <w:tcW w:w="0" w:type="auto"/>
            <w:shd w:val="clear" w:color="auto" w:fill="auto"/>
            <w:tcMar>
              <w:top w:w="40" w:type="dxa"/>
              <w:left w:w="0" w:type="dxa"/>
              <w:bottom w:w="40" w:type="dxa"/>
              <w:right w:w="20" w:type="dxa"/>
            </w:tcMar>
            <w:vAlign w:val="bottom"/>
          </w:tcPr>
          <w:p w14:paraId="5C7C71F9" w14:textId="77777777" w:rsidR="0008009C" w:rsidRDefault="00936FDF">
            <w:pPr>
              <w:jc w:val="right"/>
              <w:textAlignment w:val="bottom"/>
            </w:pPr>
            <w:r>
              <w:rPr>
                <w:rFonts w:ascii="Arial" w:eastAsia="宋体" w:hAnsi="Arial" w:cs="Arial"/>
                <w:color w:val="262626"/>
                <w:sz w:val="18"/>
                <w:szCs w:val="18"/>
              </w:rPr>
              <w:t>%</w:t>
            </w:r>
          </w:p>
        </w:tc>
        <w:tc>
          <w:tcPr>
            <w:tcW w:w="0" w:type="auto"/>
            <w:shd w:val="clear" w:color="auto" w:fill="auto"/>
          </w:tcPr>
          <w:p w14:paraId="5C7C71FA" w14:textId="77777777" w:rsidR="0008009C" w:rsidRDefault="0008009C">
            <w:pPr>
              <w:rPr>
                <w:rFonts w:ascii="宋体"/>
                <w:vanish/>
              </w:rPr>
            </w:pPr>
          </w:p>
        </w:tc>
        <w:tc>
          <w:tcPr>
            <w:tcW w:w="0" w:type="auto"/>
            <w:shd w:val="clear" w:color="auto" w:fill="auto"/>
          </w:tcPr>
          <w:p w14:paraId="5C7C71FB" w14:textId="77777777" w:rsidR="0008009C" w:rsidRDefault="0008009C">
            <w:pPr>
              <w:rPr>
                <w:rFonts w:ascii="宋体"/>
                <w:vanish/>
              </w:rPr>
            </w:pPr>
          </w:p>
        </w:tc>
        <w:tc>
          <w:tcPr>
            <w:tcW w:w="0" w:type="auto"/>
            <w:gridSpan w:val="3"/>
            <w:shd w:val="clear" w:color="auto" w:fill="auto"/>
          </w:tcPr>
          <w:p w14:paraId="5C7C71FC" w14:textId="77777777" w:rsidR="0008009C" w:rsidRDefault="0008009C">
            <w:pPr>
              <w:rPr>
                <w:rFonts w:ascii="宋体"/>
                <w:vanish/>
              </w:rPr>
            </w:pPr>
          </w:p>
        </w:tc>
        <w:tc>
          <w:tcPr>
            <w:tcW w:w="0" w:type="auto"/>
            <w:gridSpan w:val="3"/>
            <w:shd w:val="clear" w:color="auto" w:fill="auto"/>
          </w:tcPr>
          <w:p w14:paraId="5C7C71FD" w14:textId="77777777" w:rsidR="0008009C" w:rsidRDefault="0008009C">
            <w:pPr>
              <w:rPr>
                <w:rFonts w:ascii="宋体"/>
                <w:vanish/>
              </w:rPr>
            </w:pPr>
          </w:p>
        </w:tc>
        <w:tc>
          <w:tcPr>
            <w:tcW w:w="0" w:type="auto"/>
            <w:gridSpan w:val="3"/>
            <w:shd w:val="clear" w:color="auto" w:fill="auto"/>
          </w:tcPr>
          <w:p w14:paraId="5C7C71FE" w14:textId="77777777" w:rsidR="0008009C" w:rsidRDefault="0008009C">
            <w:pPr>
              <w:rPr>
                <w:rFonts w:ascii="宋体"/>
                <w:vanish/>
              </w:rPr>
            </w:pPr>
          </w:p>
        </w:tc>
        <w:tc>
          <w:tcPr>
            <w:tcW w:w="0" w:type="auto"/>
            <w:gridSpan w:val="3"/>
            <w:shd w:val="clear" w:color="auto" w:fill="auto"/>
          </w:tcPr>
          <w:p w14:paraId="5C7C71FF" w14:textId="77777777" w:rsidR="0008009C" w:rsidRDefault="0008009C">
            <w:pPr>
              <w:rPr>
                <w:rFonts w:ascii="宋体"/>
                <w:vanish/>
              </w:rPr>
            </w:pPr>
          </w:p>
        </w:tc>
        <w:tc>
          <w:tcPr>
            <w:tcW w:w="0" w:type="auto"/>
            <w:gridSpan w:val="3"/>
            <w:shd w:val="clear" w:color="auto" w:fill="auto"/>
          </w:tcPr>
          <w:p w14:paraId="5C7C7200" w14:textId="77777777" w:rsidR="0008009C" w:rsidRDefault="0008009C">
            <w:pPr>
              <w:rPr>
                <w:rFonts w:ascii="宋体"/>
                <w:vanish/>
              </w:rPr>
            </w:pPr>
          </w:p>
        </w:tc>
        <w:tc>
          <w:tcPr>
            <w:tcW w:w="0" w:type="auto"/>
            <w:gridSpan w:val="3"/>
            <w:shd w:val="clear" w:color="auto" w:fill="auto"/>
          </w:tcPr>
          <w:p w14:paraId="5C7C7201" w14:textId="77777777" w:rsidR="0008009C" w:rsidRDefault="0008009C">
            <w:pPr>
              <w:rPr>
                <w:rFonts w:ascii="宋体"/>
                <w:vanish/>
              </w:rPr>
            </w:pPr>
          </w:p>
        </w:tc>
      </w:tr>
      <w:tr w:rsidR="0008009C" w14:paraId="5C7C7218" w14:textId="77777777">
        <w:tc>
          <w:tcPr>
            <w:tcW w:w="0" w:type="auto"/>
            <w:gridSpan w:val="3"/>
            <w:shd w:val="clear" w:color="auto" w:fill="auto"/>
            <w:tcMar>
              <w:top w:w="40" w:type="dxa"/>
              <w:left w:w="20" w:type="dxa"/>
              <w:bottom w:w="40" w:type="dxa"/>
              <w:right w:w="20" w:type="dxa"/>
            </w:tcMar>
            <w:vAlign w:val="bottom"/>
          </w:tcPr>
          <w:p w14:paraId="5C7C7203" w14:textId="77777777" w:rsidR="0008009C" w:rsidRDefault="00936FDF">
            <w:pPr>
              <w:textAlignment w:val="bottom"/>
            </w:pPr>
            <w:r>
              <w:rPr>
                <w:rFonts w:ascii="Arial" w:eastAsia="宋体" w:hAnsi="Arial" w:cs="Arial"/>
                <w:color w:val="262626"/>
                <w:sz w:val="18"/>
                <w:szCs w:val="18"/>
              </w:rPr>
              <w:t>Marketing, general and administrative</w:t>
            </w:r>
          </w:p>
        </w:tc>
        <w:tc>
          <w:tcPr>
            <w:tcW w:w="0" w:type="auto"/>
            <w:gridSpan w:val="3"/>
            <w:shd w:val="clear" w:color="auto" w:fill="auto"/>
            <w:tcMar>
              <w:top w:w="0" w:type="dxa"/>
              <w:left w:w="20" w:type="dxa"/>
              <w:bottom w:w="0" w:type="dxa"/>
              <w:right w:w="20" w:type="dxa"/>
            </w:tcMar>
          </w:tcPr>
          <w:p w14:paraId="5C7C720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05" w14:textId="77777777" w:rsidR="0008009C" w:rsidRDefault="00936FDF">
            <w:pPr>
              <w:jc w:val="right"/>
              <w:textAlignment w:val="bottom"/>
            </w:pPr>
            <w:r>
              <w:rPr>
                <w:rFonts w:ascii="Arial" w:eastAsia="宋体" w:hAnsi="Arial" w:cs="Arial"/>
                <w:color w:val="0068B5"/>
                <w:sz w:val="18"/>
                <w:szCs w:val="18"/>
              </w:rPr>
              <w:t>1,328 </w:t>
            </w:r>
          </w:p>
        </w:tc>
        <w:tc>
          <w:tcPr>
            <w:tcW w:w="0" w:type="auto"/>
            <w:shd w:val="clear" w:color="auto" w:fill="auto"/>
            <w:tcMar>
              <w:top w:w="40" w:type="dxa"/>
              <w:left w:w="0" w:type="dxa"/>
              <w:bottom w:w="40" w:type="dxa"/>
              <w:right w:w="20" w:type="dxa"/>
            </w:tcMar>
            <w:vAlign w:val="bottom"/>
          </w:tcPr>
          <w:p w14:paraId="5C7C720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0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08" w14:textId="77777777" w:rsidR="0008009C" w:rsidRDefault="00936FDF">
            <w:pPr>
              <w:jc w:val="right"/>
              <w:textAlignment w:val="bottom"/>
            </w:pPr>
            <w:r>
              <w:rPr>
                <w:rFonts w:ascii="Arial" w:eastAsia="宋体" w:hAnsi="Arial" w:cs="Arial"/>
                <w:color w:val="0068B5"/>
                <w:sz w:val="18"/>
                <w:szCs w:val="18"/>
              </w:rPr>
              <w:t>6.8 </w:t>
            </w:r>
          </w:p>
        </w:tc>
        <w:tc>
          <w:tcPr>
            <w:tcW w:w="0" w:type="auto"/>
            <w:shd w:val="clear" w:color="auto" w:fill="auto"/>
            <w:tcMar>
              <w:top w:w="40" w:type="dxa"/>
              <w:left w:w="0" w:type="dxa"/>
              <w:bottom w:w="40" w:type="dxa"/>
              <w:right w:w="20" w:type="dxa"/>
            </w:tcMar>
            <w:vAlign w:val="bottom"/>
          </w:tcPr>
          <w:p w14:paraId="5C7C7209" w14:textId="77777777" w:rsidR="0008009C" w:rsidRDefault="00936FDF">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5C7C720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0B" w14:textId="77777777" w:rsidR="0008009C" w:rsidRDefault="00936FDF">
            <w:pPr>
              <w:jc w:val="right"/>
              <w:textAlignment w:val="bottom"/>
            </w:pPr>
            <w:r>
              <w:rPr>
                <w:rFonts w:ascii="Arial" w:eastAsia="宋体" w:hAnsi="Arial" w:cs="Arial"/>
                <w:color w:val="262626"/>
                <w:sz w:val="18"/>
                <w:szCs w:val="18"/>
              </w:rPr>
              <w:t>1,541 </w:t>
            </w:r>
          </w:p>
        </w:tc>
        <w:tc>
          <w:tcPr>
            <w:tcW w:w="0" w:type="auto"/>
            <w:shd w:val="clear" w:color="auto" w:fill="auto"/>
            <w:tcMar>
              <w:top w:w="40" w:type="dxa"/>
              <w:left w:w="0" w:type="dxa"/>
              <w:bottom w:w="40" w:type="dxa"/>
              <w:right w:w="20" w:type="dxa"/>
            </w:tcMar>
            <w:vAlign w:val="bottom"/>
          </w:tcPr>
          <w:p w14:paraId="5C7C720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0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0E" w14:textId="77777777" w:rsidR="0008009C" w:rsidRDefault="00936FDF">
            <w:pPr>
              <w:jc w:val="right"/>
              <w:textAlignment w:val="bottom"/>
            </w:pPr>
            <w:r>
              <w:rPr>
                <w:rFonts w:ascii="Arial" w:eastAsia="宋体" w:hAnsi="Arial" w:cs="Arial"/>
                <w:color w:val="262626"/>
                <w:sz w:val="18"/>
                <w:szCs w:val="18"/>
              </w:rPr>
              <w:t>7.8 </w:t>
            </w:r>
          </w:p>
        </w:tc>
        <w:tc>
          <w:tcPr>
            <w:tcW w:w="0" w:type="auto"/>
            <w:shd w:val="clear" w:color="auto" w:fill="auto"/>
            <w:tcMar>
              <w:top w:w="40" w:type="dxa"/>
              <w:left w:w="0" w:type="dxa"/>
              <w:bottom w:w="40" w:type="dxa"/>
              <w:right w:w="20" w:type="dxa"/>
            </w:tcMar>
            <w:vAlign w:val="bottom"/>
          </w:tcPr>
          <w:p w14:paraId="5C7C720F" w14:textId="77777777" w:rsidR="0008009C" w:rsidRDefault="00936FDF">
            <w:pPr>
              <w:jc w:val="right"/>
              <w:textAlignment w:val="bottom"/>
            </w:pPr>
            <w:r>
              <w:rPr>
                <w:rFonts w:ascii="Arial" w:eastAsia="宋体" w:hAnsi="Arial" w:cs="Arial"/>
                <w:color w:val="262626"/>
                <w:sz w:val="18"/>
                <w:szCs w:val="18"/>
              </w:rPr>
              <w:t>%</w:t>
            </w:r>
          </w:p>
        </w:tc>
        <w:tc>
          <w:tcPr>
            <w:tcW w:w="0" w:type="auto"/>
            <w:shd w:val="clear" w:color="auto" w:fill="auto"/>
          </w:tcPr>
          <w:p w14:paraId="5C7C7210" w14:textId="77777777" w:rsidR="0008009C" w:rsidRDefault="0008009C">
            <w:pPr>
              <w:rPr>
                <w:rFonts w:ascii="宋体"/>
                <w:vanish/>
              </w:rPr>
            </w:pPr>
          </w:p>
        </w:tc>
        <w:tc>
          <w:tcPr>
            <w:tcW w:w="0" w:type="auto"/>
            <w:shd w:val="clear" w:color="auto" w:fill="auto"/>
          </w:tcPr>
          <w:p w14:paraId="5C7C7211" w14:textId="77777777" w:rsidR="0008009C" w:rsidRDefault="0008009C">
            <w:pPr>
              <w:rPr>
                <w:rFonts w:ascii="宋体"/>
                <w:vanish/>
              </w:rPr>
            </w:pPr>
          </w:p>
        </w:tc>
        <w:tc>
          <w:tcPr>
            <w:tcW w:w="0" w:type="auto"/>
            <w:gridSpan w:val="3"/>
            <w:shd w:val="clear" w:color="auto" w:fill="auto"/>
          </w:tcPr>
          <w:p w14:paraId="5C7C7212" w14:textId="77777777" w:rsidR="0008009C" w:rsidRDefault="0008009C">
            <w:pPr>
              <w:rPr>
                <w:rFonts w:ascii="宋体"/>
                <w:vanish/>
              </w:rPr>
            </w:pPr>
          </w:p>
        </w:tc>
        <w:tc>
          <w:tcPr>
            <w:tcW w:w="0" w:type="auto"/>
            <w:gridSpan w:val="3"/>
            <w:shd w:val="clear" w:color="auto" w:fill="auto"/>
          </w:tcPr>
          <w:p w14:paraId="5C7C7213" w14:textId="77777777" w:rsidR="0008009C" w:rsidRDefault="0008009C">
            <w:pPr>
              <w:rPr>
                <w:rFonts w:ascii="宋体"/>
                <w:vanish/>
              </w:rPr>
            </w:pPr>
          </w:p>
        </w:tc>
        <w:tc>
          <w:tcPr>
            <w:tcW w:w="0" w:type="auto"/>
            <w:gridSpan w:val="3"/>
            <w:shd w:val="clear" w:color="auto" w:fill="auto"/>
          </w:tcPr>
          <w:p w14:paraId="5C7C7214" w14:textId="77777777" w:rsidR="0008009C" w:rsidRDefault="0008009C">
            <w:pPr>
              <w:rPr>
                <w:rFonts w:ascii="宋体"/>
                <w:vanish/>
              </w:rPr>
            </w:pPr>
          </w:p>
        </w:tc>
        <w:tc>
          <w:tcPr>
            <w:tcW w:w="0" w:type="auto"/>
            <w:gridSpan w:val="3"/>
            <w:shd w:val="clear" w:color="auto" w:fill="auto"/>
          </w:tcPr>
          <w:p w14:paraId="5C7C7215" w14:textId="77777777" w:rsidR="0008009C" w:rsidRDefault="0008009C">
            <w:pPr>
              <w:rPr>
                <w:rFonts w:ascii="宋体"/>
                <w:vanish/>
              </w:rPr>
            </w:pPr>
          </w:p>
        </w:tc>
        <w:tc>
          <w:tcPr>
            <w:tcW w:w="0" w:type="auto"/>
            <w:gridSpan w:val="3"/>
            <w:shd w:val="clear" w:color="auto" w:fill="auto"/>
          </w:tcPr>
          <w:p w14:paraId="5C7C7216" w14:textId="77777777" w:rsidR="0008009C" w:rsidRDefault="0008009C">
            <w:pPr>
              <w:rPr>
                <w:rFonts w:ascii="宋体"/>
                <w:vanish/>
              </w:rPr>
            </w:pPr>
          </w:p>
        </w:tc>
        <w:tc>
          <w:tcPr>
            <w:tcW w:w="0" w:type="auto"/>
            <w:gridSpan w:val="3"/>
            <w:shd w:val="clear" w:color="auto" w:fill="auto"/>
          </w:tcPr>
          <w:p w14:paraId="5C7C7217" w14:textId="77777777" w:rsidR="0008009C" w:rsidRDefault="0008009C">
            <w:pPr>
              <w:rPr>
                <w:rFonts w:ascii="宋体"/>
                <w:vanish/>
              </w:rPr>
            </w:pPr>
          </w:p>
        </w:tc>
      </w:tr>
      <w:tr w:rsidR="0008009C" w14:paraId="5C7C722E" w14:textId="77777777">
        <w:tc>
          <w:tcPr>
            <w:tcW w:w="0" w:type="auto"/>
            <w:gridSpan w:val="3"/>
            <w:shd w:val="clear" w:color="auto" w:fill="auto"/>
            <w:tcMar>
              <w:top w:w="40" w:type="dxa"/>
              <w:left w:w="20" w:type="dxa"/>
              <w:bottom w:w="40" w:type="dxa"/>
              <w:right w:w="20" w:type="dxa"/>
            </w:tcMar>
          </w:tcPr>
          <w:p w14:paraId="5C7C7219" w14:textId="77777777" w:rsidR="0008009C" w:rsidRDefault="00936FDF">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tcPr>
          <w:p w14:paraId="5C7C721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1B" w14:textId="77777777" w:rsidR="0008009C" w:rsidRDefault="00936FDF">
            <w:pPr>
              <w:jc w:val="right"/>
              <w:textAlignment w:val="bottom"/>
            </w:pPr>
            <w:r>
              <w:rPr>
                <w:rFonts w:ascii="Arial" w:eastAsia="宋体" w:hAnsi="Arial" w:cs="Arial"/>
                <w:color w:val="0068B5"/>
                <w:sz w:val="18"/>
                <w:szCs w:val="18"/>
              </w:rPr>
              <w:t>2,209 </w:t>
            </w:r>
          </w:p>
        </w:tc>
        <w:tc>
          <w:tcPr>
            <w:tcW w:w="0" w:type="auto"/>
            <w:shd w:val="clear" w:color="auto" w:fill="auto"/>
            <w:tcMar>
              <w:top w:w="40" w:type="dxa"/>
              <w:left w:w="0" w:type="dxa"/>
              <w:bottom w:w="40" w:type="dxa"/>
              <w:right w:w="20" w:type="dxa"/>
            </w:tcMar>
            <w:vAlign w:val="bottom"/>
          </w:tcPr>
          <w:p w14:paraId="5C7C721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1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1E" w14:textId="77777777" w:rsidR="0008009C" w:rsidRDefault="00936FDF">
            <w:pPr>
              <w:jc w:val="right"/>
              <w:textAlignment w:val="bottom"/>
            </w:pPr>
            <w:r>
              <w:rPr>
                <w:rFonts w:ascii="Arial" w:eastAsia="宋体" w:hAnsi="Arial" w:cs="Arial"/>
                <w:color w:val="0068B5"/>
                <w:sz w:val="18"/>
                <w:szCs w:val="18"/>
              </w:rPr>
              <w:t>11.2 </w:t>
            </w:r>
          </w:p>
        </w:tc>
        <w:tc>
          <w:tcPr>
            <w:tcW w:w="0" w:type="auto"/>
            <w:shd w:val="clear" w:color="auto" w:fill="auto"/>
            <w:tcMar>
              <w:top w:w="40" w:type="dxa"/>
              <w:left w:w="0" w:type="dxa"/>
              <w:bottom w:w="40" w:type="dxa"/>
              <w:right w:w="20" w:type="dxa"/>
            </w:tcMar>
            <w:vAlign w:val="bottom"/>
          </w:tcPr>
          <w:p w14:paraId="5C7C721F" w14:textId="77777777" w:rsidR="0008009C" w:rsidRDefault="00936FDF">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5C7C722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21" w14:textId="77777777" w:rsidR="0008009C" w:rsidRDefault="00936FDF">
            <w:pPr>
              <w:jc w:val="right"/>
              <w:textAlignment w:val="bottom"/>
            </w:pPr>
            <w:r>
              <w:rPr>
                <w:rFonts w:ascii="Arial" w:eastAsia="宋体" w:hAnsi="Arial" w:cs="Arial"/>
                <w:color w:val="262626"/>
                <w:sz w:val="18"/>
                <w:szCs w:val="18"/>
              </w:rPr>
              <w:t>162 </w:t>
            </w:r>
          </w:p>
        </w:tc>
        <w:tc>
          <w:tcPr>
            <w:tcW w:w="0" w:type="auto"/>
            <w:shd w:val="clear" w:color="auto" w:fill="auto"/>
            <w:tcMar>
              <w:top w:w="40" w:type="dxa"/>
              <w:left w:w="0" w:type="dxa"/>
              <w:bottom w:w="40" w:type="dxa"/>
              <w:right w:w="20" w:type="dxa"/>
            </w:tcMar>
            <w:vAlign w:val="bottom"/>
          </w:tcPr>
          <w:p w14:paraId="5C7C722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2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24" w14:textId="77777777" w:rsidR="0008009C" w:rsidRDefault="00936FDF">
            <w:pPr>
              <w:jc w:val="right"/>
              <w:textAlignment w:val="bottom"/>
            </w:pPr>
            <w:r>
              <w:rPr>
                <w:rFonts w:ascii="Arial" w:eastAsia="宋体" w:hAnsi="Arial" w:cs="Arial"/>
                <w:color w:val="262626"/>
                <w:sz w:val="18"/>
                <w:szCs w:val="18"/>
              </w:rPr>
              <w:t>0.8 </w:t>
            </w:r>
          </w:p>
        </w:tc>
        <w:tc>
          <w:tcPr>
            <w:tcW w:w="0" w:type="auto"/>
            <w:shd w:val="clear" w:color="auto" w:fill="auto"/>
            <w:tcMar>
              <w:top w:w="40" w:type="dxa"/>
              <w:left w:w="0" w:type="dxa"/>
              <w:bottom w:w="40" w:type="dxa"/>
              <w:right w:w="20" w:type="dxa"/>
            </w:tcMar>
            <w:vAlign w:val="bottom"/>
          </w:tcPr>
          <w:p w14:paraId="5C7C7225" w14:textId="77777777" w:rsidR="0008009C" w:rsidRDefault="00936FDF">
            <w:pPr>
              <w:jc w:val="right"/>
              <w:textAlignment w:val="bottom"/>
            </w:pPr>
            <w:r>
              <w:rPr>
                <w:rFonts w:ascii="Arial" w:eastAsia="宋体" w:hAnsi="Arial" w:cs="Arial"/>
                <w:color w:val="262626"/>
                <w:sz w:val="18"/>
                <w:szCs w:val="18"/>
              </w:rPr>
              <w:t>%</w:t>
            </w:r>
          </w:p>
        </w:tc>
        <w:tc>
          <w:tcPr>
            <w:tcW w:w="0" w:type="auto"/>
            <w:shd w:val="clear" w:color="auto" w:fill="auto"/>
          </w:tcPr>
          <w:p w14:paraId="5C7C7226" w14:textId="77777777" w:rsidR="0008009C" w:rsidRDefault="0008009C">
            <w:pPr>
              <w:rPr>
                <w:rFonts w:ascii="宋体"/>
                <w:vanish/>
              </w:rPr>
            </w:pPr>
          </w:p>
        </w:tc>
        <w:tc>
          <w:tcPr>
            <w:tcW w:w="0" w:type="auto"/>
            <w:shd w:val="clear" w:color="auto" w:fill="auto"/>
          </w:tcPr>
          <w:p w14:paraId="5C7C7227" w14:textId="77777777" w:rsidR="0008009C" w:rsidRDefault="0008009C">
            <w:pPr>
              <w:rPr>
                <w:rFonts w:ascii="宋体"/>
                <w:vanish/>
              </w:rPr>
            </w:pPr>
          </w:p>
        </w:tc>
        <w:tc>
          <w:tcPr>
            <w:tcW w:w="0" w:type="auto"/>
            <w:gridSpan w:val="3"/>
            <w:shd w:val="clear" w:color="auto" w:fill="auto"/>
          </w:tcPr>
          <w:p w14:paraId="5C7C7228" w14:textId="77777777" w:rsidR="0008009C" w:rsidRDefault="0008009C">
            <w:pPr>
              <w:rPr>
                <w:rFonts w:ascii="宋体"/>
                <w:vanish/>
              </w:rPr>
            </w:pPr>
          </w:p>
        </w:tc>
        <w:tc>
          <w:tcPr>
            <w:tcW w:w="0" w:type="auto"/>
            <w:gridSpan w:val="3"/>
            <w:shd w:val="clear" w:color="auto" w:fill="auto"/>
          </w:tcPr>
          <w:p w14:paraId="5C7C7229" w14:textId="77777777" w:rsidR="0008009C" w:rsidRDefault="0008009C">
            <w:pPr>
              <w:rPr>
                <w:rFonts w:ascii="宋体"/>
                <w:vanish/>
              </w:rPr>
            </w:pPr>
          </w:p>
        </w:tc>
        <w:tc>
          <w:tcPr>
            <w:tcW w:w="0" w:type="auto"/>
            <w:gridSpan w:val="3"/>
            <w:shd w:val="clear" w:color="auto" w:fill="auto"/>
          </w:tcPr>
          <w:p w14:paraId="5C7C722A" w14:textId="77777777" w:rsidR="0008009C" w:rsidRDefault="0008009C">
            <w:pPr>
              <w:rPr>
                <w:rFonts w:ascii="宋体"/>
                <w:vanish/>
              </w:rPr>
            </w:pPr>
          </w:p>
        </w:tc>
        <w:tc>
          <w:tcPr>
            <w:tcW w:w="0" w:type="auto"/>
            <w:gridSpan w:val="3"/>
            <w:shd w:val="clear" w:color="auto" w:fill="auto"/>
          </w:tcPr>
          <w:p w14:paraId="5C7C722B" w14:textId="77777777" w:rsidR="0008009C" w:rsidRDefault="0008009C">
            <w:pPr>
              <w:rPr>
                <w:rFonts w:ascii="宋体"/>
                <w:vanish/>
              </w:rPr>
            </w:pPr>
          </w:p>
        </w:tc>
        <w:tc>
          <w:tcPr>
            <w:tcW w:w="0" w:type="auto"/>
            <w:gridSpan w:val="3"/>
            <w:shd w:val="clear" w:color="auto" w:fill="auto"/>
          </w:tcPr>
          <w:p w14:paraId="5C7C722C" w14:textId="77777777" w:rsidR="0008009C" w:rsidRDefault="0008009C">
            <w:pPr>
              <w:rPr>
                <w:rFonts w:ascii="宋体"/>
                <w:vanish/>
              </w:rPr>
            </w:pPr>
          </w:p>
        </w:tc>
        <w:tc>
          <w:tcPr>
            <w:tcW w:w="0" w:type="auto"/>
            <w:gridSpan w:val="3"/>
            <w:shd w:val="clear" w:color="auto" w:fill="auto"/>
          </w:tcPr>
          <w:p w14:paraId="5C7C722D" w14:textId="77777777" w:rsidR="0008009C" w:rsidRDefault="0008009C">
            <w:pPr>
              <w:rPr>
                <w:rFonts w:ascii="宋体"/>
                <w:vanish/>
              </w:rPr>
            </w:pPr>
          </w:p>
        </w:tc>
      </w:tr>
      <w:tr w:rsidR="0008009C" w14:paraId="5C7C7244" w14:textId="77777777">
        <w:tc>
          <w:tcPr>
            <w:tcW w:w="0" w:type="auto"/>
            <w:gridSpan w:val="3"/>
            <w:shd w:val="clear" w:color="auto" w:fill="auto"/>
            <w:tcMar>
              <w:top w:w="40" w:type="dxa"/>
              <w:left w:w="20" w:type="dxa"/>
              <w:bottom w:w="40" w:type="dxa"/>
              <w:right w:w="20" w:type="dxa"/>
            </w:tcMar>
          </w:tcPr>
          <w:p w14:paraId="5C7C722F" w14:textId="77777777" w:rsidR="0008009C" w:rsidRDefault="00936FDF">
            <w:pPr>
              <w:textAlignment w:val="top"/>
            </w:pP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tcPr>
          <w:p w14:paraId="5C7C7230"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7231" w14:textId="77777777" w:rsidR="0008009C" w:rsidRDefault="00936FDF">
            <w:pPr>
              <w:jc w:val="right"/>
              <w:textAlignment w:val="bottom"/>
            </w:pPr>
            <w:r>
              <w:rPr>
                <w:rFonts w:ascii="Arial" w:eastAsia="宋体" w:hAnsi="Arial" w:cs="Arial"/>
                <w:b/>
                <w:bCs/>
                <w:color w:val="0068B5"/>
                <w:sz w:val="18"/>
                <w:szCs w:val="18"/>
              </w:rPr>
              <w:t>3,694</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23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33"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7234" w14:textId="77777777" w:rsidR="0008009C" w:rsidRDefault="00936FDF">
            <w:pPr>
              <w:jc w:val="right"/>
              <w:textAlignment w:val="bottom"/>
            </w:pPr>
            <w:r>
              <w:rPr>
                <w:rFonts w:ascii="Arial" w:eastAsia="宋体" w:hAnsi="Arial" w:cs="Arial"/>
                <w:b/>
                <w:bCs/>
                <w:color w:val="0068B5"/>
                <w:sz w:val="18"/>
                <w:szCs w:val="18"/>
              </w:rPr>
              <w:t>18.8</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235" w14:textId="77777777" w:rsidR="0008009C" w:rsidRDefault="00936FDF">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tcPr>
          <w:p w14:paraId="5C7C7236"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7237" w14:textId="77777777" w:rsidR="0008009C" w:rsidRDefault="00936FDF">
            <w:pPr>
              <w:jc w:val="right"/>
              <w:textAlignment w:val="bottom"/>
            </w:pPr>
            <w:r>
              <w:rPr>
                <w:rFonts w:ascii="Arial" w:eastAsia="宋体" w:hAnsi="Arial" w:cs="Arial"/>
                <w:b/>
                <w:bCs/>
                <w:color w:val="262626"/>
                <w:sz w:val="18"/>
                <w:szCs w:val="18"/>
              </w:rPr>
              <w:t>7,038</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23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39"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723A" w14:textId="77777777" w:rsidR="0008009C" w:rsidRDefault="00936FDF">
            <w:pPr>
              <w:jc w:val="right"/>
              <w:textAlignment w:val="bottom"/>
            </w:pPr>
            <w:r>
              <w:rPr>
                <w:rFonts w:ascii="Arial" w:eastAsia="宋体" w:hAnsi="Arial" w:cs="Arial"/>
                <w:b/>
                <w:bCs/>
                <w:color w:val="262626"/>
                <w:sz w:val="18"/>
                <w:szCs w:val="18"/>
              </w:rPr>
              <w:t>35.5</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23B" w14:textId="77777777" w:rsidR="0008009C" w:rsidRDefault="00936FDF">
            <w:pPr>
              <w:jc w:val="right"/>
              <w:textAlignment w:val="bottom"/>
            </w:pPr>
            <w:r>
              <w:rPr>
                <w:rFonts w:ascii="Arial" w:eastAsia="宋体" w:hAnsi="Arial" w:cs="Arial"/>
                <w:b/>
                <w:bCs/>
                <w:color w:val="262626"/>
                <w:sz w:val="18"/>
                <w:szCs w:val="18"/>
              </w:rPr>
              <w:t>%</w:t>
            </w:r>
          </w:p>
        </w:tc>
        <w:tc>
          <w:tcPr>
            <w:tcW w:w="0" w:type="auto"/>
            <w:shd w:val="clear" w:color="auto" w:fill="auto"/>
          </w:tcPr>
          <w:p w14:paraId="5C7C723C" w14:textId="77777777" w:rsidR="0008009C" w:rsidRDefault="0008009C">
            <w:pPr>
              <w:rPr>
                <w:rFonts w:ascii="宋体"/>
                <w:vanish/>
              </w:rPr>
            </w:pPr>
          </w:p>
        </w:tc>
        <w:tc>
          <w:tcPr>
            <w:tcW w:w="0" w:type="auto"/>
            <w:shd w:val="clear" w:color="auto" w:fill="auto"/>
          </w:tcPr>
          <w:p w14:paraId="5C7C723D" w14:textId="77777777" w:rsidR="0008009C" w:rsidRDefault="0008009C">
            <w:pPr>
              <w:rPr>
                <w:rFonts w:ascii="宋体"/>
                <w:vanish/>
              </w:rPr>
            </w:pPr>
          </w:p>
        </w:tc>
        <w:tc>
          <w:tcPr>
            <w:tcW w:w="0" w:type="auto"/>
            <w:gridSpan w:val="3"/>
            <w:shd w:val="clear" w:color="auto" w:fill="auto"/>
          </w:tcPr>
          <w:p w14:paraId="5C7C723E" w14:textId="77777777" w:rsidR="0008009C" w:rsidRDefault="0008009C">
            <w:pPr>
              <w:rPr>
                <w:rFonts w:ascii="宋体"/>
                <w:vanish/>
              </w:rPr>
            </w:pPr>
          </w:p>
        </w:tc>
        <w:tc>
          <w:tcPr>
            <w:tcW w:w="0" w:type="auto"/>
            <w:gridSpan w:val="3"/>
            <w:shd w:val="clear" w:color="auto" w:fill="auto"/>
          </w:tcPr>
          <w:p w14:paraId="5C7C723F" w14:textId="77777777" w:rsidR="0008009C" w:rsidRDefault="0008009C">
            <w:pPr>
              <w:rPr>
                <w:rFonts w:ascii="宋体"/>
                <w:vanish/>
              </w:rPr>
            </w:pPr>
          </w:p>
        </w:tc>
        <w:tc>
          <w:tcPr>
            <w:tcW w:w="0" w:type="auto"/>
            <w:gridSpan w:val="3"/>
            <w:shd w:val="clear" w:color="auto" w:fill="auto"/>
          </w:tcPr>
          <w:p w14:paraId="5C7C7240" w14:textId="77777777" w:rsidR="0008009C" w:rsidRDefault="0008009C">
            <w:pPr>
              <w:rPr>
                <w:rFonts w:ascii="宋体"/>
                <w:vanish/>
              </w:rPr>
            </w:pPr>
          </w:p>
        </w:tc>
        <w:tc>
          <w:tcPr>
            <w:tcW w:w="0" w:type="auto"/>
            <w:gridSpan w:val="3"/>
            <w:shd w:val="clear" w:color="auto" w:fill="auto"/>
          </w:tcPr>
          <w:p w14:paraId="5C7C7241" w14:textId="77777777" w:rsidR="0008009C" w:rsidRDefault="0008009C">
            <w:pPr>
              <w:rPr>
                <w:rFonts w:ascii="宋体"/>
                <w:vanish/>
              </w:rPr>
            </w:pPr>
          </w:p>
        </w:tc>
        <w:tc>
          <w:tcPr>
            <w:tcW w:w="0" w:type="auto"/>
            <w:gridSpan w:val="3"/>
            <w:shd w:val="clear" w:color="auto" w:fill="auto"/>
          </w:tcPr>
          <w:p w14:paraId="5C7C7242" w14:textId="77777777" w:rsidR="0008009C" w:rsidRDefault="0008009C">
            <w:pPr>
              <w:rPr>
                <w:rFonts w:ascii="宋体"/>
                <w:vanish/>
              </w:rPr>
            </w:pPr>
          </w:p>
        </w:tc>
        <w:tc>
          <w:tcPr>
            <w:tcW w:w="0" w:type="auto"/>
            <w:gridSpan w:val="3"/>
            <w:shd w:val="clear" w:color="auto" w:fill="auto"/>
          </w:tcPr>
          <w:p w14:paraId="5C7C7243" w14:textId="77777777" w:rsidR="0008009C" w:rsidRDefault="0008009C">
            <w:pPr>
              <w:rPr>
                <w:rFonts w:ascii="宋体"/>
                <w:vanish/>
              </w:rPr>
            </w:pPr>
          </w:p>
        </w:tc>
      </w:tr>
      <w:tr w:rsidR="0008009C" w14:paraId="5C7C725A" w14:textId="77777777">
        <w:tc>
          <w:tcPr>
            <w:tcW w:w="0" w:type="auto"/>
            <w:gridSpan w:val="3"/>
            <w:shd w:val="clear" w:color="auto" w:fill="auto"/>
            <w:tcMar>
              <w:top w:w="40" w:type="dxa"/>
              <w:left w:w="20" w:type="dxa"/>
              <w:bottom w:w="40" w:type="dxa"/>
              <w:right w:w="20" w:type="dxa"/>
            </w:tcMar>
            <w:vAlign w:val="bottom"/>
          </w:tcPr>
          <w:p w14:paraId="5C7C7245" w14:textId="77777777" w:rsidR="0008009C" w:rsidRDefault="00936FDF">
            <w:pPr>
              <w:textAlignment w:val="bottom"/>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tcPr>
          <w:p w14:paraId="5C7C724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47" w14:textId="77777777" w:rsidR="0008009C" w:rsidRDefault="00936FDF">
            <w:pPr>
              <w:jc w:val="right"/>
              <w:textAlignment w:val="bottom"/>
            </w:pPr>
            <w:r>
              <w:rPr>
                <w:rFonts w:ascii="Arial" w:eastAsia="宋体" w:hAnsi="Arial" w:cs="Arial"/>
                <w:color w:val="0068B5"/>
                <w:sz w:val="18"/>
                <w:szCs w:val="18"/>
              </w:rPr>
              <w:t>368 </w:t>
            </w:r>
          </w:p>
        </w:tc>
        <w:tc>
          <w:tcPr>
            <w:tcW w:w="0" w:type="auto"/>
            <w:shd w:val="clear" w:color="auto" w:fill="auto"/>
            <w:tcMar>
              <w:top w:w="40" w:type="dxa"/>
              <w:left w:w="0" w:type="dxa"/>
              <w:bottom w:w="40" w:type="dxa"/>
              <w:right w:w="20" w:type="dxa"/>
            </w:tcMar>
            <w:vAlign w:val="bottom"/>
          </w:tcPr>
          <w:p w14:paraId="5C7C724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4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4A" w14:textId="77777777" w:rsidR="0008009C" w:rsidRDefault="00936FDF">
            <w:pPr>
              <w:jc w:val="right"/>
              <w:textAlignment w:val="bottom"/>
            </w:pPr>
            <w:r>
              <w:rPr>
                <w:rFonts w:ascii="Arial" w:eastAsia="宋体" w:hAnsi="Arial" w:cs="Arial"/>
                <w:color w:val="0068B5"/>
                <w:sz w:val="18"/>
                <w:szCs w:val="18"/>
              </w:rPr>
              <w:t>1.9 </w:t>
            </w:r>
          </w:p>
        </w:tc>
        <w:tc>
          <w:tcPr>
            <w:tcW w:w="0" w:type="auto"/>
            <w:shd w:val="clear" w:color="auto" w:fill="auto"/>
            <w:tcMar>
              <w:top w:w="40" w:type="dxa"/>
              <w:left w:w="0" w:type="dxa"/>
              <w:bottom w:w="40" w:type="dxa"/>
              <w:right w:w="20" w:type="dxa"/>
            </w:tcMar>
            <w:vAlign w:val="bottom"/>
          </w:tcPr>
          <w:p w14:paraId="5C7C724B" w14:textId="77777777" w:rsidR="0008009C" w:rsidRDefault="00936FDF">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5C7C724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4D" w14:textId="77777777" w:rsidR="0008009C" w:rsidRDefault="00936FDF">
            <w:pPr>
              <w:jc w:val="right"/>
              <w:textAlignment w:val="bottom"/>
            </w:pPr>
            <w:r>
              <w:rPr>
                <w:rFonts w:ascii="Arial" w:eastAsia="宋体" w:hAnsi="Arial" w:cs="Arial"/>
                <w:color w:val="262626"/>
                <w:sz w:val="18"/>
                <w:szCs w:val="18"/>
              </w:rPr>
              <w:t>(111)</w:t>
            </w:r>
          </w:p>
        </w:tc>
        <w:tc>
          <w:tcPr>
            <w:tcW w:w="0" w:type="auto"/>
            <w:shd w:val="clear" w:color="auto" w:fill="auto"/>
            <w:tcMar>
              <w:top w:w="40" w:type="dxa"/>
              <w:left w:w="0" w:type="dxa"/>
              <w:bottom w:w="40" w:type="dxa"/>
              <w:right w:w="20" w:type="dxa"/>
            </w:tcMar>
            <w:vAlign w:val="bottom"/>
          </w:tcPr>
          <w:p w14:paraId="5C7C724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4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50" w14:textId="77777777" w:rsidR="0008009C" w:rsidRDefault="00936FDF">
            <w:pPr>
              <w:jc w:val="right"/>
              <w:textAlignment w:val="bottom"/>
            </w:pPr>
            <w:r>
              <w:rPr>
                <w:rFonts w:ascii="Arial" w:eastAsia="宋体" w:hAnsi="Arial" w:cs="Arial"/>
                <w:color w:val="262626"/>
                <w:sz w:val="18"/>
                <w:szCs w:val="18"/>
              </w:rPr>
              <w:t>(0.6)</w:t>
            </w:r>
          </w:p>
        </w:tc>
        <w:tc>
          <w:tcPr>
            <w:tcW w:w="0" w:type="auto"/>
            <w:shd w:val="clear" w:color="auto" w:fill="auto"/>
            <w:tcMar>
              <w:top w:w="40" w:type="dxa"/>
              <w:left w:w="0" w:type="dxa"/>
              <w:bottom w:w="40" w:type="dxa"/>
              <w:right w:w="20" w:type="dxa"/>
            </w:tcMar>
            <w:vAlign w:val="bottom"/>
          </w:tcPr>
          <w:p w14:paraId="5C7C7251" w14:textId="77777777" w:rsidR="0008009C" w:rsidRDefault="00936FDF">
            <w:pPr>
              <w:jc w:val="right"/>
              <w:textAlignment w:val="bottom"/>
            </w:pPr>
            <w:r>
              <w:rPr>
                <w:rFonts w:ascii="Arial" w:eastAsia="宋体" w:hAnsi="Arial" w:cs="Arial"/>
                <w:color w:val="262626"/>
                <w:sz w:val="18"/>
                <w:szCs w:val="18"/>
              </w:rPr>
              <w:t>%</w:t>
            </w:r>
          </w:p>
        </w:tc>
        <w:tc>
          <w:tcPr>
            <w:tcW w:w="0" w:type="auto"/>
            <w:shd w:val="clear" w:color="auto" w:fill="auto"/>
          </w:tcPr>
          <w:p w14:paraId="5C7C7252" w14:textId="77777777" w:rsidR="0008009C" w:rsidRDefault="0008009C">
            <w:pPr>
              <w:rPr>
                <w:rFonts w:ascii="宋体"/>
                <w:vanish/>
              </w:rPr>
            </w:pPr>
          </w:p>
        </w:tc>
        <w:tc>
          <w:tcPr>
            <w:tcW w:w="0" w:type="auto"/>
            <w:shd w:val="clear" w:color="auto" w:fill="auto"/>
          </w:tcPr>
          <w:p w14:paraId="5C7C7253" w14:textId="77777777" w:rsidR="0008009C" w:rsidRDefault="0008009C">
            <w:pPr>
              <w:rPr>
                <w:rFonts w:ascii="宋体"/>
                <w:vanish/>
              </w:rPr>
            </w:pPr>
          </w:p>
        </w:tc>
        <w:tc>
          <w:tcPr>
            <w:tcW w:w="0" w:type="auto"/>
            <w:gridSpan w:val="3"/>
            <w:shd w:val="clear" w:color="auto" w:fill="auto"/>
          </w:tcPr>
          <w:p w14:paraId="5C7C7254" w14:textId="77777777" w:rsidR="0008009C" w:rsidRDefault="0008009C">
            <w:pPr>
              <w:rPr>
                <w:rFonts w:ascii="宋体"/>
                <w:vanish/>
              </w:rPr>
            </w:pPr>
          </w:p>
        </w:tc>
        <w:tc>
          <w:tcPr>
            <w:tcW w:w="0" w:type="auto"/>
            <w:gridSpan w:val="3"/>
            <w:shd w:val="clear" w:color="auto" w:fill="auto"/>
          </w:tcPr>
          <w:p w14:paraId="5C7C7255" w14:textId="77777777" w:rsidR="0008009C" w:rsidRDefault="0008009C">
            <w:pPr>
              <w:rPr>
                <w:rFonts w:ascii="宋体"/>
                <w:vanish/>
              </w:rPr>
            </w:pPr>
          </w:p>
        </w:tc>
        <w:tc>
          <w:tcPr>
            <w:tcW w:w="0" w:type="auto"/>
            <w:gridSpan w:val="3"/>
            <w:shd w:val="clear" w:color="auto" w:fill="auto"/>
          </w:tcPr>
          <w:p w14:paraId="5C7C7256" w14:textId="77777777" w:rsidR="0008009C" w:rsidRDefault="0008009C">
            <w:pPr>
              <w:rPr>
                <w:rFonts w:ascii="宋体"/>
                <w:vanish/>
              </w:rPr>
            </w:pPr>
          </w:p>
        </w:tc>
        <w:tc>
          <w:tcPr>
            <w:tcW w:w="0" w:type="auto"/>
            <w:gridSpan w:val="3"/>
            <w:shd w:val="clear" w:color="auto" w:fill="auto"/>
          </w:tcPr>
          <w:p w14:paraId="5C7C7257" w14:textId="77777777" w:rsidR="0008009C" w:rsidRDefault="0008009C">
            <w:pPr>
              <w:rPr>
                <w:rFonts w:ascii="宋体"/>
                <w:vanish/>
              </w:rPr>
            </w:pPr>
          </w:p>
        </w:tc>
        <w:tc>
          <w:tcPr>
            <w:tcW w:w="0" w:type="auto"/>
            <w:gridSpan w:val="3"/>
            <w:shd w:val="clear" w:color="auto" w:fill="auto"/>
          </w:tcPr>
          <w:p w14:paraId="5C7C7258" w14:textId="77777777" w:rsidR="0008009C" w:rsidRDefault="0008009C">
            <w:pPr>
              <w:rPr>
                <w:rFonts w:ascii="宋体"/>
                <w:vanish/>
              </w:rPr>
            </w:pPr>
          </w:p>
        </w:tc>
        <w:tc>
          <w:tcPr>
            <w:tcW w:w="0" w:type="auto"/>
            <w:gridSpan w:val="3"/>
            <w:shd w:val="clear" w:color="auto" w:fill="auto"/>
          </w:tcPr>
          <w:p w14:paraId="5C7C7259" w14:textId="77777777" w:rsidR="0008009C" w:rsidRDefault="0008009C">
            <w:pPr>
              <w:rPr>
                <w:rFonts w:ascii="宋体"/>
                <w:vanish/>
              </w:rPr>
            </w:pPr>
          </w:p>
        </w:tc>
      </w:tr>
      <w:tr w:rsidR="0008009C" w14:paraId="5C7C7270" w14:textId="77777777">
        <w:tc>
          <w:tcPr>
            <w:tcW w:w="0" w:type="auto"/>
            <w:gridSpan w:val="3"/>
            <w:shd w:val="clear" w:color="auto" w:fill="auto"/>
            <w:tcMar>
              <w:top w:w="40" w:type="dxa"/>
              <w:left w:w="20" w:type="dxa"/>
              <w:bottom w:w="40" w:type="dxa"/>
              <w:right w:w="20" w:type="dxa"/>
            </w:tcMar>
          </w:tcPr>
          <w:p w14:paraId="5C7C725B" w14:textId="77777777" w:rsidR="0008009C" w:rsidRDefault="00936FDF">
            <w:pPr>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tcPr>
          <w:p w14:paraId="5C7C725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5D" w14:textId="77777777" w:rsidR="0008009C" w:rsidRDefault="00936FDF">
            <w:pPr>
              <w:jc w:val="right"/>
              <w:textAlignment w:val="bottom"/>
            </w:pPr>
            <w:r>
              <w:rPr>
                <w:rFonts w:ascii="Arial" w:eastAsia="宋体" w:hAnsi="Arial" w:cs="Arial"/>
                <w:color w:val="0068B5"/>
                <w:sz w:val="18"/>
                <w:szCs w:val="18"/>
              </w:rPr>
              <w:t>(156)</w:t>
            </w:r>
          </w:p>
        </w:tc>
        <w:tc>
          <w:tcPr>
            <w:tcW w:w="0" w:type="auto"/>
            <w:shd w:val="clear" w:color="auto" w:fill="auto"/>
            <w:tcMar>
              <w:top w:w="40" w:type="dxa"/>
              <w:left w:w="0" w:type="dxa"/>
              <w:bottom w:w="40" w:type="dxa"/>
              <w:right w:w="20" w:type="dxa"/>
            </w:tcMar>
            <w:vAlign w:val="bottom"/>
          </w:tcPr>
          <w:p w14:paraId="5C7C725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5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60" w14:textId="77777777" w:rsidR="0008009C" w:rsidRDefault="00936FDF">
            <w:pPr>
              <w:jc w:val="right"/>
              <w:textAlignment w:val="bottom"/>
            </w:pPr>
            <w:r>
              <w:rPr>
                <w:rFonts w:ascii="Arial" w:eastAsia="宋体" w:hAnsi="Arial" w:cs="Arial"/>
                <w:color w:val="0068B5"/>
                <w:sz w:val="18"/>
                <w:szCs w:val="18"/>
              </w:rPr>
              <w:t>(0.8)</w:t>
            </w:r>
          </w:p>
        </w:tc>
        <w:tc>
          <w:tcPr>
            <w:tcW w:w="0" w:type="auto"/>
            <w:shd w:val="clear" w:color="auto" w:fill="auto"/>
            <w:tcMar>
              <w:top w:w="40" w:type="dxa"/>
              <w:left w:w="0" w:type="dxa"/>
              <w:bottom w:w="40" w:type="dxa"/>
              <w:right w:w="20" w:type="dxa"/>
            </w:tcMar>
            <w:vAlign w:val="bottom"/>
          </w:tcPr>
          <w:p w14:paraId="5C7C7261" w14:textId="77777777" w:rsidR="0008009C" w:rsidRDefault="00936FDF">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5C7C726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63" w14:textId="77777777" w:rsidR="0008009C" w:rsidRDefault="00936FDF">
            <w:pPr>
              <w:jc w:val="right"/>
              <w:textAlignment w:val="bottom"/>
            </w:pPr>
            <w:r>
              <w:rPr>
                <w:rFonts w:ascii="Arial" w:eastAsia="宋体" w:hAnsi="Arial" w:cs="Arial"/>
                <w:color w:val="262626"/>
                <w:sz w:val="18"/>
                <w:szCs w:val="18"/>
              </w:rPr>
              <w:t>(313)</w:t>
            </w:r>
          </w:p>
        </w:tc>
        <w:tc>
          <w:tcPr>
            <w:tcW w:w="0" w:type="auto"/>
            <w:shd w:val="clear" w:color="auto" w:fill="auto"/>
            <w:tcMar>
              <w:top w:w="40" w:type="dxa"/>
              <w:left w:w="0" w:type="dxa"/>
              <w:bottom w:w="40" w:type="dxa"/>
              <w:right w:w="20" w:type="dxa"/>
            </w:tcMar>
            <w:vAlign w:val="bottom"/>
          </w:tcPr>
          <w:p w14:paraId="5C7C726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6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66" w14:textId="77777777" w:rsidR="0008009C" w:rsidRDefault="00936FDF">
            <w:pPr>
              <w:jc w:val="right"/>
              <w:textAlignment w:val="bottom"/>
            </w:pPr>
            <w:r>
              <w:rPr>
                <w:rFonts w:ascii="Arial" w:eastAsia="宋体" w:hAnsi="Arial" w:cs="Arial"/>
                <w:color w:val="262626"/>
                <w:sz w:val="18"/>
                <w:szCs w:val="18"/>
              </w:rPr>
              <w:t>(1.6)</w:t>
            </w:r>
          </w:p>
        </w:tc>
        <w:tc>
          <w:tcPr>
            <w:tcW w:w="0" w:type="auto"/>
            <w:shd w:val="clear" w:color="auto" w:fill="auto"/>
            <w:tcMar>
              <w:top w:w="40" w:type="dxa"/>
              <w:left w:w="0" w:type="dxa"/>
              <w:bottom w:w="40" w:type="dxa"/>
              <w:right w:w="20" w:type="dxa"/>
            </w:tcMar>
            <w:vAlign w:val="bottom"/>
          </w:tcPr>
          <w:p w14:paraId="5C7C7267" w14:textId="77777777" w:rsidR="0008009C" w:rsidRDefault="00936FDF">
            <w:pPr>
              <w:jc w:val="right"/>
              <w:textAlignment w:val="bottom"/>
            </w:pPr>
            <w:r>
              <w:rPr>
                <w:rFonts w:ascii="Arial" w:eastAsia="宋体" w:hAnsi="Arial" w:cs="Arial"/>
                <w:color w:val="262626"/>
                <w:sz w:val="18"/>
                <w:szCs w:val="18"/>
              </w:rPr>
              <w:t>%</w:t>
            </w:r>
          </w:p>
        </w:tc>
        <w:tc>
          <w:tcPr>
            <w:tcW w:w="0" w:type="auto"/>
            <w:shd w:val="clear" w:color="auto" w:fill="auto"/>
          </w:tcPr>
          <w:p w14:paraId="5C7C7268" w14:textId="77777777" w:rsidR="0008009C" w:rsidRDefault="0008009C">
            <w:pPr>
              <w:rPr>
                <w:rFonts w:ascii="宋体"/>
                <w:vanish/>
              </w:rPr>
            </w:pPr>
          </w:p>
        </w:tc>
        <w:tc>
          <w:tcPr>
            <w:tcW w:w="0" w:type="auto"/>
            <w:shd w:val="clear" w:color="auto" w:fill="auto"/>
          </w:tcPr>
          <w:p w14:paraId="5C7C7269" w14:textId="77777777" w:rsidR="0008009C" w:rsidRDefault="0008009C">
            <w:pPr>
              <w:rPr>
                <w:rFonts w:ascii="宋体"/>
                <w:vanish/>
              </w:rPr>
            </w:pPr>
          </w:p>
        </w:tc>
        <w:tc>
          <w:tcPr>
            <w:tcW w:w="0" w:type="auto"/>
            <w:gridSpan w:val="3"/>
            <w:shd w:val="clear" w:color="auto" w:fill="auto"/>
          </w:tcPr>
          <w:p w14:paraId="5C7C726A" w14:textId="77777777" w:rsidR="0008009C" w:rsidRDefault="0008009C">
            <w:pPr>
              <w:rPr>
                <w:rFonts w:ascii="宋体"/>
                <w:vanish/>
              </w:rPr>
            </w:pPr>
          </w:p>
        </w:tc>
        <w:tc>
          <w:tcPr>
            <w:tcW w:w="0" w:type="auto"/>
            <w:gridSpan w:val="3"/>
            <w:shd w:val="clear" w:color="auto" w:fill="auto"/>
          </w:tcPr>
          <w:p w14:paraId="5C7C726B" w14:textId="77777777" w:rsidR="0008009C" w:rsidRDefault="0008009C">
            <w:pPr>
              <w:rPr>
                <w:rFonts w:ascii="宋体"/>
                <w:vanish/>
              </w:rPr>
            </w:pPr>
          </w:p>
        </w:tc>
        <w:tc>
          <w:tcPr>
            <w:tcW w:w="0" w:type="auto"/>
            <w:gridSpan w:val="3"/>
            <w:shd w:val="clear" w:color="auto" w:fill="auto"/>
          </w:tcPr>
          <w:p w14:paraId="5C7C726C" w14:textId="77777777" w:rsidR="0008009C" w:rsidRDefault="0008009C">
            <w:pPr>
              <w:rPr>
                <w:rFonts w:ascii="宋体"/>
                <w:vanish/>
              </w:rPr>
            </w:pPr>
          </w:p>
        </w:tc>
        <w:tc>
          <w:tcPr>
            <w:tcW w:w="0" w:type="auto"/>
            <w:gridSpan w:val="3"/>
            <w:shd w:val="clear" w:color="auto" w:fill="auto"/>
          </w:tcPr>
          <w:p w14:paraId="5C7C726D" w14:textId="77777777" w:rsidR="0008009C" w:rsidRDefault="0008009C">
            <w:pPr>
              <w:rPr>
                <w:rFonts w:ascii="宋体"/>
                <w:vanish/>
              </w:rPr>
            </w:pPr>
          </w:p>
        </w:tc>
        <w:tc>
          <w:tcPr>
            <w:tcW w:w="0" w:type="auto"/>
            <w:gridSpan w:val="3"/>
            <w:shd w:val="clear" w:color="auto" w:fill="auto"/>
          </w:tcPr>
          <w:p w14:paraId="5C7C726E" w14:textId="77777777" w:rsidR="0008009C" w:rsidRDefault="0008009C">
            <w:pPr>
              <w:rPr>
                <w:rFonts w:ascii="宋体"/>
                <w:vanish/>
              </w:rPr>
            </w:pPr>
          </w:p>
        </w:tc>
        <w:tc>
          <w:tcPr>
            <w:tcW w:w="0" w:type="auto"/>
            <w:gridSpan w:val="3"/>
            <w:shd w:val="clear" w:color="auto" w:fill="auto"/>
          </w:tcPr>
          <w:p w14:paraId="5C7C726F" w14:textId="77777777" w:rsidR="0008009C" w:rsidRDefault="0008009C">
            <w:pPr>
              <w:rPr>
                <w:rFonts w:ascii="宋体"/>
                <w:vanish/>
              </w:rPr>
            </w:pPr>
          </w:p>
        </w:tc>
      </w:tr>
      <w:tr w:rsidR="0008009C" w14:paraId="5C7C7286" w14:textId="77777777">
        <w:tc>
          <w:tcPr>
            <w:tcW w:w="0" w:type="auto"/>
            <w:gridSpan w:val="3"/>
            <w:shd w:val="clear" w:color="auto" w:fill="auto"/>
            <w:tcMar>
              <w:top w:w="40" w:type="dxa"/>
              <w:left w:w="20" w:type="dxa"/>
              <w:bottom w:w="40" w:type="dxa"/>
              <w:right w:w="20" w:type="dxa"/>
            </w:tcMar>
          </w:tcPr>
          <w:p w14:paraId="5C7C7271" w14:textId="77777777" w:rsidR="0008009C" w:rsidRDefault="00936FDF">
            <w:pPr>
              <w:textAlignment w:val="top"/>
            </w:pPr>
            <w:r>
              <w:rPr>
                <w:rFonts w:ascii="Arial" w:eastAsia="宋体" w:hAnsi="Arial" w:cs="Arial"/>
                <w:b/>
                <w:bCs/>
                <w:color w:val="262626"/>
                <w:sz w:val="18"/>
                <w:szCs w:val="18"/>
              </w:rPr>
              <w:t>Income before taxes</w:t>
            </w:r>
          </w:p>
        </w:tc>
        <w:tc>
          <w:tcPr>
            <w:tcW w:w="0" w:type="auto"/>
            <w:gridSpan w:val="3"/>
            <w:shd w:val="clear" w:color="auto" w:fill="auto"/>
            <w:tcMar>
              <w:top w:w="0" w:type="dxa"/>
              <w:left w:w="20" w:type="dxa"/>
              <w:bottom w:w="0" w:type="dxa"/>
              <w:right w:w="20" w:type="dxa"/>
            </w:tcMar>
          </w:tcPr>
          <w:p w14:paraId="5C7C7272"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7273" w14:textId="77777777" w:rsidR="0008009C" w:rsidRDefault="00936FDF">
            <w:pPr>
              <w:jc w:val="right"/>
              <w:textAlignment w:val="bottom"/>
            </w:pPr>
            <w:r>
              <w:rPr>
                <w:rFonts w:ascii="Arial" w:eastAsia="宋体" w:hAnsi="Arial" w:cs="Arial"/>
                <w:b/>
                <w:bCs/>
                <w:color w:val="0068B5"/>
                <w:sz w:val="18"/>
                <w:szCs w:val="18"/>
              </w:rPr>
              <w:t>3,906</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27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75"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7276" w14:textId="77777777" w:rsidR="0008009C" w:rsidRDefault="00936FDF">
            <w:pPr>
              <w:jc w:val="right"/>
              <w:textAlignment w:val="bottom"/>
            </w:pPr>
            <w:r>
              <w:rPr>
                <w:rFonts w:ascii="Arial" w:eastAsia="宋体" w:hAnsi="Arial" w:cs="Arial"/>
                <w:b/>
                <w:bCs/>
                <w:color w:val="0068B5"/>
                <w:sz w:val="18"/>
                <w:szCs w:val="18"/>
              </w:rPr>
              <w:t>19.9</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277" w14:textId="77777777" w:rsidR="0008009C" w:rsidRDefault="00936FDF">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tcPr>
          <w:p w14:paraId="5C7C7278"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7279" w14:textId="77777777" w:rsidR="0008009C" w:rsidRDefault="00936FDF">
            <w:pPr>
              <w:jc w:val="right"/>
              <w:textAlignment w:val="bottom"/>
            </w:pPr>
            <w:r>
              <w:rPr>
                <w:rFonts w:ascii="Arial" w:eastAsia="宋体" w:hAnsi="Arial" w:cs="Arial"/>
                <w:b/>
                <w:bCs/>
                <w:color w:val="262626"/>
                <w:sz w:val="18"/>
                <w:szCs w:val="18"/>
              </w:rPr>
              <w:t>6,614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27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7B"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727C" w14:textId="77777777" w:rsidR="0008009C" w:rsidRDefault="00936FDF">
            <w:pPr>
              <w:jc w:val="right"/>
              <w:textAlignment w:val="bottom"/>
            </w:pPr>
            <w:r>
              <w:rPr>
                <w:rFonts w:ascii="Arial" w:eastAsia="宋体" w:hAnsi="Arial" w:cs="Arial"/>
                <w:b/>
                <w:bCs/>
                <w:color w:val="262626"/>
                <w:sz w:val="18"/>
                <w:szCs w:val="18"/>
              </w:rPr>
              <w:t>33.4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27D" w14:textId="77777777" w:rsidR="0008009C" w:rsidRDefault="00936FDF">
            <w:pPr>
              <w:jc w:val="right"/>
              <w:textAlignment w:val="bottom"/>
            </w:pPr>
            <w:r>
              <w:rPr>
                <w:rFonts w:ascii="Arial" w:eastAsia="宋体" w:hAnsi="Arial" w:cs="Arial"/>
                <w:b/>
                <w:bCs/>
                <w:color w:val="262626"/>
                <w:sz w:val="18"/>
                <w:szCs w:val="18"/>
              </w:rPr>
              <w:t>%</w:t>
            </w:r>
          </w:p>
        </w:tc>
        <w:tc>
          <w:tcPr>
            <w:tcW w:w="0" w:type="auto"/>
            <w:shd w:val="clear" w:color="auto" w:fill="auto"/>
          </w:tcPr>
          <w:p w14:paraId="5C7C727E" w14:textId="77777777" w:rsidR="0008009C" w:rsidRDefault="0008009C">
            <w:pPr>
              <w:rPr>
                <w:rFonts w:ascii="宋体"/>
                <w:vanish/>
              </w:rPr>
            </w:pPr>
          </w:p>
        </w:tc>
        <w:tc>
          <w:tcPr>
            <w:tcW w:w="0" w:type="auto"/>
            <w:shd w:val="clear" w:color="auto" w:fill="auto"/>
          </w:tcPr>
          <w:p w14:paraId="5C7C727F" w14:textId="77777777" w:rsidR="0008009C" w:rsidRDefault="0008009C">
            <w:pPr>
              <w:rPr>
                <w:rFonts w:ascii="宋体"/>
                <w:vanish/>
              </w:rPr>
            </w:pPr>
          </w:p>
        </w:tc>
        <w:tc>
          <w:tcPr>
            <w:tcW w:w="0" w:type="auto"/>
            <w:gridSpan w:val="3"/>
            <w:shd w:val="clear" w:color="auto" w:fill="auto"/>
          </w:tcPr>
          <w:p w14:paraId="5C7C7280" w14:textId="77777777" w:rsidR="0008009C" w:rsidRDefault="0008009C">
            <w:pPr>
              <w:rPr>
                <w:rFonts w:ascii="宋体"/>
                <w:vanish/>
              </w:rPr>
            </w:pPr>
          </w:p>
        </w:tc>
        <w:tc>
          <w:tcPr>
            <w:tcW w:w="0" w:type="auto"/>
            <w:gridSpan w:val="3"/>
            <w:shd w:val="clear" w:color="auto" w:fill="auto"/>
          </w:tcPr>
          <w:p w14:paraId="5C7C7281" w14:textId="77777777" w:rsidR="0008009C" w:rsidRDefault="0008009C">
            <w:pPr>
              <w:rPr>
                <w:rFonts w:ascii="宋体"/>
                <w:vanish/>
              </w:rPr>
            </w:pPr>
          </w:p>
        </w:tc>
        <w:tc>
          <w:tcPr>
            <w:tcW w:w="0" w:type="auto"/>
            <w:gridSpan w:val="3"/>
            <w:shd w:val="clear" w:color="auto" w:fill="auto"/>
          </w:tcPr>
          <w:p w14:paraId="5C7C7282" w14:textId="77777777" w:rsidR="0008009C" w:rsidRDefault="0008009C">
            <w:pPr>
              <w:rPr>
                <w:rFonts w:ascii="宋体"/>
                <w:vanish/>
              </w:rPr>
            </w:pPr>
          </w:p>
        </w:tc>
        <w:tc>
          <w:tcPr>
            <w:tcW w:w="0" w:type="auto"/>
            <w:gridSpan w:val="3"/>
            <w:shd w:val="clear" w:color="auto" w:fill="auto"/>
          </w:tcPr>
          <w:p w14:paraId="5C7C7283" w14:textId="77777777" w:rsidR="0008009C" w:rsidRDefault="0008009C">
            <w:pPr>
              <w:rPr>
                <w:rFonts w:ascii="宋体"/>
                <w:vanish/>
              </w:rPr>
            </w:pPr>
          </w:p>
        </w:tc>
        <w:tc>
          <w:tcPr>
            <w:tcW w:w="0" w:type="auto"/>
            <w:gridSpan w:val="3"/>
            <w:shd w:val="clear" w:color="auto" w:fill="auto"/>
          </w:tcPr>
          <w:p w14:paraId="5C7C7284" w14:textId="77777777" w:rsidR="0008009C" w:rsidRDefault="0008009C">
            <w:pPr>
              <w:rPr>
                <w:rFonts w:ascii="宋体"/>
                <w:vanish/>
              </w:rPr>
            </w:pPr>
          </w:p>
        </w:tc>
        <w:tc>
          <w:tcPr>
            <w:tcW w:w="0" w:type="auto"/>
            <w:gridSpan w:val="3"/>
            <w:shd w:val="clear" w:color="auto" w:fill="auto"/>
          </w:tcPr>
          <w:p w14:paraId="5C7C7285" w14:textId="77777777" w:rsidR="0008009C" w:rsidRDefault="0008009C">
            <w:pPr>
              <w:rPr>
                <w:rFonts w:ascii="宋体"/>
                <w:vanish/>
              </w:rPr>
            </w:pPr>
          </w:p>
        </w:tc>
      </w:tr>
      <w:tr w:rsidR="0008009C" w14:paraId="5C7C729C" w14:textId="77777777">
        <w:tc>
          <w:tcPr>
            <w:tcW w:w="0" w:type="auto"/>
            <w:gridSpan w:val="3"/>
            <w:shd w:val="clear" w:color="auto" w:fill="auto"/>
            <w:tcMar>
              <w:top w:w="40" w:type="dxa"/>
              <w:left w:w="20" w:type="dxa"/>
              <w:bottom w:w="40" w:type="dxa"/>
              <w:right w:w="20" w:type="dxa"/>
            </w:tcMar>
          </w:tcPr>
          <w:p w14:paraId="5C7C7287" w14:textId="77777777" w:rsidR="0008009C" w:rsidRDefault="00936FDF">
            <w:pPr>
              <w:textAlignment w:val="top"/>
            </w:pPr>
            <w:r>
              <w:rPr>
                <w:rFonts w:ascii="Arial" w:eastAsia="宋体" w:hAnsi="Arial" w:cs="Arial"/>
                <w:color w:val="262626"/>
                <w:sz w:val="18"/>
                <w:szCs w:val="18"/>
              </w:rPr>
              <w:t>Provision for taxes</w:t>
            </w:r>
          </w:p>
        </w:tc>
        <w:tc>
          <w:tcPr>
            <w:tcW w:w="0" w:type="auto"/>
            <w:gridSpan w:val="3"/>
            <w:shd w:val="clear" w:color="auto" w:fill="auto"/>
            <w:tcMar>
              <w:top w:w="0" w:type="dxa"/>
              <w:left w:w="20" w:type="dxa"/>
              <w:bottom w:w="0" w:type="dxa"/>
              <w:right w:w="20" w:type="dxa"/>
            </w:tcMar>
          </w:tcPr>
          <w:p w14:paraId="5C7C728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89" w14:textId="77777777" w:rsidR="0008009C" w:rsidRDefault="00936FDF">
            <w:pPr>
              <w:jc w:val="right"/>
              <w:textAlignment w:val="bottom"/>
            </w:pPr>
            <w:r>
              <w:rPr>
                <w:rFonts w:ascii="Arial" w:eastAsia="宋体" w:hAnsi="Arial" w:cs="Arial"/>
                <w:color w:val="0068B5"/>
                <w:sz w:val="18"/>
                <w:szCs w:val="18"/>
              </w:rPr>
              <w:t>545 </w:t>
            </w:r>
          </w:p>
        </w:tc>
        <w:tc>
          <w:tcPr>
            <w:tcW w:w="0" w:type="auto"/>
            <w:shd w:val="clear" w:color="auto" w:fill="auto"/>
            <w:tcMar>
              <w:top w:w="40" w:type="dxa"/>
              <w:left w:w="0" w:type="dxa"/>
              <w:bottom w:w="40" w:type="dxa"/>
              <w:right w:w="20" w:type="dxa"/>
            </w:tcMar>
            <w:vAlign w:val="bottom"/>
          </w:tcPr>
          <w:p w14:paraId="5C7C728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8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8C" w14:textId="77777777" w:rsidR="0008009C" w:rsidRDefault="00936FDF">
            <w:pPr>
              <w:jc w:val="right"/>
              <w:textAlignment w:val="bottom"/>
            </w:pPr>
            <w:r>
              <w:rPr>
                <w:rFonts w:ascii="Arial" w:eastAsia="宋体" w:hAnsi="Arial" w:cs="Arial"/>
                <w:color w:val="0068B5"/>
                <w:sz w:val="18"/>
                <w:szCs w:val="18"/>
              </w:rPr>
              <w:t>2.8 </w:t>
            </w:r>
          </w:p>
        </w:tc>
        <w:tc>
          <w:tcPr>
            <w:tcW w:w="0" w:type="auto"/>
            <w:shd w:val="clear" w:color="auto" w:fill="auto"/>
            <w:tcMar>
              <w:top w:w="40" w:type="dxa"/>
              <w:left w:w="0" w:type="dxa"/>
              <w:bottom w:w="40" w:type="dxa"/>
              <w:right w:w="20" w:type="dxa"/>
            </w:tcMar>
            <w:vAlign w:val="bottom"/>
          </w:tcPr>
          <w:p w14:paraId="5C7C728D" w14:textId="77777777" w:rsidR="0008009C" w:rsidRDefault="00936FDF">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5C7C728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8F" w14:textId="77777777" w:rsidR="0008009C" w:rsidRDefault="00936FDF">
            <w:pPr>
              <w:jc w:val="right"/>
              <w:textAlignment w:val="bottom"/>
            </w:pPr>
            <w:r>
              <w:rPr>
                <w:rFonts w:ascii="Arial" w:eastAsia="宋体" w:hAnsi="Arial" w:cs="Arial"/>
                <w:color w:val="262626"/>
                <w:sz w:val="18"/>
                <w:szCs w:val="18"/>
              </w:rPr>
              <w:t>953 </w:t>
            </w:r>
          </w:p>
        </w:tc>
        <w:tc>
          <w:tcPr>
            <w:tcW w:w="0" w:type="auto"/>
            <w:shd w:val="clear" w:color="auto" w:fill="auto"/>
            <w:tcMar>
              <w:top w:w="40" w:type="dxa"/>
              <w:left w:w="0" w:type="dxa"/>
              <w:bottom w:w="40" w:type="dxa"/>
              <w:right w:w="20" w:type="dxa"/>
            </w:tcMar>
            <w:vAlign w:val="bottom"/>
          </w:tcPr>
          <w:p w14:paraId="5C7C729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9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292" w14:textId="77777777" w:rsidR="0008009C" w:rsidRDefault="00936FDF">
            <w:pPr>
              <w:jc w:val="right"/>
              <w:textAlignment w:val="bottom"/>
            </w:pPr>
            <w:r>
              <w:rPr>
                <w:rFonts w:ascii="Arial" w:eastAsia="宋体" w:hAnsi="Arial" w:cs="Arial"/>
                <w:color w:val="262626"/>
                <w:sz w:val="18"/>
                <w:szCs w:val="18"/>
              </w:rPr>
              <w:t>4.8 </w:t>
            </w:r>
          </w:p>
        </w:tc>
        <w:tc>
          <w:tcPr>
            <w:tcW w:w="0" w:type="auto"/>
            <w:shd w:val="clear" w:color="auto" w:fill="auto"/>
            <w:tcMar>
              <w:top w:w="40" w:type="dxa"/>
              <w:left w:w="0" w:type="dxa"/>
              <w:bottom w:w="40" w:type="dxa"/>
              <w:right w:w="20" w:type="dxa"/>
            </w:tcMar>
            <w:vAlign w:val="bottom"/>
          </w:tcPr>
          <w:p w14:paraId="5C7C7293" w14:textId="77777777" w:rsidR="0008009C" w:rsidRDefault="00936FDF">
            <w:pPr>
              <w:jc w:val="right"/>
              <w:textAlignment w:val="bottom"/>
            </w:pPr>
            <w:r>
              <w:rPr>
                <w:rFonts w:ascii="Arial" w:eastAsia="宋体" w:hAnsi="Arial" w:cs="Arial"/>
                <w:color w:val="262626"/>
                <w:sz w:val="18"/>
                <w:szCs w:val="18"/>
              </w:rPr>
              <w:t>%</w:t>
            </w:r>
          </w:p>
        </w:tc>
        <w:tc>
          <w:tcPr>
            <w:tcW w:w="0" w:type="auto"/>
            <w:shd w:val="clear" w:color="auto" w:fill="auto"/>
          </w:tcPr>
          <w:p w14:paraId="5C7C7294" w14:textId="77777777" w:rsidR="0008009C" w:rsidRDefault="0008009C">
            <w:pPr>
              <w:rPr>
                <w:rFonts w:ascii="宋体"/>
                <w:vanish/>
              </w:rPr>
            </w:pPr>
          </w:p>
        </w:tc>
        <w:tc>
          <w:tcPr>
            <w:tcW w:w="0" w:type="auto"/>
            <w:shd w:val="clear" w:color="auto" w:fill="auto"/>
          </w:tcPr>
          <w:p w14:paraId="5C7C7295" w14:textId="77777777" w:rsidR="0008009C" w:rsidRDefault="0008009C">
            <w:pPr>
              <w:rPr>
                <w:rFonts w:ascii="宋体"/>
                <w:vanish/>
              </w:rPr>
            </w:pPr>
          </w:p>
        </w:tc>
        <w:tc>
          <w:tcPr>
            <w:tcW w:w="0" w:type="auto"/>
            <w:gridSpan w:val="3"/>
            <w:shd w:val="clear" w:color="auto" w:fill="auto"/>
          </w:tcPr>
          <w:p w14:paraId="5C7C7296" w14:textId="77777777" w:rsidR="0008009C" w:rsidRDefault="0008009C">
            <w:pPr>
              <w:rPr>
                <w:rFonts w:ascii="宋体"/>
                <w:vanish/>
              </w:rPr>
            </w:pPr>
          </w:p>
        </w:tc>
        <w:tc>
          <w:tcPr>
            <w:tcW w:w="0" w:type="auto"/>
            <w:gridSpan w:val="3"/>
            <w:shd w:val="clear" w:color="auto" w:fill="auto"/>
          </w:tcPr>
          <w:p w14:paraId="5C7C7297" w14:textId="77777777" w:rsidR="0008009C" w:rsidRDefault="0008009C">
            <w:pPr>
              <w:rPr>
                <w:rFonts w:ascii="宋体"/>
                <w:vanish/>
              </w:rPr>
            </w:pPr>
          </w:p>
        </w:tc>
        <w:tc>
          <w:tcPr>
            <w:tcW w:w="0" w:type="auto"/>
            <w:gridSpan w:val="3"/>
            <w:shd w:val="clear" w:color="auto" w:fill="auto"/>
          </w:tcPr>
          <w:p w14:paraId="5C7C7298" w14:textId="77777777" w:rsidR="0008009C" w:rsidRDefault="0008009C">
            <w:pPr>
              <w:rPr>
                <w:rFonts w:ascii="宋体"/>
                <w:vanish/>
              </w:rPr>
            </w:pPr>
          </w:p>
        </w:tc>
        <w:tc>
          <w:tcPr>
            <w:tcW w:w="0" w:type="auto"/>
            <w:gridSpan w:val="3"/>
            <w:shd w:val="clear" w:color="auto" w:fill="auto"/>
          </w:tcPr>
          <w:p w14:paraId="5C7C7299" w14:textId="77777777" w:rsidR="0008009C" w:rsidRDefault="0008009C">
            <w:pPr>
              <w:rPr>
                <w:rFonts w:ascii="宋体"/>
                <w:vanish/>
              </w:rPr>
            </w:pPr>
          </w:p>
        </w:tc>
        <w:tc>
          <w:tcPr>
            <w:tcW w:w="0" w:type="auto"/>
            <w:gridSpan w:val="3"/>
            <w:shd w:val="clear" w:color="auto" w:fill="auto"/>
          </w:tcPr>
          <w:p w14:paraId="5C7C729A" w14:textId="77777777" w:rsidR="0008009C" w:rsidRDefault="0008009C">
            <w:pPr>
              <w:rPr>
                <w:rFonts w:ascii="宋体"/>
                <w:vanish/>
              </w:rPr>
            </w:pPr>
          </w:p>
        </w:tc>
        <w:tc>
          <w:tcPr>
            <w:tcW w:w="0" w:type="auto"/>
            <w:gridSpan w:val="3"/>
            <w:shd w:val="clear" w:color="auto" w:fill="auto"/>
          </w:tcPr>
          <w:p w14:paraId="5C7C729B" w14:textId="77777777" w:rsidR="0008009C" w:rsidRDefault="0008009C">
            <w:pPr>
              <w:rPr>
                <w:rFonts w:ascii="宋体"/>
                <w:vanish/>
              </w:rPr>
            </w:pPr>
          </w:p>
        </w:tc>
      </w:tr>
      <w:tr w:rsidR="0008009C" w14:paraId="5C7C72B4" w14:textId="77777777">
        <w:tc>
          <w:tcPr>
            <w:tcW w:w="0" w:type="auto"/>
            <w:gridSpan w:val="3"/>
            <w:shd w:val="clear" w:color="auto" w:fill="auto"/>
            <w:tcMar>
              <w:top w:w="40" w:type="dxa"/>
              <w:left w:w="20" w:type="dxa"/>
              <w:bottom w:w="40" w:type="dxa"/>
              <w:right w:w="20" w:type="dxa"/>
            </w:tcMar>
          </w:tcPr>
          <w:p w14:paraId="5C7C729D" w14:textId="77777777" w:rsidR="0008009C" w:rsidRDefault="00936FDF">
            <w:pPr>
              <w:textAlignment w:val="top"/>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tcPr>
          <w:p w14:paraId="5C7C729E"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729F"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72A0" w14:textId="77777777" w:rsidR="0008009C" w:rsidRDefault="00936FDF">
            <w:pPr>
              <w:jc w:val="right"/>
              <w:textAlignment w:val="bottom"/>
            </w:pPr>
            <w:r>
              <w:rPr>
                <w:rFonts w:ascii="Arial" w:eastAsia="宋体" w:hAnsi="Arial" w:cs="Arial"/>
                <w:b/>
                <w:bCs/>
                <w:color w:val="0068B5"/>
                <w:sz w:val="18"/>
                <w:szCs w:val="18"/>
              </w:rPr>
              <w:t>3,361</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2A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A2"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72A3" w14:textId="77777777" w:rsidR="0008009C" w:rsidRDefault="00936FDF">
            <w:pPr>
              <w:jc w:val="right"/>
              <w:textAlignment w:val="bottom"/>
            </w:pPr>
            <w:r>
              <w:rPr>
                <w:rFonts w:ascii="Arial" w:eastAsia="宋体" w:hAnsi="Arial" w:cs="Arial"/>
                <w:b/>
                <w:bCs/>
                <w:color w:val="0068B5"/>
                <w:sz w:val="18"/>
                <w:szCs w:val="18"/>
              </w:rPr>
              <w:t>17.1</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2A4" w14:textId="77777777" w:rsidR="0008009C" w:rsidRDefault="00936FDF">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tcPr>
          <w:p w14:paraId="5C7C72A5"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72A6"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72A7" w14:textId="77777777" w:rsidR="0008009C" w:rsidRDefault="00936FDF">
            <w:pPr>
              <w:jc w:val="right"/>
              <w:textAlignment w:val="bottom"/>
            </w:pPr>
            <w:r>
              <w:rPr>
                <w:rFonts w:ascii="Arial" w:eastAsia="宋体" w:hAnsi="Arial" w:cs="Arial"/>
                <w:b/>
                <w:bCs/>
                <w:color w:val="262626"/>
                <w:sz w:val="18"/>
                <w:szCs w:val="18"/>
              </w:rPr>
              <w:t>5,661</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2A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A9"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72AA" w14:textId="77777777" w:rsidR="0008009C" w:rsidRDefault="00936FDF">
            <w:pPr>
              <w:jc w:val="right"/>
              <w:textAlignment w:val="bottom"/>
            </w:pPr>
            <w:r>
              <w:rPr>
                <w:rFonts w:ascii="Arial" w:eastAsia="宋体" w:hAnsi="Arial" w:cs="Arial"/>
                <w:b/>
                <w:bCs/>
                <w:color w:val="262626"/>
                <w:sz w:val="18"/>
                <w:szCs w:val="18"/>
              </w:rPr>
              <w:t>28.6</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2AB" w14:textId="77777777" w:rsidR="0008009C" w:rsidRDefault="00936FDF">
            <w:pPr>
              <w:jc w:val="right"/>
              <w:textAlignment w:val="bottom"/>
            </w:pPr>
            <w:r>
              <w:rPr>
                <w:rFonts w:ascii="Arial" w:eastAsia="宋体" w:hAnsi="Arial" w:cs="Arial"/>
                <w:b/>
                <w:bCs/>
                <w:color w:val="262626"/>
                <w:sz w:val="18"/>
                <w:szCs w:val="18"/>
              </w:rPr>
              <w:t>%</w:t>
            </w:r>
          </w:p>
        </w:tc>
        <w:tc>
          <w:tcPr>
            <w:tcW w:w="0" w:type="auto"/>
            <w:shd w:val="clear" w:color="auto" w:fill="auto"/>
          </w:tcPr>
          <w:p w14:paraId="5C7C72AC" w14:textId="77777777" w:rsidR="0008009C" w:rsidRDefault="0008009C">
            <w:pPr>
              <w:rPr>
                <w:rFonts w:ascii="宋体"/>
                <w:vanish/>
              </w:rPr>
            </w:pPr>
          </w:p>
        </w:tc>
        <w:tc>
          <w:tcPr>
            <w:tcW w:w="0" w:type="auto"/>
            <w:shd w:val="clear" w:color="auto" w:fill="auto"/>
          </w:tcPr>
          <w:p w14:paraId="5C7C72AD" w14:textId="77777777" w:rsidR="0008009C" w:rsidRDefault="0008009C">
            <w:pPr>
              <w:rPr>
                <w:rFonts w:ascii="宋体"/>
                <w:vanish/>
              </w:rPr>
            </w:pPr>
          </w:p>
        </w:tc>
        <w:tc>
          <w:tcPr>
            <w:tcW w:w="0" w:type="auto"/>
            <w:gridSpan w:val="3"/>
            <w:shd w:val="clear" w:color="auto" w:fill="auto"/>
          </w:tcPr>
          <w:p w14:paraId="5C7C72AE" w14:textId="77777777" w:rsidR="0008009C" w:rsidRDefault="0008009C">
            <w:pPr>
              <w:rPr>
                <w:rFonts w:ascii="宋体"/>
                <w:vanish/>
              </w:rPr>
            </w:pPr>
          </w:p>
        </w:tc>
        <w:tc>
          <w:tcPr>
            <w:tcW w:w="0" w:type="auto"/>
            <w:gridSpan w:val="3"/>
            <w:shd w:val="clear" w:color="auto" w:fill="auto"/>
          </w:tcPr>
          <w:p w14:paraId="5C7C72AF" w14:textId="77777777" w:rsidR="0008009C" w:rsidRDefault="0008009C">
            <w:pPr>
              <w:rPr>
                <w:rFonts w:ascii="宋体"/>
                <w:vanish/>
              </w:rPr>
            </w:pPr>
          </w:p>
        </w:tc>
        <w:tc>
          <w:tcPr>
            <w:tcW w:w="0" w:type="auto"/>
            <w:gridSpan w:val="3"/>
            <w:shd w:val="clear" w:color="auto" w:fill="auto"/>
          </w:tcPr>
          <w:p w14:paraId="5C7C72B0" w14:textId="77777777" w:rsidR="0008009C" w:rsidRDefault="0008009C">
            <w:pPr>
              <w:rPr>
                <w:rFonts w:ascii="宋体"/>
                <w:vanish/>
              </w:rPr>
            </w:pPr>
          </w:p>
        </w:tc>
        <w:tc>
          <w:tcPr>
            <w:tcW w:w="0" w:type="auto"/>
            <w:gridSpan w:val="3"/>
            <w:shd w:val="clear" w:color="auto" w:fill="auto"/>
          </w:tcPr>
          <w:p w14:paraId="5C7C72B1" w14:textId="77777777" w:rsidR="0008009C" w:rsidRDefault="0008009C">
            <w:pPr>
              <w:rPr>
                <w:rFonts w:ascii="宋体"/>
                <w:vanish/>
              </w:rPr>
            </w:pPr>
          </w:p>
        </w:tc>
        <w:tc>
          <w:tcPr>
            <w:tcW w:w="0" w:type="auto"/>
            <w:gridSpan w:val="3"/>
            <w:shd w:val="clear" w:color="auto" w:fill="auto"/>
          </w:tcPr>
          <w:p w14:paraId="5C7C72B2" w14:textId="77777777" w:rsidR="0008009C" w:rsidRDefault="0008009C">
            <w:pPr>
              <w:rPr>
                <w:rFonts w:ascii="宋体"/>
                <w:vanish/>
              </w:rPr>
            </w:pPr>
          </w:p>
        </w:tc>
        <w:tc>
          <w:tcPr>
            <w:tcW w:w="0" w:type="auto"/>
            <w:gridSpan w:val="3"/>
            <w:shd w:val="clear" w:color="auto" w:fill="auto"/>
          </w:tcPr>
          <w:p w14:paraId="5C7C72B3" w14:textId="77777777" w:rsidR="0008009C" w:rsidRDefault="0008009C">
            <w:pPr>
              <w:rPr>
                <w:rFonts w:ascii="宋体"/>
                <w:vanish/>
              </w:rPr>
            </w:pPr>
          </w:p>
        </w:tc>
      </w:tr>
      <w:tr w:rsidR="0008009C" w14:paraId="5C7C72C6" w14:textId="77777777">
        <w:trPr>
          <w:hidden/>
        </w:trPr>
        <w:tc>
          <w:tcPr>
            <w:tcW w:w="0" w:type="auto"/>
            <w:gridSpan w:val="3"/>
            <w:shd w:val="clear" w:color="auto" w:fill="auto"/>
          </w:tcPr>
          <w:p w14:paraId="5C7C72B5" w14:textId="77777777" w:rsidR="0008009C" w:rsidRDefault="0008009C">
            <w:pPr>
              <w:rPr>
                <w:rFonts w:ascii="宋体"/>
                <w:vanish/>
              </w:rPr>
            </w:pPr>
          </w:p>
        </w:tc>
        <w:tc>
          <w:tcPr>
            <w:tcW w:w="0" w:type="auto"/>
            <w:gridSpan w:val="3"/>
            <w:shd w:val="clear" w:color="auto" w:fill="auto"/>
          </w:tcPr>
          <w:p w14:paraId="5C7C72B6" w14:textId="77777777" w:rsidR="0008009C" w:rsidRDefault="0008009C">
            <w:pPr>
              <w:rPr>
                <w:rFonts w:ascii="宋体"/>
                <w:vanish/>
              </w:rPr>
            </w:pPr>
          </w:p>
        </w:tc>
        <w:tc>
          <w:tcPr>
            <w:tcW w:w="0" w:type="auto"/>
            <w:gridSpan w:val="3"/>
            <w:shd w:val="clear" w:color="auto" w:fill="auto"/>
          </w:tcPr>
          <w:p w14:paraId="5C7C72B7" w14:textId="77777777" w:rsidR="0008009C" w:rsidRDefault="0008009C">
            <w:pPr>
              <w:rPr>
                <w:rFonts w:ascii="宋体"/>
                <w:vanish/>
              </w:rPr>
            </w:pPr>
          </w:p>
        </w:tc>
        <w:tc>
          <w:tcPr>
            <w:tcW w:w="0" w:type="auto"/>
            <w:gridSpan w:val="3"/>
            <w:shd w:val="clear" w:color="auto" w:fill="auto"/>
          </w:tcPr>
          <w:p w14:paraId="5C7C72B8" w14:textId="77777777" w:rsidR="0008009C" w:rsidRDefault="0008009C">
            <w:pPr>
              <w:rPr>
                <w:rFonts w:ascii="宋体"/>
                <w:vanish/>
              </w:rPr>
            </w:pPr>
          </w:p>
        </w:tc>
        <w:tc>
          <w:tcPr>
            <w:tcW w:w="0" w:type="auto"/>
            <w:gridSpan w:val="3"/>
            <w:shd w:val="clear" w:color="auto" w:fill="auto"/>
          </w:tcPr>
          <w:p w14:paraId="5C7C72B9" w14:textId="77777777" w:rsidR="0008009C" w:rsidRDefault="0008009C">
            <w:pPr>
              <w:rPr>
                <w:rFonts w:ascii="宋体"/>
                <w:vanish/>
              </w:rPr>
            </w:pPr>
          </w:p>
        </w:tc>
        <w:tc>
          <w:tcPr>
            <w:tcW w:w="0" w:type="auto"/>
            <w:gridSpan w:val="3"/>
            <w:shd w:val="clear" w:color="auto" w:fill="auto"/>
          </w:tcPr>
          <w:p w14:paraId="5C7C72BA" w14:textId="77777777" w:rsidR="0008009C" w:rsidRDefault="0008009C">
            <w:pPr>
              <w:rPr>
                <w:rFonts w:ascii="宋体"/>
                <w:vanish/>
              </w:rPr>
            </w:pPr>
          </w:p>
        </w:tc>
        <w:tc>
          <w:tcPr>
            <w:tcW w:w="0" w:type="auto"/>
            <w:gridSpan w:val="3"/>
            <w:shd w:val="clear" w:color="auto" w:fill="auto"/>
          </w:tcPr>
          <w:p w14:paraId="5C7C72BB" w14:textId="77777777" w:rsidR="0008009C" w:rsidRDefault="0008009C">
            <w:pPr>
              <w:rPr>
                <w:rFonts w:ascii="宋体"/>
                <w:vanish/>
              </w:rPr>
            </w:pPr>
          </w:p>
        </w:tc>
        <w:tc>
          <w:tcPr>
            <w:tcW w:w="0" w:type="auto"/>
            <w:gridSpan w:val="3"/>
            <w:shd w:val="clear" w:color="auto" w:fill="auto"/>
          </w:tcPr>
          <w:p w14:paraId="5C7C72BC" w14:textId="77777777" w:rsidR="0008009C" w:rsidRDefault="0008009C">
            <w:pPr>
              <w:rPr>
                <w:rFonts w:ascii="宋体"/>
                <w:vanish/>
              </w:rPr>
            </w:pPr>
          </w:p>
        </w:tc>
        <w:tc>
          <w:tcPr>
            <w:tcW w:w="0" w:type="auto"/>
            <w:gridSpan w:val="3"/>
            <w:shd w:val="clear" w:color="auto" w:fill="auto"/>
          </w:tcPr>
          <w:p w14:paraId="5C7C72BD" w14:textId="77777777" w:rsidR="0008009C" w:rsidRDefault="0008009C">
            <w:pPr>
              <w:rPr>
                <w:rFonts w:ascii="宋体"/>
                <w:vanish/>
              </w:rPr>
            </w:pPr>
          </w:p>
        </w:tc>
        <w:tc>
          <w:tcPr>
            <w:tcW w:w="0" w:type="auto"/>
            <w:shd w:val="clear" w:color="auto" w:fill="auto"/>
          </w:tcPr>
          <w:p w14:paraId="5C7C72BE" w14:textId="77777777" w:rsidR="0008009C" w:rsidRDefault="0008009C">
            <w:pPr>
              <w:rPr>
                <w:rFonts w:ascii="宋体"/>
                <w:vanish/>
              </w:rPr>
            </w:pPr>
          </w:p>
        </w:tc>
        <w:tc>
          <w:tcPr>
            <w:tcW w:w="0" w:type="auto"/>
            <w:shd w:val="clear" w:color="auto" w:fill="auto"/>
          </w:tcPr>
          <w:p w14:paraId="5C7C72BF" w14:textId="77777777" w:rsidR="0008009C" w:rsidRDefault="0008009C">
            <w:pPr>
              <w:rPr>
                <w:rFonts w:ascii="宋体"/>
                <w:vanish/>
              </w:rPr>
            </w:pPr>
          </w:p>
        </w:tc>
        <w:tc>
          <w:tcPr>
            <w:tcW w:w="0" w:type="auto"/>
            <w:gridSpan w:val="3"/>
            <w:shd w:val="clear" w:color="auto" w:fill="auto"/>
          </w:tcPr>
          <w:p w14:paraId="5C7C72C0" w14:textId="77777777" w:rsidR="0008009C" w:rsidRDefault="0008009C">
            <w:pPr>
              <w:rPr>
                <w:rFonts w:ascii="宋体"/>
                <w:vanish/>
              </w:rPr>
            </w:pPr>
          </w:p>
        </w:tc>
        <w:tc>
          <w:tcPr>
            <w:tcW w:w="0" w:type="auto"/>
            <w:gridSpan w:val="3"/>
            <w:shd w:val="clear" w:color="auto" w:fill="auto"/>
          </w:tcPr>
          <w:p w14:paraId="5C7C72C1" w14:textId="77777777" w:rsidR="0008009C" w:rsidRDefault="0008009C">
            <w:pPr>
              <w:rPr>
                <w:rFonts w:ascii="宋体"/>
                <w:vanish/>
              </w:rPr>
            </w:pPr>
          </w:p>
        </w:tc>
        <w:tc>
          <w:tcPr>
            <w:tcW w:w="0" w:type="auto"/>
            <w:gridSpan w:val="3"/>
            <w:shd w:val="clear" w:color="auto" w:fill="auto"/>
          </w:tcPr>
          <w:p w14:paraId="5C7C72C2" w14:textId="77777777" w:rsidR="0008009C" w:rsidRDefault="0008009C">
            <w:pPr>
              <w:rPr>
                <w:rFonts w:ascii="宋体"/>
                <w:vanish/>
              </w:rPr>
            </w:pPr>
          </w:p>
        </w:tc>
        <w:tc>
          <w:tcPr>
            <w:tcW w:w="0" w:type="auto"/>
            <w:gridSpan w:val="3"/>
            <w:shd w:val="clear" w:color="auto" w:fill="auto"/>
          </w:tcPr>
          <w:p w14:paraId="5C7C72C3" w14:textId="77777777" w:rsidR="0008009C" w:rsidRDefault="0008009C">
            <w:pPr>
              <w:rPr>
                <w:rFonts w:ascii="宋体"/>
                <w:vanish/>
              </w:rPr>
            </w:pPr>
          </w:p>
        </w:tc>
        <w:tc>
          <w:tcPr>
            <w:tcW w:w="0" w:type="auto"/>
            <w:gridSpan w:val="3"/>
            <w:shd w:val="clear" w:color="auto" w:fill="auto"/>
          </w:tcPr>
          <w:p w14:paraId="5C7C72C4" w14:textId="77777777" w:rsidR="0008009C" w:rsidRDefault="0008009C">
            <w:pPr>
              <w:rPr>
                <w:rFonts w:ascii="宋体"/>
                <w:vanish/>
              </w:rPr>
            </w:pPr>
          </w:p>
        </w:tc>
        <w:tc>
          <w:tcPr>
            <w:tcW w:w="0" w:type="auto"/>
            <w:gridSpan w:val="3"/>
            <w:shd w:val="clear" w:color="auto" w:fill="auto"/>
          </w:tcPr>
          <w:p w14:paraId="5C7C72C5" w14:textId="77777777" w:rsidR="0008009C" w:rsidRDefault="0008009C">
            <w:pPr>
              <w:rPr>
                <w:rFonts w:ascii="宋体"/>
                <w:vanish/>
              </w:rPr>
            </w:pPr>
          </w:p>
        </w:tc>
      </w:tr>
      <w:tr w:rsidR="0008009C" w14:paraId="5C7C72DC" w14:textId="77777777">
        <w:tc>
          <w:tcPr>
            <w:tcW w:w="0" w:type="auto"/>
            <w:gridSpan w:val="3"/>
            <w:shd w:val="clear" w:color="auto" w:fill="auto"/>
            <w:tcMar>
              <w:top w:w="40" w:type="dxa"/>
              <w:left w:w="20" w:type="dxa"/>
              <w:bottom w:w="40" w:type="dxa"/>
              <w:right w:w="20" w:type="dxa"/>
            </w:tcMar>
          </w:tcPr>
          <w:p w14:paraId="5C7C72C7" w14:textId="77777777" w:rsidR="0008009C" w:rsidRDefault="00936FDF">
            <w:pPr>
              <w:textAlignment w:val="top"/>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tcPr>
          <w:p w14:paraId="5C7C72C8" w14:textId="77777777" w:rsidR="0008009C" w:rsidRDefault="0008009C">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5C7C72C9" w14:textId="77777777" w:rsidR="0008009C" w:rsidRDefault="00936FDF">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5C7C72CA" w14:textId="77777777" w:rsidR="0008009C" w:rsidRDefault="00936FDF">
            <w:pPr>
              <w:jc w:val="right"/>
              <w:textAlignment w:val="bottom"/>
            </w:pPr>
            <w:r>
              <w:rPr>
                <w:rFonts w:ascii="Arial" w:eastAsia="宋体" w:hAnsi="Arial" w:cs="Arial"/>
                <w:b/>
                <w:bCs/>
                <w:color w:val="0068B5"/>
                <w:sz w:val="18"/>
                <w:szCs w:val="18"/>
              </w:rPr>
              <w:t>0.82</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5C7C72C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CC"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72C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2CE" w14:textId="77777777" w:rsidR="0008009C" w:rsidRDefault="0008009C">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5C7C72CF" w14:textId="77777777" w:rsidR="0008009C" w:rsidRDefault="00936FDF">
            <w:pPr>
              <w:textAlignment w:val="bottom"/>
            </w:pPr>
            <w:r>
              <w:rPr>
                <w:rFonts w:ascii="Arial" w:eastAsia="宋体" w:hAnsi="Arial" w:cs="Arial"/>
                <w:b/>
                <w:bCs/>
                <w:color w:val="262626"/>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5C7C72D0" w14:textId="77777777" w:rsidR="0008009C" w:rsidRDefault="00936FDF">
            <w:pPr>
              <w:jc w:val="right"/>
              <w:textAlignment w:val="bottom"/>
            </w:pPr>
            <w:r>
              <w:rPr>
                <w:rFonts w:ascii="Arial" w:eastAsia="宋体" w:hAnsi="Arial" w:cs="Arial"/>
                <w:b/>
                <w:bCs/>
                <w:color w:val="262626"/>
                <w:sz w:val="18"/>
                <w:szCs w:val="18"/>
              </w:rPr>
              <w:t>1.31</w:t>
            </w:r>
            <w:r>
              <w:rPr>
                <w:rFonts w:ascii="Arial" w:eastAsia="宋体" w:hAnsi="Arial" w:cs="Arial"/>
                <w:color w:val="262626"/>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5C7C72D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2D2"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72D3" w14:textId="77777777" w:rsidR="0008009C" w:rsidRDefault="0008009C">
            <w:pPr>
              <w:rPr>
                <w:rFonts w:ascii="宋体"/>
              </w:rPr>
            </w:pPr>
          </w:p>
        </w:tc>
        <w:tc>
          <w:tcPr>
            <w:tcW w:w="0" w:type="auto"/>
            <w:shd w:val="clear" w:color="auto" w:fill="auto"/>
          </w:tcPr>
          <w:p w14:paraId="5C7C72D4" w14:textId="77777777" w:rsidR="0008009C" w:rsidRDefault="0008009C">
            <w:pPr>
              <w:rPr>
                <w:rFonts w:ascii="宋体"/>
                <w:vanish/>
              </w:rPr>
            </w:pPr>
          </w:p>
        </w:tc>
        <w:tc>
          <w:tcPr>
            <w:tcW w:w="0" w:type="auto"/>
            <w:shd w:val="clear" w:color="auto" w:fill="auto"/>
          </w:tcPr>
          <w:p w14:paraId="5C7C72D5" w14:textId="77777777" w:rsidR="0008009C" w:rsidRDefault="0008009C">
            <w:pPr>
              <w:rPr>
                <w:rFonts w:ascii="宋体"/>
                <w:vanish/>
              </w:rPr>
            </w:pPr>
          </w:p>
        </w:tc>
        <w:tc>
          <w:tcPr>
            <w:tcW w:w="0" w:type="auto"/>
            <w:gridSpan w:val="3"/>
            <w:shd w:val="clear" w:color="auto" w:fill="auto"/>
          </w:tcPr>
          <w:p w14:paraId="5C7C72D6" w14:textId="77777777" w:rsidR="0008009C" w:rsidRDefault="0008009C">
            <w:pPr>
              <w:rPr>
                <w:rFonts w:ascii="宋体"/>
                <w:vanish/>
              </w:rPr>
            </w:pPr>
          </w:p>
        </w:tc>
        <w:tc>
          <w:tcPr>
            <w:tcW w:w="0" w:type="auto"/>
            <w:gridSpan w:val="3"/>
            <w:shd w:val="clear" w:color="auto" w:fill="auto"/>
          </w:tcPr>
          <w:p w14:paraId="5C7C72D7" w14:textId="77777777" w:rsidR="0008009C" w:rsidRDefault="0008009C">
            <w:pPr>
              <w:rPr>
                <w:rFonts w:ascii="宋体"/>
                <w:vanish/>
              </w:rPr>
            </w:pPr>
          </w:p>
        </w:tc>
        <w:tc>
          <w:tcPr>
            <w:tcW w:w="0" w:type="auto"/>
            <w:gridSpan w:val="3"/>
            <w:shd w:val="clear" w:color="auto" w:fill="auto"/>
          </w:tcPr>
          <w:p w14:paraId="5C7C72D8" w14:textId="77777777" w:rsidR="0008009C" w:rsidRDefault="0008009C">
            <w:pPr>
              <w:rPr>
                <w:rFonts w:ascii="宋体"/>
                <w:vanish/>
              </w:rPr>
            </w:pPr>
          </w:p>
        </w:tc>
        <w:tc>
          <w:tcPr>
            <w:tcW w:w="0" w:type="auto"/>
            <w:gridSpan w:val="3"/>
            <w:shd w:val="clear" w:color="auto" w:fill="auto"/>
          </w:tcPr>
          <w:p w14:paraId="5C7C72D9" w14:textId="77777777" w:rsidR="0008009C" w:rsidRDefault="0008009C">
            <w:pPr>
              <w:rPr>
                <w:rFonts w:ascii="宋体"/>
                <w:vanish/>
              </w:rPr>
            </w:pPr>
          </w:p>
        </w:tc>
        <w:tc>
          <w:tcPr>
            <w:tcW w:w="0" w:type="auto"/>
            <w:gridSpan w:val="3"/>
            <w:shd w:val="clear" w:color="auto" w:fill="auto"/>
          </w:tcPr>
          <w:p w14:paraId="5C7C72DA" w14:textId="77777777" w:rsidR="0008009C" w:rsidRDefault="0008009C">
            <w:pPr>
              <w:rPr>
                <w:rFonts w:ascii="宋体"/>
                <w:vanish/>
              </w:rPr>
            </w:pPr>
          </w:p>
        </w:tc>
        <w:tc>
          <w:tcPr>
            <w:tcW w:w="0" w:type="auto"/>
            <w:gridSpan w:val="3"/>
            <w:shd w:val="clear" w:color="auto" w:fill="auto"/>
          </w:tcPr>
          <w:p w14:paraId="5C7C72DB" w14:textId="77777777" w:rsidR="0008009C" w:rsidRDefault="0008009C">
            <w:pPr>
              <w:rPr>
                <w:rFonts w:ascii="宋体"/>
                <w:vanish/>
              </w:rPr>
            </w:pPr>
          </w:p>
        </w:tc>
      </w:tr>
    </w:tbl>
    <w:p w14:paraId="5C7C72DD"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08009C" w14:paraId="5C7C72E7" w14:textId="77777777">
        <w:tc>
          <w:tcPr>
            <w:tcW w:w="50" w:type="pct"/>
            <w:shd w:val="clear" w:color="auto" w:fill="auto"/>
            <w:vAlign w:val="bottom"/>
          </w:tcPr>
          <w:p w14:paraId="5C7C72DE" w14:textId="77777777" w:rsidR="0008009C" w:rsidRDefault="0008009C">
            <w:pPr>
              <w:rPr>
                <w:rFonts w:ascii="宋体"/>
              </w:rPr>
            </w:pPr>
          </w:p>
        </w:tc>
        <w:tc>
          <w:tcPr>
            <w:tcW w:w="212" w:type="pct"/>
            <w:shd w:val="clear" w:color="auto" w:fill="auto"/>
            <w:vAlign w:val="bottom"/>
          </w:tcPr>
          <w:p w14:paraId="5C7C72DF" w14:textId="77777777" w:rsidR="0008009C" w:rsidRDefault="0008009C">
            <w:pPr>
              <w:rPr>
                <w:rFonts w:ascii="宋体"/>
              </w:rPr>
            </w:pPr>
          </w:p>
        </w:tc>
        <w:tc>
          <w:tcPr>
            <w:tcW w:w="5" w:type="pct"/>
            <w:shd w:val="clear" w:color="auto" w:fill="auto"/>
            <w:vAlign w:val="bottom"/>
          </w:tcPr>
          <w:p w14:paraId="5C7C72E0" w14:textId="77777777" w:rsidR="0008009C" w:rsidRDefault="0008009C">
            <w:pPr>
              <w:rPr>
                <w:rFonts w:ascii="宋体"/>
              </w:rPr>
            </w:pPr>
          </w:p>
        </w:tc>
        <w:tc>
          <w:tcPr>
            <w:tcW w:w="50" w:type="pct"/>
            <w:shd w:val="clear" w:color="auto" w:fill="auto"/>
            <w:vAlign w:val="bottom"/>
          </w:tcPr>
          <w:p w14:paraId="5C7C72E1" w14:textId="77777777" w:rsidR="0008009C" w:rsidRDefault="0008009C">
            <w:pPr>
              <w:rPr>
                <w:rFonts w:ascii="宋体"/>
              </w:rPr>
            </w:pPr>
          </w:p>
        </w:tc>
        <w:tc>
          <w:tcPr>
            <w:tcW w:w="2499" w:type="pct"/>
            <w:shd w:val="clear" w:color="auto" w:fill="auto"/>
            <w:vAlign w:val="bottom"/>
          </w:tcPr>
          <w:p w14:paraId="5C7C72E2" w14:textId="77777777" w:rsidR="0008009C" w:rsidRDefault="0008009C">
            <w:pPr>
              <w:rPr>
                <w:rFonts w:ascii="宋体"/>
              </w:rPr>
            </w:pPr>
          </w:p>
        </w:tc>
        <w:tc>
          <w:tcPr>
            <w:tcW w:w="5" w:type="pct"/>
            <w:shd w:val="clear" w:color="auto" w:fill="auto"/>
            <w:vAlign w:val="bottom"/>
          </w:tcPr>
          <w:p w14:paraId="5C7C72E3" w14:textId="77777777" w:rsidR="0008009C" w:rsidRDefault="0008009C">
            <w:pPr>
              <w:rPr>
                <w:rFonts w:ascii="宋体"/>
              </w:rPr>
            </w:pPr>
          </w:p>
        </w:tc>
        <w:tc>
          <w:tcPr>
            <w:tcW w:w="50" w:type="pct"/>
            <w:shd w:val="clear" w:color="auto" w:fill="auto"/>
            <w:vAlign w:val="bottom"/>
          </w:tcPr>
          <w:p w14:paraId="5C7C72E4" w14:textId="77777777" w:rsidR="0008009C" w:rsidRDefault="0008009C">
            <w:pPr>
              <w:rPr>
                <w:rFonts w:ascii="宋体"/>
              </w:rPr>
            </w:pPr>
          </w:p>
        </w:tc>
        <w:tc>
          <w:tcPr>
            <w:tcW w:w="2122" w:type="pct"/>
            <w:shd w:val="clear" w:color="auto" w:fill="auto"/>
            <w:vAlign w:val="bottom"/>
          </w:tcPr>
          <w:p w14:paraId="5C7C72E5" w14:textId="77777777" w:rsidR="0008009C" w:rsidRDefault="0008009C">
            <w:pPr>
              <w:rPr>
                <w:rFonts w:ascii="宋体"/>
              </w:rPr>
            </w:pPr>
          </w:p>
        </w:tc>
        <w:tc>
          <w:tcPr>
            <w:tcW w:w="5" w:type="pct"/>
            <w:shd w:val="clear" w:color="auto" w:fill="auto"/>
            <w:vAlign w:val="bottom"/>
          </w:tcPr>
          <w:p w14:paraId="5C7C72E6" w14:textId="77777777" w:rsidR="0008009C" w:rsidRDefault="0008009C">
            <w:pPr>
              <w:rPr>
                <w:rFonts w:ascii="宋体"/>
              </w:rPr>
            </w:pPr>
          </w:p>
        </w:tc>
      </w:tr>
      <w:tr w:rsidR="0008009C" w14:paraId="5C7C72EB"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72E8"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52" wp14:editId="5C7C7D53">
                  <wp:extent cx="304800" cy="304800"/>
                  <wp:effectExtent l="0" t="0" r="0" b="0"/>
                  <wp:docPr id="81" name="图片 105"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05"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2E9" w14:textId="77777777" w:rsidR="0008009C" w:rsidRDefault="00936FDF">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2EA" w14:textId="77777777" w:rsidR="0008009C" w:rsidRDefault="00936FDF">
            <w:pPr>
              <w:jc w:val="right"/>
              <w:textAlignment w:val="center"/>
            </w:pPr>
            <w:r>
              <w:rPr>
                <w:rFonts w:ascii="Arial" w:eastAsia="宋体" w:hAnsi="Arial" w:cs="Arial"/>
                <w:color w:val="262626"/>
                <w:sz w:val="16"/>
                <w:szCs w:val="16"/>
              </w:rPr>
              <w:t>28</w:t>
            </w:r>
          </w:p>
        </w:tc>
      </w:tr>
    </w:tbl>
    <w:p w14:paraId="5C7C72EC" w14:textId="77777777" w:rsidR="0008009C" w:rsidRDefault="00936FDF">
      <w:r>
        <w:pict w14:anchorId="5C7C7D54">
          <v:rect id="_x0000_i1054" style="width:415.3pt;height:1.5pt" o:hralign="center" o:hrstd="t" o:hr="t" fillcolor="#a0a0a0" stroked="f"/>
        </w:pict>
      </w:r>
    </w:p>
    <w:p w14:paraId="5C7C72ED" w14:textId="77777777" w:rsidR="0008009C" w:rsidRDefault="00936FDF">
      <w:pPr>
        <w:spacing w:after="180"/>
        <w:jc w:val="right"/>
      </w:pPr>
      <w:hyperlink r:id="rId53" w:anchor="i3a00378f6cc84b1c9cfc83239548ad53_7" w:history="1">
        <w:r>
          <w:rPr>
            <w:rStyle w:val="a5"/>
            <w:rFonts w:ascii="Arial" w:eastAsia="宋体" w:hAnsi="Arial" w:cs="Arial"/>
            <w:b/>
            <w:bCs/>
            <w:sz w:val="16"/>
            <w:szCs w:val="16"/>
          </w:rPr>
          <w:t>Table of Contents</w:t>
        </w:r>
      </w:hyperlink>
    </w:p>
    <w:p w14:paraId="5C7C72EE" w14:textId="77777777" w:rsidR="0008009C" w:rsidRDefault="0008009C">
      <w:pPr>
        <w:spacing w:after="180"/>
        <w:jc w:val="right"/>
      </w:pPr>
    </w:p>
    <w:p w14:paraId="5C7C72EF" w14:textId="77777777" w:rsidR="0008009C" w:rsidRDefault="00936FDF">
      <w:pPr>
        <w:spacing w:after="180"/>
      </w:pPr>
      <w:r>
        <w:rPr>
          <w:rFonts w:ascii="Arial" w:eastAsia="宋体" w:hAnsi="Arial" w:cs="Arial"/>
          <w:color w:val="0068B5"/>
          <w:sz w:val="28"/>
          <w:szCs w:val="28"/>
        </w:rPr>
        <w:t>Revenue</w:t>
      </w:r>
    </w:p>
    <w:tbl>
      <w:tblPr>
        <w:tblW w:w="5000" w:type="pct"/>
        <w:tblCellMar>
          <w:top w:w="15" w:type="dxa"/>
          <w:left w:w="15" w:type="dxa"/>
          <w:bottom w:w="15" w:type="dxa"/>
          <w:right w:w="15" w:type="dxa"/>
        </w:tblCellMar>
        <w:tblLook w:val="04A0" w:firstRow="1" w:lastRow="0" w:firstColumn="1" w:lastColumn="0" w:noHBand="0" w:noVBand="1"/>
      </w:tblPr>
      <w:tblGrid>
        <w:gridCol w:w="36"/>
        <w:gridCol w:w="49"/>
        <w:gridCol w:w="36"/>
        <w:gridCol w:w="60"/>
        <w:gridCol w:w="3939"/>
        <w:gridCol w:w="37"/>
        <w:gridCol w:w="60"/>
        <w:gridCol w:w="3939"/>
        <w:gridCol w:w="36"/>
        <w:gridCol w:w="36"/>
        <w:gridCol w:w="36"/>
        <w:gridCol w:w="36"/>
        <w:gridCol w:w="36"/>
      </w:tblGrid>
      <w:tr w:rsidR="0008009C" w14:paraId="5C7C72FB" w14:textId="77777777">
        <w:tc>
          <w:tcPr>
            <w:tcW w:w="5" w:type="pct"/>
            <w:shd w:val="clear" w:color="auto" w:fill="auto"/>
          </w:tcPr>
          <w:p w14:paraId="5C7C72F0" w14:textId="77777777" w:rsidR="0008009C" w:rsidRDefault="0008009C">
            <w:pPr>
              <w:rPr>
                <w:rFonts w:ascii="宋体"/>
              </w:rPr>
            </w:pPr>
          </w:p>
        </w:tc>
        <w:tc>
          <w:tcPr>
            <w:tcW w:w="44" w:type="pct"/>
            <w:shd w:val="clear" w:color="auto" w:fill="auto"/>
          </w:tcPr>
          <w:p w14:paraId="5C7C72F1" w14:textId="77777777" w:rsidR="0008009C" w:rsidRDefault="0008009C">
            <w:pPr>
              <w:rPr>
                <w:rFonts w:ascii="宋体"/>
              </w:rPr>
            </w:pPr>
          </w:p>
        </w:tc>
        <w:tc>
          <w:tcPr>
            <w:tcW w:w="5" w:type="pct"/>
            <w:shd w:val="clear" w:color="auto" w:fill="auto"/>
          </w:tcPr>
          <w:p w14:paraId="5C7C72F2" w14:textId="77777777" w:rsidR="0008009C" w:rsidRDefault="0008009C">
            <w:pPr>
              <w:rPr>
                <w:rFonts w:ascii="宋体"/>
              </w:rPr>
            </w:pPr>
          </w:p>
        </w:tc>
        <w:tc>
          <w:tcPr>
            <w:tcW w:w="50" w:type="pct"/>
            <w:shd w:val="clear" w:color="auto" w:fill="auto"/>
          </w:tcPr>
          <w:p w14:paraId="5C7C72F3" w14:textId="77777777" w:rsidR="0008009C" w:rsidRDefault="0008009C">
            <w:pPr>
              <w:rPr>
                <w:rFonts w:ascii="宋体"/>
              </w:rPr>
            </w:pPr>
          </w:p>
        </w:tc>
        <w:tc>
          <w:tcPr>
            <w:tcW w:w="2417" w:type="pct"/>
            <w:shd w:val="clear" w:color="auto" w:fill="auto"/>
          </w:tcPr>
          <w:p w14:paraId="5C7C72F4" w14:textId="77777777" w:rsidR="0008009C" w:rsidRDefault="0008009C">
            <w:pPr>
              <w:rPr>
                <w:rFonts w:ascii="宋体"/>
              </w:rPr>
            </w:pPr>
          </w:p>
        </w:tc>
        <w:tc>
          <w:tcPr>
            <w:tcW w:w="5" w:type="pct"/>
            <w:shd w:val="clear" w:color="auto" w:fill="auto"/>
          </w:tcPr>
          <w:p w14:paraId="5C7C72F5" w14:textId="77777777" w:rsidR="0008009C" w:rsidRDefault="0008009C">
            <w:pPr>
              <w:rPr>
                <w:rFonts w:ascii="宋体"/>
              </w:rPr>
            </w:pPr>
          </w:p>
        </w:tc>
        <w:tc>
          <w:tcPr>
            <w:tcW w:w="50" w:type="pct"/>
            <w:shd w:val="clear" w:color="auto" w:fill="auto"/>
          </w:tcPr>
          <w:p w14:paraId="5C7C72F6" w14:textId="77777777" w:rsidR="0008009C" w:rsidRDefault="0008009C">
            <w:pPr>
              <w:rPr>
                <w:rFonts w:ascii="宋体"/>
              </w:rPr>
            </w:pPr>
          </w:p>
        </w:tc>
        <w:tc>
          <w:tcPr>
            <w:tcW w:w="2417" w:type="pct"/>
            <w:shd w:val="clear" w:color="auto" w:fill="auto"/>
          </w:tcPr>
          <w:p w14:paraId="5C7C72F7" w14:textId="77777777" w:rsidR="0008009C" w:rsidRDefault="0008009C">
            <w:pPr>
              <w:rPr>
                <w:rFonts w:ascii="宋体"/>
              </w:rPr>
            </w:pPr>
          </w:p>
        </w:tc>
        <w:tc>
          <w:tcPr>
            <w:tcW w:w="5" w:type="pct"/>
            <w:shd w:val="clear" w:color="auto" w:fill="auto"/>
          </w:tcPr>
          <w:p w14:paraId="5C7C72F8" w14:textId="77777777" w:rsidR="0008009C" w:rsidRDefault="0008009C">
            <w:pPr>
              <w:rPr>
                <w:rFonts w:ascii="宋体"/>
              </w:rPr>
            </w:pPr>
          </w:p>
        </w:tc>
        <w:tc>
          <w:tcPr>
            <w:tcW w:w="0" w:type="auto"/>
            <w:shd w:val="clear" w:color="auto" w:fill="auto"/>
          </w:tcPr>
          <w:p w14:paraId="5C7C72F9" w14:textId="77777777" w:rsidR="0008009C" w:rsidRDefault="0008009C">
            <w:pPr>
              <w:rPr>
                <w:rFonts w:ascii="宋体"/>
                <w:vanish/>
              </w:rPr>
            </w:pPr>
          </w:p>
        </w:tc>
        <w:tc>
          <w:tcPr>
            <w:tcW w:w="0" w:type="auto"/>
            <w:gridSpan w:val="3"/>
            <w:shd w:val="clear" w:color="auto" w:fill="auto"/>
          </w:tcPr>
          <w:p w14:paraId="5C7C72FA" w14:textId="77777777" w:rsidR="0008009C" w:rsidRDefault="0008009C">
            <w:pPr>
              <w:rPr>
                <w:rFonts w:ascii="宋体"/>
                <w:vanish/>
              </w:rPr>
            </w:pPr>
          </w:p>
        </w:tc>
      </w:tr>
      <w:tr w:rsidR="0008009C" w14:paraId="5C7C7302" w14:textId="77777777">
        <w:tc>
          <w:tcPr>
            <w:tcW w:w="0" w:type="auto"/>
            <w:gridSpan w:val="3"/>
            <w:tcBorders>
              <w:bottom w:val="single" w:sz="8" w:space="0" w:color="333333"/>
            </w:tcBorders>
            <w:shd w:val="clear" w:color="auto" w:fill="auto"/>
            <w:tcMar>
              <w:top w:w="0" w:type="dxa"/>
              <w:left w:w="20" w:type="dxa"/>
              <w:bottom w:w="0" w:type="dxa"/>
              <w:right w:w="20" w:type="dxa"/>
            </w:tcMar>
          </w:tcPr>
          <w:p w14:paraId="5C7C72FC" w14:textId="77777777" w:rsidR="0008009C" w:rsidRDefault="0008009C">
            <w:pPr>
              <w:rPr>
                <w:rFonts w:ascii="宋体"/>
              </w:rPr>
            </w:pPr>
          </w:p>
        </w:tc>
        <w:tc>
          <w:tcPr>
            <w:tcW w:w="0" w:type="auto"/>
            <w:gridSpan w:val="6"/>
            <w:tcBorders>
              <w:bottom w:val="single" w:sz="8" w:space="0" w:color="262626"/>
            </w:tcBorders>
            <w:shd w:val="clear" w:color="auto" w:fill="auto"/>
            <w:tcMar>
              <w:top w:w="40" w:type="dxa"/>
              <w:left w:w="20" w:type="dxa"/>
              <w:bottom w:w="40" w:type="dxa"/>
              <w:right w:w="20" w:type="dxa"/>
            </w:tcMar>
            <w:vAlign w:val="center"/>
          </w:tcPr>
          <w:p w14:paraId="5C7C72FD" w14:textId="77777777" w:rsidR="0008009C" w:rsidRDefault="00936FDF">
            <w:pPr>
              <w:jc w:val="center"/>
              <w:textAlignment w:val="center"/>
            </w:pPr>
            <w:r>
              <w:rPr>
                <w:rFonts w:ascii="Arial" w:eastAsia="宋体" w:hAnsi="Arial" w:cs="Arial"/>
                <w:color w:val="0068B5"/>
                <w:sz w:val="20"/>
                <w:szCs w:val="20"/>
              </w:rPr>
              <w:t>Segment Revenue Walk $B</w:t>
            </w:r>
          </w:p>
        </w:tc>
        <w:tc>
          <w:tcPr>
            <w:tcW w:w="0" w:type="auto"/>
            <w:shd w:val="clear" w:color="auto" w:fill="auto"/>
          </w:tcPr>
          <w:p w14:paraId="5C7C72FE" w14:textId="77777777" w:rsidR="0008009C" w:rsidRDefault="0008009C">
            <w:pPr>
              <w:rPr>
                <w:rFonts w:ascii="宋体"/>
                <w:vanish/>
              </w:rPr>
            </w:pPr>
          </w:p>
        </w:tc>
        <w:tc>
          <w:tcPr>
            <w:tcW w:w="0" w:type="auto"/>
            <w:shd w:val="clear" w:color="auto" w:fill="auto"/>
          </w:tcPr>
          <w:p w14:paraId="5C7C72FF" w14:textId="77777777" w:rsidR="0008009C" w:rsidRDefault="0008009C">
            <w:pPr>
              <w:rPr>
                <w:rFonts w:ascii="宋体"/>
              </w:rPr>
            </w:pPr>
          </w:p>
        </w:tc>
        <w:tc>
          <w:tcPr>
            <w:tcW w:w="0" w:type="auto"/>
            <w:shd w:val="clear" w:color="auto" w:fill="auto"/>
          </w:tcPr>
          <w:p w14:paraId="5C7C7300" w14:textId="77777777" w:rsidR="0008009C" w:rsidRDefault="0008009C">
            <w:pPr>
              <w:rPr>
                <w:rFonts w:ascii="宋体"/>
              </w:rPr>
            </w:pPr>
          </w:p>
        </w:tc>
        <w:tc>
          <w:tcPr>
            <w:tcW w:w="0" w:type="auto"/>
            <w:shd w:val="clear" w:color="auto" w:fill="auto"/>
          </w:tcPr>
          <w:p w14:paraId="5C7C7301" w14:textId="77777777" w:rsidR="0008009C" w:rsidRDefault="0008009C">
            <w:pPr>
              <w:rPr>
                <w:rFonts w:ascii="宋体"/>
              </w:rPr>
            </w:pPr>
          </w:p>
        </w:tc>
      </w:tr>
      <w:tr w:rsidR="0008009C" w14:paraId="5C7C7308" w14:textId="77777777">
        <w:trPr>
          <w:hidden/>
        </w:trPr>
        <w:tc>
          <w:tcPr>
            <w:tcW w:w="0" w:type="auto"/>
            <w:gridSpan w:val="3"/>
            <w:shd w:val="clear" w:color="auto" w:fill="auto"/>
          </w:tcPr>
          <w:p w14:paraId="5C7C7303" w14:textId="77777777" w:rsidR="0008009C" w:rsidRDefault="0008009C">
            <w:pPr>
              <w:rPr>
                <w:rFonts w:ascii="宋体"/>
                <w:vanish/>
              </w:rPr>
            </w:pPr>
          </w:p>
        </w:tc>
        <w:tc>
          <w:tcPr>
            <w:tcW w:w="0" w:type="auto"/>
            <w:gridSpan w:val="3"/>
            <w:shd w:val="clear" w:color="auto" w:fill="auto"/>
          </w:tcPr>
          <w:p w14:paraId="5C7C7304" w14:textId="77777777" w:rsidR="0008009C" w:rsidRDefault="0008009C">
            <w:pPr>
              <w:rPr>
                <w:rFonts w:ascii="宋体"/>
                <w:vanish/>
              </w:rPr>
            </w:pPr>
          </w:p>
        </w:tc>
        <w:tc>
          <w:tcPr>
            <w:tcW w:w="0" w:type="auto"/>
            <w:gridSpan w:val="3"/>
            <w:shd w:val="clear" w:color="auto" w:fill="auto"/>
          </w:tcPr>
          <w:p w14:paraId="5C7C7305" w14:textId="77777777" w:rsidR="0008009C" w:rsidRDefault="0008009C">
            <w:pPr>
              <w:rPr>
                <w:rFonts w:ascii="宋体"/>
                <w:vanish/>
              </w:rPr>
            </w:pPr>
          </w:p>
        </w:tc>
        <w:tc>
          <w:tcPr>
            <w:tcW w:w="0" w:type="auto"/>
            <w:shd w:val="clear" w:color="auto" w:fill="auto"/>
          </w:tcPr>
          <w:p w14:paraId="5C7C7306" w14:textId="77777777" w:rsidR="0008009C" w:rsidRDefault="0008009C">
            <w:pPr>
              <w:rPr>
                <w:rFonts w:ascii="宋体"/>
                <w:vanish/>
              </w:rPr>
            </w:pPr>
          </w:p>
        </w:tc>
        <w:tc>
          <w:tcPr>
            <w:tcW w:w="0" w:type="auto"/>
            <w:gridSpan w:val="3"/>
            <w:shd w:val="clear" w:color="auto" w:fill="auto"/>
          </w:tcPr>
          <w:p w14:paraId="5C7C7307" w14:textId="77777777" w:rsidR="0008009C" w:rsidRDefault="0008009C">
            <w:pPr>
              <w:rPr>
                <w:rFonts w:ascii="宋体"/>
                <w:vanish/>
              </w:rPr>
            </w:pPr>
          </w:p>
        </w:tc>
      </w:tr>
    </w:tbl>
    <w:p w14:paraId="5C7C7309" w14:textId="77777777" w:rsidR="0008009C" w:rsidRDefault="00936FDF">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55" wp14:editId="5C7C7D56">
            <wp:extent cx="304800" cy="304800"/>
            <wp:effectExtent l="0" t="0" r="0" b="0"/>
            <wp:docPr id="22" name="图片 107"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7" descr="IMG_29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C7C730A" w14:textId="77777777" w:rsidR="0008009C" w:rsidRDefault="00936FDF">
      <w:pPr>
        <w:spacing w:after="120"/>
      </w:pPr>
      <w:r>
        <w:rPr>
          <w:rFonts w:ascii="Arial" w:eastAsia="宋体" w:hAnsi="Arial" w:cs="Arial"/>
          <w:color w:val="0068B5"/>
          <w:sz w:val="20"/>
          <w:szCs w:val="20"/>
        </w:rPr>
        <w:t xml:space="preserve">Q1 2021 vs. Q1 2020 </w:t>
      </w:r>
    </w:p>
    <w:p w14:paraId="5C7C730B" w14:textId="77777777" w:rsidR="0008009C" w:rsidRDefault="00936FDF">
      <w:pPr>
        <w:spacing w:after="180"/>
      </w:pPr>
      <w:r>
        <w:rPr>
          <w:rFonts w:ascii="Arial" w:eastAsia="宋体" w:hAnsi="Arial" w:cs="Arial"/>
          <w:color w:val="262626"/>
          <w:sz w:val="18"/>
          <w:szCs w:val="18"/>
        </w:rPr>
        <w:t>Our Q1 2021 revenue was $19.7 billion, down $155 million or 1% from Q1 2020. DCG was dow</w:t>
      </w:r>
      <w:r>
        <w:rPr>
          <w:rFonts w:ascii="Arial" w:eastAsia="宋体" w:hAnsi="Arial" w:cs="Arial"/>
          <w:color w:val="262626"/>
          <w:sz w:val="18"/>
          <w:szCs w:val="18"/>
        </w:rPr>
        <w:t>n 20% year over year driven by lower volume due to continued digestion in the cloud service providers market segment, a decline in the enterprise and government market segment on weaker macroeconomic conditions, and lower ASPs driven by higher SoC volume a</w:t>
      </w:r>
      <w:r>
        <w:rPr>
          <w:rFonts w:ascii="Arial" w:eastAsia="宋体" w:hAnsi="Arial" w:cs="Arial"/>
          <w:color w:val="262626"/>
          <w:sz w:val="18"/>
          <w:szCs w:val="18"/>
        </w:rPr>
        <w:t>nd weaker core mix. NSG was down 17% due to ASP decline and the transfer of the Intel Optane memory business to DCG, partially offset by volume growth. IOTG and Mobileye were both up on higher demand amid recovery from the economic impacts of COVID-19, inc</w:t>
      </w:r>
      <w:r>
        <w:rPr>
          <w:rFonts w:ascii="Arial" w:eastAsia="宋体" w:hAnsi="Arial" w:cs="Arial"/>
          <w:color w:val="262626"/>
          <w:sz w:val="18"/>
          <w:szCs w:val="18"/>
        </w:rPr>
        <w:t>luding recovery in the auto industry from pandemic lows. CCG was up 8% year over year driven by strength in notebook demand, partially offset by an increased mix of consumer and education PCs, which drove lower notebook ASPs. Our "all other" revenue increa</w:t>
      </w:r>
      <w:r>
        <w:rPr>
          <w:rFonts w:ascii="Arial" w:eastAsia="宋体" w:hAnsi="Arial" w:cs="Arial"/>
          <w:color w:val="262626"/>
          <w:sz w:val="18"/>
          <w:szCs w:val="18"/>
        </w:rPr>
        <w:t>sed primarily due to $584 million from a prepaid supply agreement settled in Q1 2021 for which we recognized related revenue for completing performance.</w:t>
      </w:r>
    </w:p>
    <w:p w14:paraId="5C7C730C" w14:textId="77777777" w:rsidR="0008009C" w:rsidRDefault="00936FDF">
      <w:pPr>
        <w:spacing w:before="300" w:after="180"/>
      </w:pPr>
      <w:r>
        <w:rPr>
          <w:rFonts w:ascii="Arial" w:eastAsia="宋体" w:hAnsi="Arial" w:cs="Arial"/>
          <w:color w:val="0068B5"/>
          <w:sz w:val="28"/>
          <w:szCs w:val="28"/>
        </w:rPr>
        <w:t>Gross Margin</w:t>
      </w:r>
    </w:p>
    <w:p w14:paraId="5C7C730D" w14:textId="77777777" w:rsidR="0008009C" w:rsidRDefault="00936FDF">
      <w:pPr>
        <w:spacing w:after="180"/>
      </w:pPr>
      <w:r>
        <w:rPr>
          <w:rFonts w:ascii="Arial" w:eastAsia="宋体" w:hAnsi="Arial" w:cs="Arial"/>
          <w:color w:val="262626"/>
          <w:sz w:val="18"/>
          <w:szCs w:val="18"/>
        </w:rPr>
        <w:t>We derived a substantial majority of our overall gross margin from the sale of platform pr</w:t>
      </w:r>
      <w:r>
        <w:rPr>
          <w:rFonts w:ascii="Arial" w:eastAsia="宋体" w:hAnsi="Arial" w:cs="Arial"/>
          <w:color w:val="262626"/>
          <w:sz w:val="18"/>
          <w:szCs w:val="18"/>
        </w:rPr>
        <w:t xml:space="preserve">oducts in the DCG and CCG operating segments. Our overall gross margin dollars in Q1 2021 decreased by $1.2 billion, or 10% compared to Q1 2020.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8009C" w14:paraId="5C7C7311" w14:textId="77777777">
        <w:tc>
          <w:tcPr>
            <w:tcW w:w="50" w:type="pct"/>
            <w:shd w:val="clear" w:color="auto" w:fill="auto"/>
          </w:tcPr>
          <w:p w14:paraId="5C7C730E" w14:textId="77777777" w:rsidR="0008009C" w:rsidRDefault="0008009C">
            <w:pPr>
              <w:rPr>
                <w:rFonts w:ascii="宋体"/>
              </w:rPr>
            </w:pPr>
          </w:p>
        </w:tc>
        <w:tc>
          <w:tcPr>
            <w:tcW w:w="4945" w:type="pct"/>
            <w:shd w:val="clear" w:color="auto" w:fill="auto"/>
          </w:tcPr>
          <w:p w14:paraId="5C7C730F" w14:textId="77777777" w:rsidR="0008009C" w:rsidRDefault="0008009C">
            <w:pPr>
              <w:rPr>
                <w:rFonts w:ascii="宋体"/>
              </w:rPr>
            </w:pPr>
          </w:p>
        </w:tc>
        <w:tc>
          <w:tcPr>
            <w:tcW w:w="5" w:type="pct"/>
            <w:shd w:val="clear" w:color="auto" w:fill="auto"/>
          </w:tcPr>
          <w:p w14:paraId="5C7C7310" w14:textId="77777777" w:rsidR="0008009C" w:rsidRDefault="0008009C">
            <w:pPr>
              <w:rPr>
                <w:rFonts w:ascii="宋体"/>
              </w:rPr>
            </w:pPr>
          </w:p>
        </w:tc>
      </w:tr>
      <w:tr w:rsidR="0008009C" w14:paraId="5C7C7313"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7312" w14:textId="77777777" w:rsidR="0008009C" w:rsidRDefault="00936FDF">
            <w:pPr>
              <w:jc w:val="center"/>
              <w:textAlignment w:val="bottom"/>
            </w:pPr>
            <w:r>
              <w:rPr>
                <w:rFonts w:ascii="Arial" w:eastAsia="宋体" w:hAnsi="Arial" w:cs="Arial"/>
                <w:color w:val="0068B5"/>
                <w:sz w:val="20"/>
                <w:szCs w:val="20"/>
              </w:rPr>
              <w:t>Gross Margin $B</w:t>
            </w:r>
          </w:p>
        </w:tc>
      </w:tr>
      <w:tr w:rsidR="0008009C" w14:paraId="5C7C7315" w14:textId="77777777">
        <w:trPr>
          <w:hidden/>
        </w:trPr>
        <w:tc>
          <w:tcPr>
            <w:tcW w:w="0" w:type="auto"/>
            <w:gridSpan w:val="3"/>
            <w:shd w:val="clear" w:color="auto" w:fill="auto"/>
          </w:tcPr>
          <w:p w14:paraId="5C7C7314" w14:textId="77777777" w:rsidR="0008009C" w:rsidRDefault="0008009C">
            <w:pPr>
              <w:rPr>
                <w:rFonts w:ascii="宋体"/>
                <w:vanish/>
              </w:rPr>
            </w:pPr>
          </w:p>
        </w:tc>
      </w:tr>
    </w:tbl>
    <w:p w14:paraId="5C7C7316" w14:textId="77777777" w:rsidR="0008009C" w:rsidRDefault="00936FDF">
      <w:pPr>
        <w:spacing w:after="60"/>
        <w:jc w:val="center"/>
      </w:pPr>
      <w:r>
        <w:rPr>
          <w:rFonts w:ascii="Arial" w:eastAsia="宋体" w:hAnsi="Arial" w:cs="Arial"/>
          <w:color w:val="262626"/>
          <w:sz w:val="18"/>
          <w:szCs w:val="18"/>
        </w:rPr>
        <w:t xml:space="preserve">    (Percentages in chart indicate gross margin as a percentage of total </w:t>
      </w:r>
      <w:r>
        <w:rPr>
          <w:rFonts w:ascii="Arial" w:eastAsia="宋体" w:hAnsi="Arial" w:cs="Arial"/>
          <w:color w:val="262626"/>
          <w:sz w:val="18"/>
          <w:szCs w:val="18"/>
        </w:rPr>
        <w:t>revenue)</w:t>
      </w:r>
    </w:p>
    <w:p w14:paraId="5C7C7317" w14:textId="77777777" w:rsidR="0008009C" w:rsidRDefault="00936FDF">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57" wp14:editId="5C7C7D58">
            <wp:extent cx="304800" cy="304800"/>
            <wp:effectExtent l="0" t="0" r="0" b="0"/>
            <wp:docPr id="82" name="图片 108"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08" descr="IMG_30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39"/>
        <w:gridCol w:w="7132"/>
        <w:gridCol w:w="38"/>
      </w:tblGrid>
      <w:tr w:rsidR="0008009C" w14:paraId="5C7C7321" w14:textId="77777777">
        <w:tc>
          <w:tcPr>
            <w:tcW w:w="50" w:type="pct"/>
            <w:shd w:val="clear" w:color="auto" w:fill="auto"/>
          </w:tcPr>
          <w:p w14:paraId="5C7C7318" w14:textId="77777777" w:rsidR="0008009C" w:rsidRDefault="0008009C">
            <w:pPr>
              <w:rPr>
                <w:rFonts w:ascii="宋体"/>
              </w:rPr>
            </w:pPr>
          </w:p>
        </w:tc>
        <w:tc>
          <w:tcPr>
            <w:tcW w:w="539" w:type="pct"/>
            <w:shd w:val="clear" w:color="auto" w:fill="auto"/>
          </w:tcPr>
          <w:p w14:paraId="5C7C7319" w14:textId="77777777" w:rsidR="0008009C" w:rsidRDefault="0008009C">
            <w:pPr>
              <w:rPr>
                <w:rFonts w:ascii="宋体"/>
              </w:rPr>
            </w:pPr>
          </w:p>
        </w:tc>
        <w:tc>
          <w:tcPr>
            <w:tcW w:w="5" w:type="pct"/>
            <w:shd w:val="clear" w:color="auto" w:fill="auto"/>
          </w:tcPr>
          <w:p w14:paraId="5C7C731A" w14:textId="77777777" w:rsidR="0008009C" w:rsidRDefault="0008009C">
            <w:pPr>
              <w:rPr>
                <w:rFonts w:ascii="宋体"/>
              </w:rPr>
            </w:pPr>
          </w:p>
        </w:tc>
        <w:tc>
          <w:tcPr>
            <w:tcW w:w="5" w:type="pct"/>
            <w:shd w:val="clear" w:color="auto" w:fill="auto"/>
          </w:tcPr>
          <w:p w14:paraId="5C7C731B" w14:textId="77777777" w:rsidR="0008009C" w:rsidRDefault="0008009C">
            <w:pPr>
              <w:rPr>
                <w:rFonts w:ascii="宋体"/>
              </w:rPr>
            </w:pPr>
          </w:p>
        </w:tc>
        <w:tc>
          <w:tcPr>
            <w:tcW w:w="24" w:type="pct"/>
            <w:shd w:val="clear" w:color="auto" w:fill="auto"/>
          </w:tcPr>
          <w:p w14:paraId="5C7C731C" w14:textId="77777777" w:rsidR="0008009C" w:rsidRDefault="0008009C">
            <w:pPr>
              <w:rPr>
                <w:rFonts w:ascii="宋体"/>
              </w:rPr>
            </w:pPr>
          </w:p>
        </w:tc>
        <w:tc>
          <w:tcPr>
            <w:tcW w:w="5" w:type="pct"/>
            <w:shd w:val="clear" w:color="auto" w:fill="auto"/>
          </w:tcPr>
          <w:p w14:paraId="5C7C731D" w14:textId="77777777" w:rsidR="0008009C" w:rsidRDefault="0008009C">
            <w:pPr>
              <w:rPr>
                <w:rFonts w:ascii="宋体"/>
              </w:rPr>
            </w:pPr>
          </w:p>
        </w:tc>
        <w:tc>
          <w:tcPr>
            <w:tcW w:w="50" w:type="pct"/>
            <w:shd w:val="clear" w:color="auto" w:fill="auto"/>
          </w:tcPr>
          <w:p w14:paraId="5C7C731E" w14:textId="77777777" w:rsidR="0008009C" w:rsidRDefault="0008009C">
            <w:pPr>
              <w:rPr>
                <w:rFonts w:ascii="宋体"/>
              </w:rPr>
            </w:pPr>
          </w:p>
        </w:tc>
        <w:tc>
          <w:tcPr>
            <w:tcW w:w="4316" w:type="pct"/>
            <w:shd w:val="clear" w:color="auto" w:fill="auto"/>
          </w:tcPr>
          <w:p w14:paraId="5C7C731F" w14:textId="77777777" w:rsidR="0008009C" w:rsidRDefault="0008009C">
            <w:pPr>
              <w:rPr>
                <w:rFonts w:ascii="宋体"/>
              </w:rPr>
            </w:pPr>
          </w:p>
        </w:tc>
        <w:tc>
          <w:tcPr>
            <w:tcW w:w="5" w:type="pct"/>
            <w:shd w:val="clear" w:color="auto" w:fill="auto"/>
          </w:tcPr>
          <w:p w14:paraId="5C7C7320" w14:textId="77777777" w:rsidR="0008009C" w:rsidRDefault="0008009C">
            <w:pPr>
              <w:rPr>
                <w:rFonts w:ascii="宋体"/>
              </w:rPr>
            </w:pPr>
          </w:p>
        </w:tc>
      </w:tr>
      <w:tr w:rsidR="0008009C" w14:paraId="5C7C7325" w14:textId="77777777">
        <w:tc>
          <w:tcPr>
            <w:tcW w:w="0" w:type="auto"/>
            <w:gridSpan w:val="3"/>
            <w:shd w:val="clear" w:color="auto" w:fill="auto"/>
            <w:tcMar>
              <w:top w:w="40" w:type="dxa"/>
              <w:left w:w="20" w:type="dxa"/>
              <w:bottom w:w="40" w:type="dxa"/>
              <w:right w:w="20" w:type="dxa"/>
            </w:tcMar>
            <w:vAlign w:val="bottom"/>
          </w:tcPr>
          <w:p w14:paraId="5C7C7322"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732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324" w14:textId="77777777" w:rsidR="0008009C" w:rsidRDefault="0008009C">
            <w:pPr>
              <w:rPr>
                <w:rFonts w:ascii="宋体"/>
              </w:rPr>
            </w:pPr>
          </w:p>
        </w:tc>
      </w:tr>
      <w:tr w:rsidR="0008009C" w14:paraId="5C7C732B"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5C7C7326"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327" w14:textId="77777777" w:rsidR="0008009C" w:rsidRDefault="00936FDF">
            <w:pPr>
              <w:jc w:val="right"/>
              <w:textAlignment w:val="bottom"/>
            </w:pPr>
            <w:r>
              <w:rPr>
                <w:rFonts w:ascii="Arial" w:eastAsia="宋体" w:hAnsi="Arial" w:cs="Arial"/>
                <w:b/>
                <w:bCs/>
                <w:color w:val="0068B5"/>
                <w:sz w:val="18"/>
                <w:szCs w:val="18"/>
              </w:rPr>
              <w:t>10,854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32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329"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32A" w14:textId="77777777" w:rsidR="0008009C" w:rsidRDefault="00936FDF">
            <w:pPr>
              <w:textAlignment w:val="bottom"/>
            </w:pPr>
            <w:r>
              <w:rPr>
                <w:rFonts w:ascii="Arial" w:eastAsia="宋体" w:hAnsi="Arial" w:cs="Arial"/>
                <w:b/>
                <w:bCs/>
                <w:color w:val="262626"/>
                <w:sz w:val="18"/>
                <w:szCs w:val="18"/>
              </w:rPr>
              <w:t>Q1 2021 Gross Margin</w:t>
            </w:r>
          </w:p>
        </w:tc>
      </w:tr>
      <w:tr w:rsidR="0008009C" w14:paraId="5C7C7330" w14:textId="77777777">
        <w:tc>
          <w:tcPr>
            <w:tcW w:w="0" w:type="auto"/>
            <w:gridSpan w:val="2"/>
            <w:tcBorders>
              <w:top w:val="single" w:sz="8" w:space="0" w:color="262626"/>
            </w:tcBorders>
            <w:shd w:val="clear" w:color="auto" w:fill="auto"/>
            <w:tcMar>
              <w:top w:w="40" w:type="dxa"/>
              <w:left w:w="20" w:type="dxa"/>
              <w:bottom w:w="40" w:type="dxa"/>
              <w:right w:w="0" w:type="dxa"/>
            </w:tcMar>
            <w:vAlign w:val="center"/>
          </w:tcPr>
          <w:p w14:paraId="5C7C732C" w14:textId="77777777" w:rsidR="0008009C" w:rsidRDefault="00936FDF">
            <w:pPr>
              <w:jc w:val="right"/>
              <w:textAlignment w:val="center"/>
            </w:pPr>
            <w:r>
              <w:rPr>
                <w:rFonts w:ascii="Arial" w:eastAsia="宋体" w:hAnsi="Arial" w:cs="Arial"/>
                <w:color w:val="0068B5"/>
                <w:sz w:val="18"/>
                <w:szCs w:val="18"/>
              </w:rPr>
              <w:t>(1,600)</w:t>
            </w:r>
          </w:p>
        </w:tc>
        <w:tc>
          <w:tcPr>
            <w:tcW w:w="0" w:type="auto"/>
            <w:tcBorders>
              <w:top w:val="single" w:sz="8" w:space="0" w:color="262626"/>
            </w:tcBorders>
            <w:shd w:val="clear" w:color="auto" w:fill="auto"/>
            <w:tcMar>
              <w:top w:w="40" w:type="dxa"/>
              <w:left w:w="0" w:type="dxa"/>
              <w:bottom w:w="40" w:type="dxa"/>
              <w:right w:w="20" w:type="dxa"/>
            </w:tcMar>
            <w:vAlign w:val="center"/>
          </w:tcPr>
          <w:p w14:paraId="5C7C732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32E" w14:textId="77777777" w:rsidR="0008009C" w:rsidRDefault="0008009C">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tcPr>
          <w:p w14:paraId="5C7C732F" w14:textId="77777777" w:rsidR="0008009C" w:rsidRDefault="00936FDF">
            <w:pPr>
              <w:textAlignment w:val="top"/>
            </w:pPr>
            <w:r>
              <w:rPr>
                <w:rFonts w:ascii="Arial" w:eastAsia="宋体" w:hAnsi="Arial" w:cs="Arial"/>
                <w:color w:val="0068B5"/>
                <w:sz w:val="18"/>
                <w:szCs w:val="18"/>
              </w:rPr>
              <w:t xml:space="preserve">Lower gross margin from </w:t>
            </w:r>
            <w:r>
              <w:rPr>
                <w:rFonts w:ascii="Arial" w:eastAsia="宋体" w:hAnsi="Arial" w:cs="Arial"/>
                <w:color w:val="0068B5"/>
                <w:sz w:val="18"/>
                <w:szCs w:val="18"/>
              </w:rPr>
              <w:t>platform revenue</w:t>
            </w:r>
          </w:p>
        </w:tc>
      </w:tr>
      <w:tr w:rsidR="0008009C" w14:paraId="5C7C7335" w14:textId="77777777">
        <w:tc>
          <w:tcPr>
            <w:tcW w:w="0" w:type="auto"/>
            <w:gridSpan w:val="2"/>
            <w:shd w:val="clear" w:color="auto" w:fill="auto"/>
            <w:tcMar>
              <w:top w:w="40" w:type="dxa"/>
              <w:left w:w="20" w:type="dxa"/>
              <w:bottom w:w="40" w:type="dxa"/>
              <w:right w:w="0" w:type="dxa"/>
            </w:tcMar>
          </w:tcPr>
          <w:p w14:paraId="5C7C7331" w14:textId="77777777" w:rsidR="0008009C" w:rsidRDefault="00936FDF">
            <w:pPr>
              <w:jc w:val="right"/>
              <w:textAlignment w:val="top"/>
            </w:pPr>
            <w:r>
              <w:rPr>
                <w:rFonts w:ascii="Arial" w:eastAsia="宋体" w:hAnsi="Arial" w:cs="Arial"/>
                <w:color w:val="0068B5"/>
                <w:sz w:val="18"/>
                <w:szCs w:val="18"/>
              </w:rPr>
              <w:t>(335)</w:t>
            </w:r>
          </w:p>
        </w:tc>
        <w:tc>
          <w:tcPr>
            <w:tcW w:w="0" w:type="auto"/>
            <w:shd w:val="clear" w:color="auto" w:fill="auto"/>
            <w:tcMar>
              <w:top w:w="40" w:type="dxa"/>
              <w:left w:w="0" w:type="dxa"/>
              <w:bottom w:w="40" w:type="dxa"/>
              <w:right w:w="20" w:type="dxa"/>
            </w:tcMar>
          </w:tcPr>
          <w:p w14:paraId="5C7C733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333"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334" w14:textId="77777777" w:rsidR="0008009C" w:rsidRDefault="00936FDF">
            <w:pPr>
              <w:textAlignment w:val="top"/>
            </w:pPr>
            <w:r>
              <w:rPr>
                <w:rFonts w:ascii="Arial" w:eastAsia="宋体" w:hAnsi="Arial" w:cs="Arial"/>
                <w:color w:val="0068B5"/>
                <w:sz w:val="18"/>
                <w:szCs w:val="18"/>
              </w:rPr>
              <w:t>Higher period charges due to ramp up of 7nm and ramp down of 14nm</w:t>
            </w:r>
          </w:p>
        </w:tc>
      </w:tr>
      <w:tr w:rsidR="0008009C" w14:paraId="5C7C733A" w14:textId="77777777">
        <w:tc>
          <w:tcPr>
            <w:tcW w:w="0" w:type="auto"/>
            <w:gridSpan w:val="2"/>
            <w:shd w:val="clear" w:color="auto" w:fill="auto"/>
            <w:tcMar>
              <w:top w:w="40" w:type="dxa"/>
              <w:left w:w="20" w:type="dxa"/>
              <w:bottom w:w="40" w:type="dxa"/>
              <w:right w:w="0" w:type="dxa"/>
            </w:tcMar>
          </w:tcPr>
          <w:p w14:paraId="5C7C7336" w14:textId="77777777" w:rsidR="0008009C" w:rsidRDefault="00936FDF">
            <w:pPr>
              <w:jc w:val="right"/>
              <w:textAlignment w:val="top"/>
            </w:pPr>
            <w:r>
              <w:rPr>
                <w:rFonts w:ascii="Arial" w:eastAsia="宋体" w:hAnsi="Arial" w:cs="Arial"/>
                <w:color w:val="0068B5"/>
                <w:sz w:val="18"/>
                <w:szCs w:val="18"/>
              </w:rPr>
              <w:t>(230)</w:t>
            </w:r>
          </w:p>
        </w:tc>
        <w:tc>
          <w:tcPr>
            <w:tcW w:w="0" w:type="auto"/>
            <w:shd w:val="clear" w:color="auto" w:fill="auto"/>
            <w:tcMar>
              <w:top w:w="40" w:type="dxa"/>
              <w:left w:w="0" w:type="dxa"/>
              <w:bottom w:w="40" w:type="dxa"/>
              <w:right w:w="20" w:type="dxa"/>
            </w:tcMar>
          </w:tcPr>
          <w:p w14:paraId="5C7C733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338"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339" w14:textId="77777777" w:rsidR="0008009C" w:rsidRDefault="00936FDF">
            <w:pPr>
              <w:textAlignment w:val="top"/>
            </w:pPr>
            <w:r>
              <w:rPr>
                <w:rFonts w:ascii="Arial" w:eastAsia="宋体" w:hAnsi="Arial" w:cs="Arial"/>
                <w:color w:val="0068B5"/>
                <w:sz w:val="18"/>
                <w:szCs w:val="18"/>
              </w:rPr>
              <w:t xml:space="preserve">Higher platform unit cost from increased mix of 10nm products </w:t>
            </w:r>
          </w:p>
        </w:tc>
      </w:tr>
      <w:tr w:rsidR="0008009C" w14:paraId="5C7C733F" w14:textId="77777777">
        <w:tc>
          <w:tcPr>
            <w:tcW w:w="0" w:type="auto"/>
            <w:gridSpan w:val="2"/>
            <w:shd w:val="clear" w:color="auto" w:fill="auto"/>
            <w:tcMar>
              <w:top w:w="40" w:type="dxa"/>
              <w:left w:w="20" w:type="dxa"/>
              <w:bottom w:w="40" w:type="dxa"/>
              <w:right w:w="0" w:type="dxa"/>
            </w:tcMar>
          </w:tcPr>
          <w:p w14:paraId="5C7C733B" w14:textId="77777777" w:rsidR="0008009C" w:rsidRDefault="00936FDF">
            <w:pPr>
              <w:jc w:val="right"/>
              <w:textAlignment w:val="top"/>
            </w:pPr>
            <w:r>
              <w:rPr>
                <w:rFonts w:ascii="Arial" w:eastAsia="宋体" w:hAnsi="Arial" w:cs="Arial"/>
                <w:color w:val="0068B5"/>
                <w:sz w:val="18"/>
                <w:szCs w:val="18"/>
              </w:rPr>
              <w:t>585 </w:t>
            </w:r>
          </w:p>
        </w:tc>
        <w:tc>
          <w:tcPr>
            <w:tcW w:w="0" w:type="auto"/>
            <w:shd w:val="clear" w:color="auto" w:fill="auto"/>
            <w:tcMar>
              <w:top w:w="40" w:type="dxa"/>
              <w:left w:w="0" w:type="dxa"/>
              <w:bottom w:w="40" w:type="dxa"/>
              <w:right w:w="20" w:type="dxa"/>
            </w:tcMar>
          </w:tcPr>
          <w:p w14:paraId="5C7C733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33D"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33E" w14:textId="77777777" w:rsidR="0008009C" w:rsidRDefault="00936FDF">
            <w:pPr>
              <w:textAlignment w:val="top"/>
            </w:pPr>
            <w:r>
              <w:rPr>
                <w:rFonts w:ascii="Arial" w:eastAsia="宋体" w:hAnsi="Arial" w:cs="Arial"/>
                <w:color w:val="0068B5"/>
                <w:sz w:val="18"/>
                <w:szCs w:val="18"/>
              </w:rPr>
              <w:t>Prepaid supply agreement settled and recognized to revenue in Q1 2021</w:t>
            </w:r>
          </w:p>
        </w:tc>
      </w:tr>
      <w:tr w:rsidR="0008009C" w14:paraId="5C7C7344" w14:textId="77777777">
        <w:tc>
          <w:tcPr>
            <w:tcW w:w="0" w:type="auto"/>
            <w:gridSpan w:val="2"/>
            <w:shd w:val="clear" w:color="auto" w:fill="auto"/>
            <w:tcMar>
              <w:top w:w="40" w:type="dxa"/>
              <w:left w:w="20" w:type="dxa"/>
              <w:bottom w:w="40" w:type="dxa"/>
              <w:right w:w="0" w:type="dxa"/>
            </w:tcMar>
          </w:tcPr>
          <w:p w14:paraId="5C7C7340" w14:textId="77777777" w:rsidR="0008009C" w:rsidRDefault="00936FDF">
            <w:pPr>
              <w:jc w:val="right"/>
              <w:textAlignment w:val="top"/>
            </w:pPr>
            <w:r>
              <w:rPr>
                <w:rFonts w:ascii="Arial" w:eastAsia="宋体" w:hAnsi="Arial" w:cs="Arial"/>
                <w:color w:val="0068B5"/>
                <w:sz w:val="18"/>
                <w:szCs w:val="18"/>
              </w:rPr>
              <w:t>340 </w:t>
            </w:r>
          </w:p>
        </w:tc>
        <w:tc>
          <w:tcPr>
            <w:tcW w:w="0" w:type="auto"/>
            <w:shd w:val="clear" w:color="auto" w:fill="auto"/>
            <w:tcMar>
              <w:top w:w="40" w:type="dxa"/>
              <w:left w:w="0" w:type="dxa"/>
              <w:bottom w:w="40" w:type="dxa"/>
              <w:right w:w="20" w:type="dxa"/>
            </w:tcMar>
          </w:tcPr>
          <w:p w14:paraId="5C7C734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342"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343" w14:textId="77777777" w:rsidR="0008009C" w:rsidRDefault="00936FDF">
            <w:pPr>
              <w:textAlignment w:val="top"/>
            </w:pPr>
            <w:r>
              <w:rPr>
                <w:rFonts w:ascii="Arial" w:eastAsia="宋体" w:hAnsi="Arial" w:cs="Arial"/>
                <w:color w:val="0068B5"/>
                <w:sz w:val="18"/>
                <w:szCs w:val="18"/>
              </w:rPr>
              <w:t>Higher gross margin from adjacent businesses primarily due to higher margins on wireless and connectivity and improved NAND unit cost</w:t>
            </w:r>
          </w:p>
        </w:tc>
      </w:tr>
      <w:tr w:rsidR="0008009C" w14:paraId="5C7C7348" w14:textId="77777777">
        <w:trPr>
          <w:hidden/>
        </w:trPr>
        <w:tc>
          <w:tcPr>
            <w:tcW w:w="0" w:type="auto"/>
            <w:gridSpan w:val="3"/>
            <w:shd w:val="clear" w:color="auto" w:fill="auto"/>
          </w:tcPr>
          <w:p w14:paraId="5C7C7345" w14:textId="77777777" w:rsidR="0008009C" w:rsidRDefault="0008009C">
            <w:pPr>
              <w:rPr>
                <w:rFonts w:ascii="宋体"/>
                <w:vanish/>
              </w:rPr>
            </w:pPr>
          </w:p>
        </w:tc>
        <w:tc>
          <w:tcPr>
            <w:tcW w:w="0" w:type="auto"/>
            <w:gridSpan w:val="3"/>
            <w:shd w:val="clear" w:color="auto" w:fill="auto"/>
          </w:tcPr>
          <w:p w14:paraId="5C7C7346" w14:textId="77777777" w:rsidR="0008009C" w:rsidRDefault="0008009C">
            <w:pPr>
              <w:rPr>
                <w:rFonts w:ascii="宋体"/>
                <w:vanish/>
              </w:rPr>
            </w:pPr>
          </w:p>
        </w:tc>
        <w:tc>
          <w:tcPr>
            <w:tcW w:w="0" w:type="auto"/>
            <w:gridSpan w:val="3"/>
            <w:shd w:val="clear" w:color="auto" w:fill="auto"/>
          </w:tcPr>
          <w:p w14:paraId="5C7C7347" w14:textId="77777777" w:rsidR="0008009C" w:rsidRDefault="0008009C">
            <w:pPr>
              <w:rPr>
                <w:rFonts w:ascii="宋体"/>
                <w:vanish/>
              </w:rPr>
            </w:pPr>
          </w:p>
        </w:tc>
      </w:tr>
      <w:tr w:rsidR="0008009C" w14:paraId="5C7C734C" w14:textId="77777777">
        <w:trPr>
          <w:hidden/>
        </w:trPr>
        <w:tc>
          <w:tcPr>
            <w:tcW w:w="0" w:type="auto"/>
            <w:gridSpan w:val="3"/>
            <w:shd w:val="clear" w:color="auto" w:fill="auto"/>
          </w:tcPr>
          <w:p w14:paraId="5C7C7349" w14:textId="77777777" w:rsidR="0008009C" w:rsidRDefault="0008009C">
            <w:pPr>
              <w:rPr>
                <w:rFonts w:ascii="宋体"/>
                <w:vanish/>
              </w:rPr>
            </w:pPr>
          </w:p>
        </w:tc>
        <w:tc>
          <w:tcPr>
            <w:tcW w:w="0" w:type="auto"/>
            <w:gridSpan w:val="3"/>
            <w:shd w:val="clear" w:color="auto" w:fill="auto"/>
          </w:tcPr>
          <w:p w14:paraId="5C7C734A" w14:textId="77777777" w:rsidR="0008009C" w:rsidRDefault="0008009C">
            <w:pPr>
              <w:rPr>
                <w:rFonts w:ascii="宋体"/>
                <w:vanish/>
              </w:rPr>
            </w:pPr>
          </w:p>
        </w:tc>
        <w:tc>
          <w:tcPr>
            <w:tcW w:w="0" w:type="auto"/>
            <w:gridSpan w:val="3"/>
            <w:shd w:val="clear" w:color="auto" w:fill="auto"/>
          </w:tcPr>
          <w:p w14:paraId="5C7C734B" w14:textId="77777777" w:rsidR="0008009C" w:rsidRDefault="0008009C">
            <w:pPr>
              <w:rPr>
                <w:rFonts w:ascii="宋体"/>
                <w:vanish/>
              </w:rPr>
            </w:pPr>
          </w:p>
        </w:tc>
      </w:tr>
      <w:tr w:rsidR="0008009C" w14:paraId="5C7C7350" w14:textId="77777777">
        <w:trPr>
          <w:hidden/>
        </w:trPr>
        <w:tc>
          <w:tcPr>
            <w:tcW w:w="0" w:type="auto"/>
            <w:gridSpan w:val="3"/>
            <w:shd w:val="clear" w:color="auto" w:fill="auto"/>
          </w:tcPr>
          <w:p w14:paraId="5C7C734D" w14:textId="77777777" w:rsidR="0008009C" w:rsidRDefault="0008009C">
            <w:pPr>
              <w:rPr>
                <w:rFonts w:ascii="宋体"/>
                <w:vanish/>
              </w:rPr>
            </w:pPr>
          </w:p>
        </w:tc>
        <w:tc>
          <w:tcPr>
            <w:tcW w:w="0" w:type="auto"/>
            <w:gridSpan w:val="3"/>
            <w:shd w:val="clear" w:color="auto" w:fill="auto"/>
          </w:tcPr>
          <w:p w14:paraId="5C7C734E" w14:textId="77777777" w:rsidR="0008009C" w:rsidRDefault="0008009C">
            <w:pPr>
              <w:rPr>
                <w:rFonts w:ascii="宋体"/>
                <w:vanish/>
              </w:rPr>
            </w:pPr>
          </w:p>
        </w:tc>
        <w:tc>
          <w:tcPr>
            <w:tcW w:w="0" w:type="auto"/>
            <w:gridSpan w:val="3"/>
            <w:shd w:val="clear" w:color="auto" w:fill="auto"/>
          </w:tcPr>
          <w:p w14:paraId="5C7C734F" w14:textId="77777777" w:rsidR="0008009C" w:rsidRDefault="0008009C">
            <w:pPr>
              <w:rPr>
                <w:rFonts w:ascii="宋体"/>
                <w:vanish/>
              </w:rPr>
            </w:pPr>
          </w:p>
        </w:tc>
      </w:tr>
      <w:tr w:rsidR="0008009C" w14:paraId="5C7C7354" w14:textId="77777777">
        <w:trPr>
          <w:hidden/>
        </w:trPr>
        <w:tc>
          <w:tcPr>
            <w:tcW w:w="0" w:type="auto"/>
            <w:gridSpan w:val="3"/>
            <w:shd w:val="clear" w:color="auto" w:fill="auto"/>
          </w:tcPr>
          <w:p w14:paraId="5C7C7351" w14:textId="77777777" w:rsidR="0008009C" w:rsidRDefault="0008009C">
            <w:pPr>
              <w:rPr>
                <w:rFonts w:ascii="宋体"/>
                <w:vanish/>
              </w:rPr>
            </w:pPr>
          </w:p>
        </w:tc>
        <w:tc>
          <w:tcPr>
            <w:tcW w:w="0" w:type="auto"/>
            <w:gridSpan w:val="3"/>
            <w:shd w:val="clear" w:color="auto" w:fill="auto"/>
          </w:tcPr>
          <w:p w14:paraId="5C7C7352" w14:textId="77777777" w:rsidR="0008009C" w:rsidRDefault="0008009C">
            <w:pPr>
              <w:rPr>
                <w:rFonts w:ascii="宋体"/>
                <w:vanish/>
              </w:rPr>
            </w:pPr>
          </w:p>
        </w:tc>
        <w:tc>
          <w:tcPr>
            <w:tcW w:w="0" w:type="auto"/>
            <w:gridSpan w:val="3"/>
            <w:shd w:val="clear" w:color="auto" w:fill="auto"/>
          </w:tcPr>
          <w:p w14:paraId="5C7C7353" w14:textId="77777777" w:rsidR="0008009C" w:rsidRDefault="0008009C">
            <w:pPr>
              <w:rPr>
                <w:rFonts w:ascii="宋体"/>
                <w:vanish/>
              </w:rPr>
            </w:pPr>
          </w:p>
        </w:tc>
      </w:tr>
      <w:tr w:rsidR="0008009C" w14:paraId="5C7C7358" w14:textId="77777777">
        <w:trPr>
          <w:hidden/>
        </w:trPr>
        <w:tc>
          <w:tcPr>
            <w:tcW w:w="0" w:type="auto"/>
            <w:gridSpan w:val="3"/>
            <w:shd w:val="clear" w:color="auto" w:fill="auto"/>
          </w:tcPr>
          <w:p w14:paraId="5C7C7355" w14:textId="77777777" w:rsidR="0008009C" w:rsidRDefault="0008009C">
            <w:pPr>
              <w:rPr>
                <w:rFonts w:ascii="宋体"/>
                <w:vanish/>
              </w:rPr>
            </w:pPr>
          </w:p>
        </w:tc>
        <w:tc>
          <w:tcPr>
            <w:tcW w:w="0" w:type="auto"/>
            <w:gridSpan w:val="3"/>
            <w:shd w:val="clear" w:color="auto" w:fill="auto"/>
          </w:tcPr>
          <w:p w14:paraId="5C7C7356" w14:textId="77777777" w:rsidR="0008009C" w:rsidRDefault="0008009C">
            <w:pPr>
              <w:rPr>
                <w:rFonts w:ascii="宋体"/>
                <w:vanish/>
              </w:rPr>
            </w:pPr>
          </w:p>
        </w:tc>
        <w:tc>
          <w:tcPr>
            <w:tcW w:w="0" w:type="auto"/>
            <w:gridSpan w:val="3"/>
            <w:shd w:val="clear" w:color="auto" w:fill="auto"/>
          </w:tcPr>
          <w:p w14:paraId="5C7C7357" w14:textId="77777777" w:rsidR="0008009C" w:rsidRDefault="0008009C">
            <w:pPr>
              <w:rPr>
                <w:rFonts w:ascii="宋体"/>
                <w:vanish/>
              </w:rPr>
            </w:pPr>
          </w:p>
        </w:tc>
      </w:tr>
      <w:tr w:rsidR="0008009C" w14:paraId="5C7C735C" w14:textId="77777777">
        <w:trPr>
          <w:hidden/>
        </w:trPr>
        <w:tc>
          <w:tcPr>
            <w:tcW w:w="0" w:type="auto"/>
            <w:gridSpan w:val="3"/>
            <w:shd w:val="clear" w:color="auto" w:fill="auto"/>
          </w:tcPr>
          <w:p w14:paraId="5C7C7359" w14:textId="77777777" w:rsidR="0008009C" w:rsidRDefault="0008009C">
            <w:pPr>
              <w:rPr>
                <w:rFonts w:ascii="宋体"/>
                <w:vanish/>
              </w:rPr>
            </w:pPr>
          </w:p>
        </w:tc>
        <w:tc>
          <w:tcPr>
            <w:tcW w:w="0" w:type="auto"/>
            <w:gridSpan w:val="3"/>
            <w:shd w:val="clear" w:color="auto" w:fill="auto"/>
          </w:tcPr>
          <w:p w14:paraId="5C7C735A" w14:textId="77777777" w:rsidR="0008009C" w:rsidRDefault="0008009C">
            <w:pPr>
              <w:rPr>
                <w:rFonts w:ascii="宋体"/>
                <w:vanish/>
              </w:rPr>
            </w:pPr>
          </w:p>
        </w:tc>
        <w:tc>
          <w:tcPr>
            <w:tcW w:w="0" w:type="auto"/>
            <w:gridSpan w:val="3"/>
            <w:shd w:val="clear" w:color="auto" w:fill="auto"/>
          </w:tcPr>
          <w:p w14:paraId="5C7C735B" w14:textId="77777777" w:rsidR="0008009C" w:rsidRDefault="0008009C">
            <w:pPr>
              <w:rPr>
                <w:rFonts w:ascii="宋体"/>
                <w:vanish/>
              </w:rPr>
            </w:pPr>
          </w:p>
        </w:tc>
      </w:tr>
      <w:tr w:rsidR="0008009C" w14:paraId="5C7C7361" w14:textId="77777777">
        <w:tc>
          <w:tcPr>
            <w:tcW w:w="0" w:type="auto"/>
            <w:gridSpan w:val="2"/>
            <w:shd w:val="clear" w:color="auto" w:fill="auto"/>
            <w:tcMar>
              <w:top w:w="40" w:type="dxa"/>
              <w:left w:w="20" w:type="dxa"/>
              <w:bottom w:w="40" w:type="dxa"/>
              <w:right w:w="0" w:type="dxa"/>
            </w:tcMar>
          </w:tcPr>
          <w:p w14:paraId="5C7C735D" w14:textId="77777777" w:rsidR="0008009C" w:rsidRDefault="00936FDF">
            <w:pPr>
              <w:jc w:val="right"/>
              <w:textAlignment w:val="top"/>
            </w:pPr>
            <w:r>
              <w:rPr>
                <w:rFonts w:ascii="Arial" w:eastAsia="宋体" w:hAnsi="Arial" w:cs="Arial"/>
                <w:color w:val="0068B5"/>
                <w:sz w:val="18"/>
                <w:szCs w:val="18"/>
              </w:rPr>
              <w:t>78 </w:t>
            </w:r>
          </w:p>
        </w:tc>
        <w:tc>
          <w:tcPr>
            <w:tcW w:w="0" w:type="auto"/>
            <w:shd w:val="clear" w:color="auto" w:fill="auto"/>
            <w:tcMar>
              <w:top w:w="40" w:type="dxa"/>
              <w:left w:w="0" w:type="dxa"/>
              <w:bottom w:w="40" w:type="dxa"/>
              <w:right w:w="20" w:type="dxa"/>
            </w:tcMar>
          </w:tcPr>
          <w:p w14:paraId="5C7C735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35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360" w14:textId="77777777" w:rsidR="0008009C" w:rsidRDefault="00936FDF">
            <w:pPr>
              <w:textAlignment w:val="top"/>
            </w:pPr>
            <w:r>
              <w:rPr>
                <w:rFonts w:ascii="Arial" w:eastAsia="宋体" w:hAnsi="Arial" w:cs="Arial"/>
                <w:color w:val="0068B5"/>
                <w:sz w:val="18"/>
                <w:szCs w:val="18"/>
              </w:rPr>
              <w:t>Other</w:t>
            </w:r>
          </w:p>
        </w:tc>
      </w:tr>
      <w:tr w:rsidR="0008009C" w14:paraId="5C7C7367" w14:textId="77777777">
        <w:tc>
          <w:tcPr>
            <w:tcW w:w="0" w:type="auto"/>
            <w:tcBorders>
              <w:top w:val="single" w:sz="8" w:space="0" w:color="262626"/>
              <w:bottom w:val="single" w:sz="8" w:space="0" w:color="262626"/>
            </w:tcBorders>
            <w:shd w:val="clear" w:color="auto" w:fill="auto"/>
            <w:tcMar>
              <w:top w:w="40" w:type="dxa"/>
              <w:left w:w="20" w:type="dxa"/>
              <w:bottom w:w="40" w:type="dxa"/>
              <w:right w:w="0" w:type="dxa"/>
            </w:tcMar>
            <w:vAlign w:val="bottom"/>
          </w:tcPr>
          <w:p w14:paraId="5C7C7362"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single" w:sz="8" w:space="0" w:color="262626"/>
            </w:tcBorders>
            <w:shd w:val="clear" w:color="auto" w:fill="auto"/>
            <w:tcMar>
              <w:top w:w="40" w:type="dxa"/>
              <w:left w:w="0" w:type="dxa"/>
              <w:bottom w:w="40" w:type="dxa"/>
              <w:right w:w="0" w:type="dxa"/>
            </w:tcMar>
            <w:vAlign w:val="bottom"/>
          </w:tcPr>
          <w:p w14:paraId="5C7C7363" w14:textId="77777777" w:rsidR="0008009C" w:rsidRDefault="00936FDF">
            <w:pPr>
              <w:jc w:val="right"/>
              <w:textAlignment w:val="bottom"/>
            </w:pPr>
            <w:r>
              <w:rPr>
                <w:rFonts w:ascii="Arial" w:eastAsia="宋体" w:hAnsi="Arial" w:cs="Arial"/>
                <w:b/>
                <w:bCs/>
                <w:color w:val="262626"/>
                <w:sz w:val="18"/>
                <w:szCs w:val="18"/>
              </w:rPr>
              <w:t>12,016</w:t>
            </w:r>
            <w:r>
              <w:rPr>
                <w:rFonts w:ascii="Arial" w:eastAsia="宋体" w:hAnsi="Arial" w:cs="Arial"/>
                <w:color w:val="262626"/>
                <w:sz w:val="18"/>
                <w:szCs w:val="18"/>
              </w:rPr>
              <w:t> </w:t>
            </w:r>
          </w:p>
        </w:tc>
        <w:tc>
          <w:tcPr>
            <w:tcW w:w="0" w:type="auto"/>
            <w:tcBorders>
              <w:top w:val="single" w:sz="8" w:space="0" w:color="262626"/>
              <w:bottom w:val="single" w:sz="8" w:space="0" w:color="262626"/>
            </w:tcBorders>
            <w:shd w:val="clear" w:color="auto" w:fill="auto"/>
            <w:tcMar>
              <w:top w:w="40" w:type="dxa"/>
              <w:left w:w="0" w:type="dxa"/>
              <w:bottom w:w="40" w:type="dxa"/>
              <w:right w:w="20" w:type="dxa"/>
            </w:tcMar>
            <w:vAlign w:val="bottom"/>
          </w:tcPr>
          <w:p w14:paraId="5C7C736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365" w14:textId="77777777" w:rsidR="0008009C" w:rsidRDefault="0008009C">
            <w:pPr>
              <w:rPr>
                <w:rFonts w:ascii="宋体"/>
              </w:rPr>
            </w:pPr>
          </w:p>
        </w:tc>
        <w:tc>
          <w:tcPr>
            <w:tcW w:w="0" w:type="auto"/>
            <w:gridSpan w:val="3"/>
            <w:tcBorders>
              <w:top w:val="single" w:sz="8" w:space="0" w:color="262626"/>
              <w:bottom w:val="single" w:sz="8" w:space="0" w:color="262626"/>
            </w:tcBorders>
            <w:shd w:val="clear" w:color="auto" w:fill="auto"/>
            <w:tcMar>
              <w:top w:w="40" w:type="dxa"/>
              <w:left w:w="20" w:type="dxa"/>
              <w:bottom w:w="40" w:type="dxa"/>
              <w:right w:w="20" w:type="dxa"/>
            </w:tcMar>
            <w:vAlign w:val="bottom"/>
          </w:tcPr>
          <w:p w14:paraId="5C7C7366" w14:textId="77777777" w:rsidR="0008009C" w:rsidRDefault="00936FDF">
            <w:pPr>
              <w:textAlignment w:val="bottom"/>
            </w:pPr>
            <w:r>
              <w:rPr>
                <w:rFonts w:ascii="Arial" w:eastAsia="宋体" w:hAnsi="Arial" w:cs="Arial"/>
                <w:b/>
                <w:bCs/>
                <w:color w:val="262626"/>
                <w:sz w:val="18"/>
                <w:szCs w:val="18"/>
              </w:rPr>
              <w:t>Q1 2020 Gross Margin</w:t>
            </w:r>
          </w:p>
        </w:tc>
      </w:tr>
      <w:tr w:rsidR="0008009C" w14:paraId="5C7C736B" w14:textId="77777777">
        <w:trPr>
          <w:hidden/>
        </w:trPr>
        <w:tc>
          <w:tcPr>
            <w:tcW w:w="0" w:type="auto"/>
            <w:gridSpan w:val="3"/>
            <w:shd w:val="clear" w:color="auto" w:fill="auto"/>
          </w:tcPr>
          <w:p w14:paraId="5C7C7368" w14:textId="77777777" w:rsidR="0008009C" w:rsidRDefault="0008009C">
            <w:pPr>
              <w:rPr>
                <w:rFonts w:ascii="宋体"/>
                <w:vanish/>
              </w:rPr>
            </w:pPr>
          </w:p>
        </w:tc>
        <w:tc>
          <w:tcPr>
            <w:tcW w:w="0" w:type="auto"/>
            <w:gridSpan w:val="3"/>
            <w:shd w:val="clear" w:color="auto" w:fill="auto"/>
          </w:tcPr>
          <w:p w14:paraId="5C7C7369" w14:textId="77777777" w:rsidR="0008009C" w:rsidRDefault="0008009C">
            <w:pPr>
              <w:rPr>
                <w:rFonts w:ascii="宋体"/>
                <w:vanish/>
              </w:rPr>
            </w:pPr>
          </w:p>
        </w:tc>
        <w:tc>
          <w:tcPr>
            <w:tcW w:w="0" w:type="auto"/>
            <w:gridSpan w:val="3"/>
            <w:shd w:val="clear" w:color="auto" w:fill="auto"/>
          </w:tcPr>
          <w:p w14:paraId="5C7C736A" w14:textId="77777777" w:rsidR="0008009C" w:rsidRDefault="0008009C">
            <w:pPr>
              <w:rPr>
                <w:rFonts w:ascii="宋体"/>
                <w:vanish/>
              </w:rPr>
            </w:pPr>
          </w:p>
        </w:tc>
      </w:tr>
      <w:tr w:rsidR="0008009C" w14:paraId="5C7C736F" w14:textId="77777777">
        <w:trPr>
          <w:hidden/>
        </w:trPr>
        <w:tc>
          <w:tcPr>
            <w:tcW w:w="0" w:type="auto"/>
            <w:gridSpan w:val="3"/>
            <w:shd w:val="clear" w:color="auto" w:fill="auto"/>
          </w:tcPr>
          <w:p w14:paraId="5C7C736C" w14:textId="77777777" w:rsidR="0008009C" w:rsidRDefault="0008009C">
            <w:pPr>
              <w:rPr>
                <w:rFonts w:ascii="宋体"/>
                <w:vanish/>
              </w:rPr>
            </w:pPr>
          </w:p>
        </w:tc>
        <w:tc>
          <w:tcPr>
            <w:tcW w:w="0" w:type="auto"/>
            <w:gridSpan w:val="3"/>
            <w:shd w:val="clear" w:color="auto" w:fill="auto"/>
          </w:tcPr>
          <w:p w14:paraId="5C7C736D" w14:textId="77777777" w:rsidR="0008009C" w:rsidRDefault="0008009C">
            <w:pPr>
              <w:rPr>
                <w:rFonts w:ascii="宋体"/>
                <w:vanish/>
              </w:rPr>
            </w:pPr>
          </w:p>
        </w:tc>
        <w:tc>
          <w:tcPr>
            <w:tcW w:w="0" w:type="auto"/>
            <w:gridSpan w:val="3"/>
            <w:shd w:val="clear" w:color="auto" w:fill="auto"/>
          </w:tcPr>
          <w:p w14:paraId="5C7C736E" w14:textId="77777777" w:rsidR="0008009C" w:rsidRDefault="0008009C">
            <w:pPr>
              <w:rPr>
                <w:rFonts w:ascii="宋体"/>
                <w:vanish/>
              </w:rPr>
            </w:pPr>
          </w:p>
        </w:tc>
      </w:tr>
      <w:tr w:rsidR="0008009C" w14:paraId="5C7C7373" w14:textId="77777777">
        <w:trPr>
          <w:hidden/>
        </w:trPr>
        <w:tc>
          <w:tcPr>
            <w:tcW w:w="0" w:type="auto"/>
            <w:gridSpan w:val="3"/>
            <w:shd w:val="clear" w:color="auto" w:fill="auto"/>
          </w:tcPr>
          <w:p w14:paraId="5C7C7370" w14:textId="77777777" w:rsidR="0008009C" w:rsidRDefault="0008009C">
            <w:pPr>
              <w:rPr>
                <w:rFonts w:ascii="宋体"/>
                <w:vanish/>
              </w:rPr>
            </w:pPr>
          </w:p>
        </w:tc>
        <w:tc>
          <w:tcPr>
            <w:tcW w:w="0" w:type="auto"/>
            <w:gridSpan w:val="3"/>
            <w:shd w:val="clear" w:color="auto" w:fill="auto"/>
          </w:tcPr>
          <w:p w14:paraId="5C7C7371" w14:textId="77777777" w:rsidR="0008009C" w:rsidRDefault="0008009C">
            <w:pPr>
              <w:rPr>
                <w:rFonts w:ascii="宋体"/>
                <w:vanish/>
              </w:rPr>
            </w:pPr>
          </w:p>
        </w:tc>
        <w:tc>
          <w:tcPr>
            <w:tcW w:w="0" w:type="auto"/>
            <w:gridSpan w:val="3"/>
            <w:shd w:val="clear" w:color="auto" w:fill="auto"/>
          </w:tcPr>
          <w:p w14:paraId="5C7C7372" w14:textId="77777777" w:rsidR="0008009C" w:rsidRDefault="0008009C">
            <w:pPr>
              <w:rPr>
                <w:rFonts w:ascii="宋体"/>
                <w:vanish/>
              </w:rPr>
            </w:pPr>
          </w:p>
        </w:tc>
      </w:tr>
      <w:tr w:rsidR="0008009C" w14:paraId="5C7C7377" w14:textId="77777777">
        <w:trPr>
          <w:hidden/>
        </w:trPr>
        <w:tc>
          <w:tcPr>
            <w:tcW w:w="0" w:type="auto"/>
            <w:gridSpan w:val="3"/>
            <w:shd w:val="clear" w:color="auto" w:fill="auto"/>
          </w:tcPr>
          <w:p w14:paraId="5C7C7374" w14:textId="77777777" w:rsidR="0008009C" w:rsidRDefault="0008009C">
            <w:pPr>
              <w:rPr>
                <w:rFonts w:ascii="宋体"/>
                <w:vanish/>
              </w:rPr>
            </w:pPr>
          </w:p>
        </w:tc>
        <w:tc>
          <w:tcPr>
            <w:tcW w:w="0" w:type="auto"/>
            <w:gridSpan w:val="3"/>
            <w:shd w:val="clear" w:color="auto" w:fill="auto"/>
          </w:tcPr>
          <w:p w14:paraId="5C7C7375" w14:textId="77777777" w:rsidR="0008009C" w:rsidRDefault="0008009C">
            <w:pPr>
              <w:rPr>
                <w:rFonts w:ascii="宋体"/>
                <w:vanish/>
              </w:rPr>
            </w:pPr>
          </w:p>
        </w:tc>
        <w:tc>
          <w:tcPr>
            <w:tcW w:w="0" w:type="auto"/>
            <w:gridSpan w:val="3"/>
            <w:shd w:val="clear" w:color="auto" w:fill="auto"/>
          </w:tcPr>
          <w:p w14:paraId="5C7C7376" w14:textId="77777777" w:rsidR="0008009C" w:rsidRDefault="0008009C">
            <w:pPr>
              <w:rPr>
                <w:rFonts w:ascii="宋体"/>
                <w:vanish/>
              </w:rPr>
            </w:pPr>
          </w:p>
        </w:tc>
      </w:tr>
      <w:tr w:rsidR="0008009C" w14:paraId="5C7C737B" w14:textId="77777777">
        <w:trPr>
          <w:hidden/>
        </w:trPr>
        <w:tc>
          <w:tcPr>
            <w:tcW w:w="0" w:type="auto"/>
            <w:gridSpan w:val="3"/>
            <w:shd w:val="clear" w:color="auto" w:fill="auto"/>
          </w:tcPr>
          <w:p w14:paraId="5C7C7378" w14:textId="77777777" w:rsidR="0008009C" w:rsidRDefault="0008009C">
            <w:pPr>
              <w:rPr>
                <w:rFonts w:ascii="宋体"/>
                <w:vanish/>
              </w:rPr>
            </w:pPr>
          </w:p>
        </w:tc>
        <w:tc>
          <w:tcPr>
            <w:tcW w:w="0" w:type="auto"/>
            <w:gridSpan w:val="3"/>
            <w:shd w:val="clear" w:color="auto" w:fill="auto"/>
          </w:tcPr>
          <w:p w14:paraId="5C7C7379" w14:textId="77777777" w:rsidR="0008009C" w:rsidRDefault="0008009C">
            <w:pPr>
              <w:rPr>
                <w:rFonts w:ascii="宋体"/>
                <w:vanish/>
              </w:rPr>
            </w:pPr>
          </w:p>
        </w:tc>
        <w:tc>
          <w:tcPr>
            <w:tcW w:w="0" w:type="auto"/>
            <w:gridSpan w:val="3"/>
            <w:shd w:val="clear" w:color="auto" w:fill="auto"/>
          </w:tcPr>
          <w:p w14:paraId="5C7C737A" w14:textId="77777777" w:rsidR="0008009C" w:rsidRDefault="0008009C">
            <w:pPr>
              <w:rPr>
                <w:rFonts w:ascii="宋体"/>
                <w:vanish/>
              </w:rPr>
            </w:pPr>
          </w:p>
        </w:tc>
      </w:tr>
      <w:tr w:rsidR="0008009C" w14:paraId="5C7C737F" w14:textId="77777777">
        <w:trPr>
          <w:hidden/>
        </w:trPr>
        <w:tc>
          <w:tcPr>
            <w:tcW w:w="0" w:type="auto"/>
            <w:gridSpan w:val="3"/>
            <w:shd w:val="clear" w:color="auto" w:fill="auto"/>
          </w:tcPr>
          <w:p w14:paraId="5C7C737C" w14:textId="77777777" w:rsidR="0008009C" w:rsidRDefault="0008009C">
            <w:pPr>
              <w:rPr>
                <w:rFonts w:ascii="宋体"/>
                <w:vanish/>
              </w:rPr>
            </w:pPr>
          </w:p>
        </w:tc>
        <w:tc>
          <w:tcPr>
            <w:tcW w:w="0" w:type="auto"/>
            <w:gridSpan w:val="3"/>
            <w:shd w:val="clear" w:color="auto" w:fill="auto"/>
          </w:tcPr>
          <w:p w14:paraId="5C7C737D" w14:textId="77777777" w:rsidR="0008009C" w:rsidRDefault="0008009C">
            <w:pPr>
              <w:rPr>
                <w:rFonts w:ascii="宋体"/>
                <w:vanish/>
              </w:rPr>
            </w:pPr>
          </w:p>
        </w:tc>
        <w:tc>
          <w:tcPr>
            <w:tcW w:w="0" w:type="auto"/>
            <w:gridSpan w:val="3"/>
            <w:shd w:val="clear" w:color="auto" w:fill="auto"/>
          </w:tcPr>
          <w:p w14:paraId="5C7C737E" w14:textId="77777777" w:rsidR="0008009C" w:rsidRDefault="0008009C">
            <w:pPr>
              <w:rPr>
                <w:rFonts w:ascii="宋体"/>
                <w:vanish/>
              </w:rPr>
            </w:pPr>
          </w:p>
        </w:tc>
      </w:tr>
      <w:tr w:rsidR="0008009C" w14:paraId="5C7C7383" w14:textId="77777777">
        <w:trPr>
          <w:hidden/>
        </w:trPr>
        <w:tc>
          <w:tcPr>
            <w:tcW w:w="0" w:type="auto"/>
            <w:gridSpan w:val="3"/>
            <w:shd w:val="clear" w:color="auto" w:fill="auto"/>
          </w:tcPr>
          <w:p w14:paraId="5C7C7380" w14:textId="77777777" w:rsidR="0008009C" w:rsidRDefault="0008009C">
            <w:pPr>
              <w:rPr>
                <w:rFonts w:ascii="宋体"/>
                <w:vanish/>
              </w:rPr>
            </w:pPr>
          </w:p>
        </w:tc>
        <w:tc>
          <w:tcPr>
            <w:tcW w:w="0" w:type="auto"/>
            <w:gridSpan w:val="3"/>
            <w:shd w:val="clear" w:color="auto" w:fill="auto"/>
          </w:tcPr>
          <w:p w14:paraId="5C7C7381" w14:textId="77777777" w:rsidR="0008009C" w:rsidRDefault="0008009C">
            <w:pPr>
              <w:rPr>
                <w:rFonts w:ascii="宋体"/>
                <w:vanish/>
              </w:rPr>
            </w:pPr>
          </w:p>
        </w:tc>
        <w:tc>
          <w:tcPr>
            <w:tcW w:w="0" w:type="auto"/>
            <w:gridSpan w:val="3"/>
            <w:shd w:val="clear" w:color="auto" w:fill="auto"/>
          </w:tcPr>
          <w:p w14:paraId="5C7C7382" w14:textId="77777777" w:rsidR="0008009C" w:rsidRDefault="0008009C">
            <w:pPr>
              <w:rPr>
                <w:rFonts w:ascii="宋体"/>
                <w:vanish/>
              </w:rPr>
            </w:pPr>
          </w:p>
        </w:tc>
      </w:tr>
      <w:tr w:rsidR="0008009C" w14:paraId="5C7C7387" w14:textId="77777777">
        <w:trPr>
          <w:hidden/>
        </w:trPr>
        <w:tc>
          <w:tcPr>
            <w:tcW w:w="0" w:type="auto"/>
            <w:gridSpan w:val="3"/>
            <w:shd w:val="clear" w:color="auto" w:fill="auto"/>
          </w:tcPr>
          <w:p w14:paraId="5C7C7384" w14:textId="77777777" w:rsidR="0008009C" w:rsidRDefault="0008009C">
            <w:pPr>
              <w:rPr>
                <w:rFonts w:ascii="宋体"/>
                <w:vanish/>
              </w:rPr>
            </w:pPr>
          </w:p>
        </w:tc>
        <w:tc>
          <w:tcPr>
            <w:tcW w:w="0" w:type="auto"/>
            <w:gridSpan w:val="3"/>
            <w:shd w:val="clear" w:color="auto" w:fill="auto"/>
          </w:tcPr>
          <w:p w14:paraId="5C7C7385" w14:textId="77777777" w:rsidR="0008009C" w:rsidRDefault="0008009C">
            <w:pPr>
              <w:rPr>
                <w:rFonts w:ascii="宋体"/>
                <w:vanish/>
              </w:rPr>
            </w:pPr>
          </w:p>
        </w:tc>
        <w:tc>
          <w:tcPr>
            <w:tcW w:w="0" w:type="auto"/>
            <w:gridSpan w:val="3"/>
            <w:shd w:val="clear" w:color="auto" w:fill="auto"/>
          </w:tcPr>
          <w:p w14:paraId="5C7C7386" w14:textId="77777777" w:rsidR="0008009C" w:rsidRDefault="0008009C">
            <w:pPr>
              <w:rPr>
                <w:rFonts w:ascii="宋体"/>
                <w:vanish/>
              </w:rPr>
            </w:pPr>
          </w:p>
        </w:tc>
      </w:tr>
      <w:tr w:rsidR="0008009C" w14:paraId="5C7C738B" w14:textId="77777777">
        <w:trPr>
          <w:hidden/>
        </w:trPr>
        <w:tc>
          <w:tcPr>
            <w:tcW w:w="0" w:type="auto"/>
            <w:gridSpan w:val="3"/>
            <w:shd w:val="clear" w:color="auto" w:fill="auto"/>
          </w:tcPr>
          <w:p w14:paraId="5C7C7388" w14:textId="77777777" w:rsidR="0008009C" w:rsidRDefault="0008009C">
            <w:pPr>
              <w:rPr>
                <w:rFonts w:ascii="宋体"/>
                <w:vanish/>
              </w:rPr>
            </w:pPr>
          </w:p>
        </w:tc>
        <w:tc>
          <w:tcPr>
            <w:tcW w:w="0" w:type="auto"/>
            <w:gridSpan w:val="3"/>
            <w:shd w:val="clear" w:color="auto" w:fill="auto"/>
          </w:tcPr>
          <w:p w14:paraId="5C7C7389" w14:textId="77777777" w:rsidR="0008009C" w:rsidRDefault="0008009C">
            <w:pPr>
              <w:rPr>
                <w:rFonts w:ascii="宋体"/>
                <w:vanish/>
              </w:rPr>
            </w:pPr>
          </w:p>
        </w:tc>
        <w:tc>
          <w:tcPr>
            <w:tcW w:w="0" w:type="auto"/>
            <w:gridSpan w:val="3"/>
            <w:shd w:val="clear" w:color="auto" w:fill="auto"/>
          </w:tcPr>
          <w:p w14:paraId="5C7C738A" w14:textId="77777777" w:rsidR="0008009C" w:rsidRDefault="0008009C">
            <w:pPr>
              <w:rPr>
                <w:rFonts w:ascii="宋体"/>
                <w:vanish/>
              </w:rPr>
            </w:pPr>
          </w:p>
        </w:tc>
      </w:tr>
      <w:tr w:rsidR="0008009C" w14:paraId="5C7C738F" w14:textId="77777777">
        <w:trPr>
          <w:hidden/>
        </w:trPr>
        <w:tc>
          <w:tcPr>
            <w:tcW w:w="0" w:type="auto"/>
            <w:gridSpan w:val="3"/>
            <w:shd w:val="clear" w:color="auto" w:fill="auto"/>
          </w:tcPr>
          <w:p w14:paraId="5C7C738C" w14:textId="77777777" w:rsidR="0008009C" w:rsidRDefault="0008009C">
            <w:pPr>
              <w:rPr>
                <w:rFonts w:ascii="宋体"/>
                <w:vanish/>
              </w:rPr>
            </w:pPr>
          </w:p>
        </w:tc>
        <w:tc>
          <w:tcPr>
            <w:tcW w:w="0" w:type="auto"/>
            <w:gridSpan w:val="3"/>
            <w:shd w:val="clear" w:color="auto" w:fill="auto"/>
          </w:tcPr>
          <w:p w14:paraId="5C7C738D" w14:textId="77777777" w:rsidR="0008009C" w:rsidRDefault="0008009C">
            <w:pPr>
              <w:rPr>
                <w:rFonts w:ascii="宋体"/>
                <w:vanish/>
              </w:rPr>
            </w:pPr>
          </w:p>
        </w:tc>
        <w:tc>
          <w:tcPr>
            <w:tcW w:w="0" w:type="auto"/>
            <w:gridSpan w:val="3"/>
            <w:shd w:val="clear" w:color="auto" w:fill="auto"/>
          </w:tcPr>
          <w:p w14:paraId="5C7C738E" w14:textId="77777777" w:rsidR="0008009C" w:rsidRDefault="0008009C">
            <w:pPr>
              <w:rPr>
                <w:rFonts w:ascii="宋体"/>
                <w:vanish/>
              </w:rPr>
            </w:pPr>
          </w:p>
        </w:tc>
      </w:tr>
      <w:tr w:rsidR="0008009C" w14:paraId="5C7C7393" w14:textId="77777777">
        <w:trPr>
          <w:hidden/>
        </w:trPr>
        <w:tc>
          <w:tcPr>
            <w:tcW w:w="0" w:type="auto"/>
            <w:gridSpan w:val="3"/>
            <w:shd w:val="clear" w:color="auto" w:fill="auto"/>
          </w:tcPr>
          <w:p w14:paraId="5C7C7390" w14:textId="77777777" w:rsidR="0008009C" w:rsidRDefault="0008009C">
            <w:pPr>
              <w:rPr>
                <w:rFonts w:ascii="宋体"/>
                <w:vanish/>
              </w:rPr>
            </w:pPr>
          </w:p>
        </w:tc>
        <w:tc>
          <w:tcPr>
            <w:tcW w:w="0" w:type="auto"/>
            <w:gridSpan w:val="3"/>
            <w:shd w:val="clear" w:color="auto" w:fill="auto"/>
          </w:tcPr>
          <w:p w14:paraId="5C7C7391" w14:textId="77777777" w:rsidR="0008009C" w:rsidRDefault="0008009C">
            <w:pPr>
              <w:rPr>
                <w:rFonts w:ascii="宋体"/>
                <w:vanish/>
              </w:rPr>
            </w:pPr>
          </w:p>
        </w:tc>
        <w:tc>
          <w:tcPr>
            <w:tcW w:w="0" w:type="auto"/>
            <w:gridSpan w:val="3"/>
            <w:shd w:val="clear" w:color="auto" w:fill="auto"/>
          </w:tcPr>
          <w:p w14:paraId="5C7C7392" w14:textId="77777777" w:rsidR="0008009C" w:rsidRDefault="0008009C">
            <w:pPr>
              <w:rPr>
                <w:rFonts w:ascii="宋体"/>
                <w:vanish/>
              </w:rPr>
            </w:pPr>
          </w:p>
        </w:tc>
      </w:tr>
      <w:tr w:rsidR="0008009C" w14:paraId="5C7C7397" w14:textId="77777777">
        <w:trPr>
          <w:hidden/>
        </w:trPr>
        <w:tc>
          <w:tcPr>
            <w:tcW w:w="0" w:type="auto"/>
            <w:gridSpan w:val="3"/>
            <w:shd w:val="clear" w:color="auto" w:fill="auto"/>
          </w:tcPr>
          <w:p w14:paraId="5C7C7394" w14:textId="77777777" w:rsidR="0008009C" w:rsidRDefault="0008009C">
            <w:pPr>
              <w:rPr>
                <w:rFonts w:ascii="宋体"/>
                <w:vanish/>
              </w:rPr>
            </w:pPr>
          </w:p>
        </w:tc>
        <w:tc>
          <w:tcPr>
            <w:tcW w:w="0" w:type="auto"/>
            <w:gridSpan w:val="3"/>
            <w:shd w:val="clear" w:color="auto" w:fill="auto"/>
          </w:tcPr>
          <w:p w14:paraId="5C7C7395" w14:textId="77777777" w:rsidR="0008009C" w:rsidRDefault="0008009C">
            <w:pPr>
              <w:rPr>
                <w:rFonts w:ascii="宋体"/>
                <w:vanish/>
              </w:rPr>
            </w:pPr>
          </w:p>
        </w:tc>
        <w:tc>
          <w:tcPr>
            <w:tcW w:w="0" w:type="auto"/>
            <w:gridSpan w:val="3"/>
            <w:shd w:val="clear" w:color="auto" w:fill="auto"/>
          </w:tcPr>
          <w:p w14:paraId="5C7C7396" w14:textId="77777777" w:rsidR="0008009C" w:rsidRDefault="0008009C">
            <w:pPr>
              <w:rPr>
                <w:rFonts w:ascii="宋体"/>
                <w:vanish/>
              </w:rPr>
            </w:pPr>
          </w:p>
        </w:tc>
      </w:tr>
      <w:tr w:rsidR="0008009C" w14:paraId="5C7C739B" w14:textId="77777777">
        <w:trPr>
          <w:hidden/>
        </w:trPr>
        <w:tc>
          <w:tcPr>
            <w:tcW w:w="0" w:type="auto"/>
            <w:gridSpan w:val="3"/>
            <w:shd w:val="clear" w:color="auto" w:fill="auto"/>
          </w:tcPr>
          <w:p w14:paraId="5C7C7398" w14:textId="77777777" w:rsidR="0008009C" w:rsidRDefault="0008009C">
            <w:pPr>
              <w:rPr>
                <w:rFonts w:ascii="宋体"/>
                <w:vanish/>
              </w:rPr>
            </w:pPr>
          </w:p>
        </w:tc>
        <w:tc>
          <w:tcPr>
            <w:tcW w:w="0" w:type="auto"/>
            <w:gridSpan w:val="3"/>
            <w:shd w:val="clear" w:color="auto" w:fill="auto"/>
          </w:tcPr>
          <w:p w14:paraId="5C7C7399" w14:textId="77777777" w:rsidR="0008009C" w:rsidRDefault="0008009C">
            <w:pPr>
              <w:rPr>
                <w:rFonts w:ascii="宋体"/>
                <w:vanish/>
              </w:rPr>
            </w:pPr>
          </w:p>
        </w:tc>
        <w:tc>
          <w:tcPr>
            <w:tcW w:w="0" w:type="auto"/>
            <w:gridSpan w:val="3"/>
            <w:shd w:val="clear" w:color="auto" w:fill="auto"/>
          </w:tcPr>
          <w:p w14:paraId="5C7C739A" w14:textId="77777777" w:rsidR="0008009C" w:rsidRDefault="0008009C">
            <w:pPr>
              <w:rPr>
                <w:rFonts w:ascii="宋体"/>
                <w:vanish/>
              </w:rPr>
            </w:pPr>
          </w:p>
        </w:tc>
      </w:tr>
      <w:tr w:rsidR="0008009C" w14:paraId="5C7C739F" w14:textId="77777777">
        <w:trPr>
          <w:hidden/>
        </w:trPr>
        <w:tc>
          <w:tcPr>
            <w:tcW w:w="0" w:type="auto"/>
            <w:gridSpan w:val="3"/>
            <w:shd w:val="clear" w:color="auto" w:fill="auto"/>
          </w:tcPr>
          <w:p w14:paraId="5C7C739C" w14:textId="77777777" w:rsidR="0008009C" w:rsidRDefault="0008009C">
            <w:pPr>
              <w:rPr>
                <w:rFonts w:ascii="宋体"/>
                <w:vanish/>
              </w:rPr>
            </w:pPr>
          </w:p>
        </w:tc>
        <w:tc>
          <w:tcPr>
            <w:tcW w:w="0" w:type="auto"/>
            <w:gridSpan w:val="3"/>
            <w:shd w:val="clear" w:color="auto" w:fill="auto"/>
          </w:tcPr>
          <w:p w14:paraId="5C7C739D" w14:textId="77777777" w:rsidR="0008009C" w:rsidRDefault="0008009C">
            <w:pPr>
              <w:rPr>
                <w:rFonts w:ascii="宋体"/>
                <w:vanish/>
              </w:rPr>
            </w:pPr>
          </w:p>
        </w:tc>
        <w:tc>
          <w:tcPr>
            <w:tcW w:w="0" w:type="auto"/>
            <w:gridSpan w:val="3"/>
            <w:shd w:val="clear" w:color="auto" w:fill="auto"/>
          </w:tcPr>
          <w:p w14:paraId="5C7C739E" w14:textId="77777777" w:rsidR="0008009C" w:rsidRDefault="0008009C">
            <w:pPr>
              <w:rPr>
                <w:rFonts w:ascii="宋体"/>
                <w:vanish/>
              </w:rPr>
            </w:pPr>
          </w:p>
        </w:tc>
      </w:tr>
      <w:tr w:rsidR="0008009C" w14:paraId="5C7C73A3" w14:textId="77777777">
        <w:trPr>
          <w:hidden/>
        </w:trPr>
        <w:tc>
          <w:tcPr>
            <w:tcW w:w="0" w:type="auto"/>
            <w:gridSpan w:val="3"/>
            <w:shd w:val="clear" w:color="auto" w:fill="auto"/>
          </w:tcPr>
          <w:p w14:paraId="5C7C73A0" w14:textId="77777777" w:rsidR="0008009C" w:rsidRDefault="0008009C">
            <w:pPr>
              <w:rPr>
                <w:rFonts w:ascii="宋体"/>
                <w:vanish/>
              </w:rPr>
            </w:pPr>
          </w:p>
        </w:tc>
        <w:tc>
          <w:tcPr>
            <w:tcW w:w="0" w:type="auto"/>
            <w:gridSpan w:val="3"/>
            <w:shd w:val="clear" w:color="auto" w:fill="auto"/>
          </w:tcPr>
          <w:p w14:paraId="5C7C73A1" w14:textId="77777777" w:rsidR="0008009C" w:rsidRDefault="0008009C">
            <w:pPr>
              <w:rPr>
                <w:rFonts w:ascii="宋体"/>
                <w:vanish/>
              </w:rPr>
            </w:pPr>
          </w:p>
        </w:tc>
        <w:tc>
          <w:tcPr>
            <w:tcW w:w="0" w:type="auto"/>
            <w:gridSpan w:val="3"/>
            <w:shd w:val="clear" w:color="auto" w:fill="auto"/>
          </w:tcPr>
          <w:p w14:paraId="5C7C73A2" w14:textId="77777777" w:rsidR="0008009C" w:rsidRDefault="0008009C">
            <w:pPr>
              <w:rPr>
                <w:rFonts w:ascii="宋体"/>
                <w:vanish/>
              </w:rPr>
            </w:pPr>
          </w:p>
        </w:tc>
      </w:tr>
    </w:tbl>
    <w:p w14:paraId="5C7C73A4"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08009C" w14:paraId="5C7C73AE" w14:textId="77777777">
        <w:tc>
          <w:tcPr>
            <w:tcW w:w="50" w:type="pct"/>
            <w:shd w:val="clear" w:color="auto" w:fill="auto"/>
            <w:vAlign w:val="bottom"/>
          </w:tcPr>
          <w:p w14:paraId="5C7C73A5" w14:textId="77777777" w:rsidR="0008009C" w:rsidRDefault="0008009C">
            <w:pPr>
              <w:rPr>
                <w:rFonts w:ascii="宋体"/>
              </w:rPr>
            </w:pPr>
          </w:p>
        </w:tc>
        <w:tc>
          <w:tcPr>
            <w:tcW w:w="212" w:type="pct"/>
            <w:shd w:val="clear" w:color="auto" w:fill="auto"/>
            <w:vAlign w:val="bottom"/>
          </w:tcPr>
          <w:p w14:paraId="5C7C73A6" w14:textId="77777777" w:rsidR="0008009C" w:rsidRDefault="0008009C">
            <w:pPr>
              <w:rPr>
                <w:rFonts w:ascii="宋体"/>
              </w:rPr>
            </w:pPr>
          </w:p>
        </w:tc>
        <w:tc>
          <w:tcPr>
            <w:tcW w:w="5" w:type="pct"/>
            <w:shd w:val="clear" w:color="auto" w:fill="auto"/>
            <w:vAlign w:val="bottom"/>
          </w:tcPr>
          <w:p w14:paraId="5C7C73A7" w14:textId="77777777" w:rsidR="0008009C" w:rsidRDefault="0008009C">
            <w:pPr>
              <w:rPr>
                <w:rFonts w:ascii="宋体"/>
              </w:rPr>
            </w:pPr>
          </w:p>
        </w:tc>
        <w:tc>
          <w:tcPr>
            <w:tcW w:w="50" w:type="pct"/>
            <w:shd w:val="clear" w:color="auto" w:fill="auto"/>
            <w:vAlign w:val="bottom"/>
          </w:tcPr>
          <w:p w14:paraId="5C7C73A8" w14:textId="77777777" w:rsidR="0008009C" w:rsidRDefault="0008009C">
            <w:pPr>
              <w:rPr>
                <w:rFonts w:ascii="宋体"/>
              </w:rPr>
            </w:pPr>
          </w:p>
        </w:tc>
        <w:tc>
          <w:tcPr>
            <w:tcW w:w="2499" w:type="pct"/>
            <w:shd w:val="clear" w:color="auto" w:fill="auto"/>
            <w:vAlign w:val="bottom"/>
          </w:tcPr>
          <w:p w14:paraId="5C7C73A9" w14:textId="77777777" w:rsidR="0008009C" w:rsidRDefault="0008009C">
            <w:pPr>
              <w:rPr>
                <w:rFonts w:ascii="宋体"/>
              </w:rPr>
            </w:pPr>
          </w:p>
        </w:tc>
        <w:tc>
          <w:tcPr>
            <w:tcW w:w="5" w:type="pct"/>
            <w:shd w:val="clear" w:color="auto" w:fill="auto"/>
            <w:vAlign w:val="bottom"/>
          </w:tcPr>
          <w:p w14:paraId="5C7C73AA" w14:textId="77777777" w:rsidR="0008009C" w:rsidRDefault="0008009C">
            <w:pPr>
              <w:rPr>
                <w:rFonts w:ascii="宋体"/>
              </w:rPr>
            </w:pPr>
          </w:p>
        </w:tc>
        <w:tc>
          <w:tcPr>
            <w:tcW w:w="50" w:type="pct"/>
            <w:shd w:val="clear" w:color="auto" w:fill="auto"/>
            <w:vAlign w:val="bottom"/>
          </w:tcPr>
          <w:p w14:paraId="5C7C73AB" w14:textId="77777777" w:rsidR="0008009C" w:rsidRDefault="0008009C">
            <w:pPr>
              <w:rPr>
                <w:rFonts w:ascii="宋体"/>
              </w:rPr>
            </w:pPr>
          </w:p>
        </w:tc>
        <w:tc>
          <w:tcPr>
            <w:tcW w:w="2122" w:type="pct"/>
            <w:shd w:val="clear" w:color="auto" w:fill="auto"/>
            <w:vAlign w:val="bottom"/>
          </w:tcPr>
          <w:p w14:paraId="5C7C73AC" w14:textId="77777777" w:rsidR="0008009C" w:rsidRDefault="0008009C">
            <w:pPr>
              <w:rPr>
                <w:rFonts w:ascii="宋体"/>
              </w:rPr>
            </w:pPr>
          </w:p>
        </w:tc>
        <w:tc>
          <w:tcPr>
            <w:tcW w:w="5" w:type="pct"/>
            <w:shd w:val="clear" w:color="auto" w:fill="auto"/>
            <w:vAlign w:val="bottom"/>
          </w:tcPr>
          <w:p w14:paraId="5C7C73AD" w14:textId="77777777" w:rsidR="0008009C" w:rsidRDefault="0008009C">
            <w:pPr>
              <w:rPr>
                <w:rFonts w:ascii="宋体"/>
              </w:rPr>
            </w:pPr>
          </w:p>
        </w:tc>
      </w:tr>
      <w:tr w:rsidR="0008009C" w14:paraId="5C7C73B2"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73AF"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59" wp14:editId="5C7C7D5A">
                  <wp:extent cx="304800" cy="304800"/>
                  <wp:effectExtent l="0" t="0" r="0" b="0"/>
                  <wp:docPr id="67" name="图片 109"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9"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3B0" w14:textId="77777777" w:rsidR="0008009C" w:rsidRDefault="00936FDF">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3B1" w14:textId="77777777" w:rsidR="0008009C" w:rsidRDefault="00936FDF">
            <w:pPr>
              <w:jc w:val="right"/>
              <w:textAlignment w:val="center"/>
            </w:pPr>
            <w:r>
              <w:rPr>
                <w:rFonts w:ascii="Arial" w:eastAsia="宋体" w:hAnsi="Arial" w:cs="Arial"/>
                <w:color w:val="262626"/>
                <w:sz w:val="16"/>
                <w:szCs w:val="16"/>
              </w:rPr>
              <w:t>29</w:t>
            </w:r>
          </w:p>
        </w:tc>
      </w:tr>
    </w:tbl>
    <w:p w14:paraId="5C7C73B3" w14:textId="77777777" w:rsidR="0008009C" w:rsidRDefault="00936FDF">
      <w:r>
        <w:pict w14:anchorId="5C7C7D5B">
          <v:rect id="_x0000_i1055" style="width:415.3pt;height:1.5pt" o:hralign="center" o:hrstd="t" o:hr="t" fillcolor="#a0a0a0" stroked="f"/>
        </w:pict>
      </w:r>
    </w:p>
    <w:p w14:paraId="5C7C73B4" w14:textId="77777777" w:rsidR="0008009C" w:rsidRDefault="00936FDF">
      <w:pPr>
        <w:spacing w:after="180"/>
        <w:jc w:val="right"/>
      </w:pPr>
      <w:hyperlink r:id="rId54" w:anchor="i3a00378f6cc84b1c9cfc83239548ad53_7" w:history="1">
        <w:r>
          <w:rPr>
            <w:rStyle w:val="a5"/>
            <w:rFonts w:ascii="Arial" w:eastAsia="宋体" w:hAnsi="Arial" w:cs="Arial"/>
            <w:b/>
            <w:bCs/>
            <w:sz w:val="16"/>
            <w:szCs w:val="16"/>
          </w:rPr>
          <w:t>Table of Contents</w:t>
        </w:r>
      </w:hyperlink>
    </w:p>
    <w:p w14:paraId="5C7C73B5" w14:textId="77777777" w:rsidR="0008009C" w:rsidRDefault="0008009C">
      <w:pPr>
        <w:spacing w:after="180"/>
        <w:jc w:val="right"/>
      </w:pPr>
    </w:p>
    <w:p w14:paraId="5C7C73B6" w14:textId="77777777" w:rsidR="0008009C" w:rsidRDefault="00936FDF">
      <w:pPr>
        <w:spacing w:after="180"/>
      </w:pPr>
      <w:r>
        <w:rPr>
          <w:rFonts w:ascii="Arial" w:eastAsia="宋体" w:hAnsi="Arial" w:cs="Arial"/>
          <w:color w:val="0068B5"/>
          <w:sz w:val="28"/>
          <w:szCs w:val="28"/>
        </w:rPr>
        <w:t>Operating Expenses</w:t>
      </w:r>
    </w:p>
    <w:p w14:paraId="5C7C73B7" w14:textId="77777777" w:rsidR="0008009C" w:rsidRDefault="00936FDF">
      <w:pPr>
        <w:spacing w:after="180"/>
      </w:pPr>
      <w:r>
        <w:rPr>
          <w:rFonts w:ascii="Arial" w:eastAsia="宋体" w:hAnsi="Arial" w:cs="Arial"/>
          <w:color w:val="262626"/>
          <w:sz w:val="18"/>
          <w:szCs w:val="18"/>
        </w:rPr>
        <w:t xml:space="preserve">Total R&amp;D and MG&amp;A expenses for Q1 2021 were $5.0 billion, up 3% from Q1 2020. These expenses represent 25.2% of revenue for Q1 2021 and 24.3% of revenue for Q1 2020. </w:t>
      </w:r>
    </w:p>
    <w:tbl>
      <w:tblPr>
        <w:tblW w:w="4795" w:type="pct"/>
        <w:jc w:val="center"/>
        <w:tblCellMar>
          <w:top w:w="15" w:type="dxa"/>
          <w:left w:w="15" w:type="dxa"/>
          <w:bottom w:w="15" w:type="dxa"/>
          <w:right w:w="15" w:type="dxa"/>
        </w:tblCellMar>
        <w:tblLook w:val="04A0" w:firstRow="1" w:lastRow="0" w:firstColumn="1" w:lastColumn="0" w:noHBand="0" w:noVBand="1"/>
      </w:tblPr>
      <w:tblGrid>
        <w:gridCol w:w="36"/>
        <w:gridCol w:w="125"/>
        <w:gridCol w:w="36"/>
        <w:gridCol w:w="52"/>
        <w:gridCol w:w="3699"/>
        <w:gridCol w:w="36"/>
        <w:gridCol w:w="36"/>
        <w:gridCol w:w="149"/>
        <w:gridCol w:w="36"/>
        <w:gridCol w:w="52"/>
        <w:gridCol w:w="3701"/>
        <w:gridCol w:w="36"/>
      </w:tblGrid>
      <w:tr w:rsidR="0008009C" w14:paraId="5C7C73C4" w14:textId="77777777">
        <w:trPr>
          <w:jc w:val="center"/>
        </w:trPr>
        <w:tc>
          <w:tcPr>
            <w:tcW w:w="5" w:type="pct"/>
            <w:shd w:val="clear" w:color="auto" w:fill="auto"/>
          </w:tcPr>
          <w:p w14:paraId="5C7C73B8" w14:textId="77777777" w:rsidR="0008009C" w:rsidRDefault="0008009C">
            <w:pPr>
              <w:rPr>
                <w:rFonts w:ascii="宋体"/>
              </w:rPr>
            </w:pPr>
          </w:p>
        </w:tc>
        <w:tc>
          <w:tcPr>
            <w:tcW w:w="96" w:type="pct"/>
            <w:shd w:val="clear" w:color="auto" w:fill="auto"/>
          </w:tcPr>
          <w:p w14:paraId="5C7C73B9" w14:textId="77777777" w:rsidR="0008009C" w:rsidRDefault="0008009C">
            <w:pPr>
              <w:rPr>
                <w:rFonts w:ascii="宋体"/>
              </w:rPr>
            </w:pPr>
          </w:p>
        </w:tc>
        <w:tc>
          <w:tcPr>
            <w:tcW w:w="5" w:type="pct"/>
            <w:shd w:val="clear" w:color="auto" w:fill="auto"/>
          </w:tcPr>
          <w:p w14:paraId="5C7C73BA" w14:textId="77777777" w:rsidR="0008009C" w:rsidRDefault="0008009C">
            <w:pPr>
              <w:rPr>
                <w:rFonts w:ascii="宋体"/>
              </w:rPr>
            </w:pPr>
          </w:p>
        </w:tc>
        <w:tc>
          <w:tcPr>
            <w:tcW w:w="50" w:type="pct"/>
            <w:shd w:val="clear" w:color="auto" w:fill="auto"/>
          </w:tcPr>
          <w:p w14:paraId="5C7C73BB" w14:textId="77777777" w:rsidR="0008009C" w:rsidRDefault="0008009C">
            <w:pPr>
              <w:rPr>
                <w:rFonts w:ascii="宋体"/>
              </w:rPr>
            </w:pPr>
          </w:p>
        </w:tc>
        <w:tc>
          <w:tcPr>
            <w:tcW w:w="2330" w:type="pct"/>
            <w:shd w:val="clear" w:color="auto" w:fill="auto"/>
          </w:tcPr>
          <w:p w14:paraId="5C7C73BC" w14:textId="77777777" w:rsidR="0008009C" w:rsidRDefault="0008009C">
            <w:pPr>
              <w:rPr>
                <w:rFonts w:ascii="宋体"/>
              </w:rPr>
            </w:pPr>
          </w:p>
        </w:tc>
        <w:tc>
          <w:tcPr>
            <w:tcW w:w="5" w:type="pct"/>
            <w:shd w:val="clear" w:color="auto" w:fill="auto"/>
          </w:tcPr>
          <w:p w14:paraId="5C7C73BD" w14:textId="77777777" w:rsidR="0008009C" w:rsidRDefault="0008009C">
            <w:pPr>
              <w:rPr>
                <w:rFonts w:ascii="宋体"/>
              </w:rPr>
            </w:pPr>
          </w:p>
        </w:tc>
        <w:tc>
          <w:tcPr>
            <w:tcW w:w="5" w:type="pct"/>
            <w:shd w:val="clear" w:color="auto" w:fill="auto"/>
          </w:tcPr>
          <w:p w14:paraId="5C7C73BE" w14:textId="77777777" w:rsidR="0008009C" w:rsidRDefault="0008009C">
            <w:pPr>
              <w:rPr>
                <w:rFonts w:ascii="宋体"/>
              </w:rPr>
            </w:pPr>
          </w:p>
        </w:tc>
        <w:tc>
          <w:tcPr>
            <w:tcW w:w="111" w:type="pct"/>
            <w:shd w:val="clear" w:color="auto" w:fill="auto"/>
          </w:tcPr>
          <w:p w14:paraId="5C7C73BF" w14:textId="77777777" w:rsidR="0008009C" w:rsidRDefault="0008009C">
            <w:pPr>
              <w:rPr>
                <w:rFonts w:ascii="宋体"/>
              </w:rPr>
            </w:pPr>
          </w:p>
        </w:tc>
        <w:tc>
          <w:tcPr>
            <w:tcW w:w="5" w:type="pct"/>
            <w:shd w:val="clear" w:color="auto" w:fill="auto"/>
          </w:tcPr>
          <w:p w14:paraId="5C7C73C0" w14:textId="77777777" w:rsidR="0008009C" w:rsidRDefault="0008009C">
            <w:pPr>
              <w:rPr>
                <w:rFonts w:ascii="宋体"/>
              </w:rPr>
            </w:pPr>
          </w:p>
        </w:tc>
        <w:tc>
          <w:tcPr>
            <w:tcW w:w="50" w:type="pct"/>
            <w:shd w:val="clear" w:color="auto" w:fill="auto"/>
          </w:tcPr>
          <w:p w14:paraId="5C7C73C1" w14:textId="77777777" w:rsidR="0008009C" w:rsidRDefault="0008009C">
            <w:pPr>
              <w:rPr>
                <w:rFonts w:ascii="宋体"/>
              </w:rPr>
            </w:pPr>
          </w:p>
        </w:tc>
        <w:tc>
          <w:tcPr>
            <w:tcW w:w="2331" w:type="pct"/>
            <w:shd w:val="clear" w:color="auto" w:fill="auto"/>
          </w:tcPr>
          <w:p w14:paraId="5C7C73C2" w14:textId="77777777" w:rsidR="0008009C" w:rsidRDefault="0008009C">
            <w:pPr>
              <w:rPr>
                <w:rFonts w:ascii="宋体"/>
              </w:rPr>
            </w:pPr>
          </w:p>
        </w:tc>
        <w:tc>
          <w:tcPr>
            <w:tcW w:w="5" w:type="pct"/>
            <w:shd w:val="clear" w:color="auto" w:fill="auto"/>
          </w:tcPr>
          <w:p w14:paraId="5C7C73C3" w14:textId="77777777" w:rsidR="0008009C" w:rsidRDefault="0008009C">
            <w:pPr>
              <w:rPr>
                <w:rFonts w:ascii="宋体"/>
              </w:rPr>
            </w:pPr>
          </w:p>
        </w:tc>
      </w:tr>
      <w:tr w:rsidR="0008009C" w14:paraId="5C7C73C9" w14:textId="77777777">
        <w:trPr>
          <w:jc w:val="center"/>
        </w:trPr>
        <w:tc>
          <w:tcPr>
            <w:tcW w:w="0" w:type="auto"/>
            <w:gridSpan w:val="3"/>
            <w:shd w:val="clear" w:color="auto" w:fill="auto"/>
            <w:tcMar>
              <w:top w:w="0" w:type="dxa"/>
              <w:left w:w="20" w:type="dxa"/>
              <w:bottom w:w="0" w:type="dxa"/>
              <w:right w:w="20" w:type="dxa"/>
            </w:tcMar>
          </w:tcPr>
          <w:p w14:paraId="5C7C73C5" w14:textId="77777777" w:rsidR="0008009C" w:rsidRDefault="0008009C">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73C6" w14:textId="77777777" w:rsidR="0008009C" w:rsidRDefault="00936FDF">
            <w:pPr>
              <w:jc w:val="center"/>
              <w:textAlignment w:val="bottom"/>
            </w:pPr>
            <w:r>
              <w:rPr>
                <w:rFonts w:ascii="Arial" w:eastAsia="宋体" w:hAnsi="Arial" w:cs="Arial"/>
                <w:color w:val="0068B5"/>
                <w:sz w:val="20"/>
                <w:szCs w:val="20"/>
              </w:rPr>
              <w:t>Research and Development $B</w:t>
            </w:r>
          </w:p>
        </w:tc>
        <w:tc>
          <w:tcPr>
            <w:tcW w:w="0" w:type="auto"/>
            <w:gridSpan w:val="3"/>
            <w:shd w:val="clear" w:color="auto" w:fill="auto"/>
            <w:tcMar>
              <w:top w:w="0" w:type="dxa"/>
              <w:left w:w="20" w:type="dxa"/>
              <w:bottom w:w="0" w:type="dxa"/>
              <w:right w:w="20" w:type="dxa"/>
            </w:tcMar>
          </w:tcPr>
          <w:p w14:paraId="5C7C73C7" w14:textId="77777777" w:rsidR="0008009C" w:rsidRDefault="0008009C">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73C8" w14:textId="77777777" w:rsidR="0008009C" w:rsidRDefault="00936FDF">
            <w:pPr>
              <w:jc w:val="center"/>
              <w:textAlignment w:val="bottom"/>
            </w:pPr>
            <w:r>
              <w:rPr>
                <w:rFonts w:ascii="Arial" w:eastAsia="宋体" w:hAnsi="Arial" w:cs="Arial"/>
                <w:color w:val="0068B5"/>
                <w:sz w:val="20"/>
                <w:szCs w:val="20"/>
              </w:rPr>
              <w:t xml:space="preserve">Marketing, General, and </w:t>
            </w:r>
            <w:r>
              <w:rPr>
                <w:rFonts w:ascii="Arial" w:eastAsia="宋体" w:hAnsi="Arial" w:cs="Arial"/>
                <w:color w:val="0068B5"/>
                <w:sz w:val="20"/>
                <w:szCs w:val="20"/>
              </w:rPr>
              <w:t>Administrative $B</w:t>
            </w:r>
          </w:p>
        </w:tc>
      </w:tr>
      <w:tr w:rsidR="0008009C" w14:paraId="5C7C73D2" w14:textId="77777777">
        <w:trPr>
          <w:jc w:val="center"/>
          <w:hidden/>
        </w:trPr>
        <w:tc>
          <w:tcPr>
            <w:tcW w:w="0" w:type="auto"/>
            <w:gridSpan w:val="3"/>
            <w:shd w:val="clear" w:color="auto" w:fill="auto"/>
          </w:tcPr>
          <w:p w14:paraId="5C7C73CA" w14:textId="77777777" w:rsidR="0008009C" w:rsidRDefault="0008009C">
            <w:pPr>
              <w:rPr>
                <w:rFonts w:ascii="宋体"/>
                <w:vanish/>
              </w:rPr>
            </w:pPr>
          </w:p>
        </w:tc>
        <w:tc>
          <w:tcPr>
            <w:tcW w:w="0" w:type="auto"/>
            <w:gridSpan w:val="3"/>
            <w:shd w:val="clear" w:color="auto" w:fill="auto"/>
          </w:tcPr>
          <w:p w14:paraId="5C7C73CB" w14:textId="77777777" w:rsidR="0008009C" w:rsidRDefault="0008009C">
            <w:pPr>
              <w:rPr>
                <w:rFonts w:ascii="宋体"/>
                <w:vanish/>
              </w:rPr>
            </w:pPr>
          </w:p>
        </w:tc>
        <w:tc>
          <w:tcPr>
            <w:tcW w:w="0" w:type="auto"/>
            <w:shd w:val="clear" w:color="auto" w:fill="auto"/>
          </w:tcPr>
          <w:p w14:paraId="5C7C73CC" w14:textId="77777777" w:rsidR="0008009C" w:rsidRDefault="0008009C">
            <w:pPr>
              <w:rPr>
                <w:rFonts w:ascii="宋体"/>
              </w:rPr>
            </w:pPr>
          </w:p>
        </w:tc>
        <w:tc>
          <w:tcPr>
            <w:tcW w:w="0" w:type="auto"/>
            <w:shd w:val="clear" w:color="auto" w:fill="auto"/>
          </w:tcPr>
          <w:p w14:paraId="5C7C73CD" w14:textId="77777777" w:rsidR="0008009C" w:rsidRDefault="0008009C">
            <w:pPr>
              <w:rPr>
                <w:rFonts w:ascii="宋体"/>
              </w:rPr>
            </w:pPr>
          </w:p>
        </w:tc>
        <w:tc>
          <w:tcPr>
            <w:tcW w:w="0" w:type="auto"/>
            <w:shd w:val="clear" w:color="auto" w:fill="auto"/>
          </w:tcPr>
          <w:p w14:paraId="5C7C73CE" w14:textId="77777777" w:rsidR="0008009C" w:rsidRDefault="0008009C">
            <w:pPr>
              <w:rPr>
                <w:rFonts w:ascii="宋体"/>
              </w:rPr>
            </w:pPr>
          </w:p>
        </w:tc>
        <w:tc>
          <w:tcPr>
            <w:tcW w:w="0" w:type="auto"/>
            <w:shd w:val="clear" w:color="auto" w:fill="auto"/>
          </w:tcPr>
          <w:p w14:paraId="5C7C73CF" w14:textId="77777777" w:rsidR="0008009C" w:rsidRDefault="0008009C">
            <w:pPr>
              <w:rPr>
                <w:rFonts w:ascii="宋体"/>
              </w:rPr>
            </w:pPr>
          </w:p>
        </w:tc>
        <w:tc>
          <w:tcPr>
            <w:tcW w:w="0" w:type="auto"/>
            <w:shd w:val="clear" w:color="auto" w:fill="auto"/>
          </w:tcPr>
          <w:p w14:paraId="5C7C73D0" w14:textId="77777777" w:rsidR="0008009C" w:rsidRDefault="0008009C">
            <w:pPr>
              <w:rPr>
                <w:rFonts w:ascii="宋体"/>
              </w:rPr>
            </w:pPr>
          </w:p>
        </w:tc>
        <w:tc>
          <w:tcPr>
            <w:tcW w:w="0" w:type="auto"/>
            <w:shd w:val="clear" w:color="auto" w:fill="auto"/>
          </w:tcPr>
          <w:p w14:paraId="5C7C73D1" w14:textId="77777777" w:rsidR="0008009C" w:rsidRDefault="0008009C">
            <w:pPr>
              <w:rPr>
                <w:rFonts w:ascii="宋体"/>
              </w:rPr>
            </w:pPr>
          </w:p>
        </w:tc>
      </w:tr>
    </w:tbl>
    <w:p w14:paraId="5C7C73D3" w14:textId="77777777" w:rsidR="0008009C" w:rsidRDefault="00936FDF">
      <w:pPr>
        <w:spacing w:after="300"/>
        <w:jc w:val="center"/>
      </w:pPr>
      <w:r>
        <w:rPr>
          <w:rFonts w:ascii="Arial" w:eastAsia="宋体" w:hAnsi="Arial" w:cs="Arial"/>
          <w:color w:val="262626"/>
          <w:sz w:val="18"/>
          <w:szCs w:val="18"/>
        </w:rPr>
        <w:t>(Percentages indicate expenses as a percentage of total revenue)</w:t>
      </w:r>
    </w:p>
    <w:p w14:paraId="5C7C73D4" w14:textId="77777777" w:rsidR="0008009C" w:rsidRDefault="00936FDF">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5C" wp14:editId="5C7C7D5D">
            <wp:extent cx="304800" cy="304800"/>
            <wp:effectExtent l="0" t="0" r="0" b="0"/>
            <wp:docPr id="53" name="图片 111"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1" descr="IMG_30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Viewer7_files/intc-20210</w:instrText>
      </w:r>
      <w:r>
        <w:rPr>
          <w:rFonts w:ascii="宋体" w:eastAsia="宋体" w:hAnsi="宋体" w:cs="宋体"/>
        </w:rPr>
        <w:instrText xml:space="preserve">327_g20.jpg"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5E" wp14:editId="5C7C7D5F">
            <wp:extent cx="304800" cy="304800"/>
            <wp:effectExtent l="0" t="0" r="0" b="0"/>
            <wp:docPr id="54" name="图片 112"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2" descr="IMG_30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8009C" w14:paraId="5C7C73D8" w14:textId="77777777">
        <w:tc>
          <w:tcPr>
            <w:tcW w:w="50" w:type="pct"/>
            <w:shd w:val="clear" w:color="auto" w:fill="auto"/>
          </w:tcPr>
          <w:p w14:paraId="5C7C73D5" w14:textId="77777777" w:rsidR="0008009C" w:rsidRDefault="0008009C">
            <w:pPr>
              <w:rPr>
                <w:rFonts w:ascii="宋体"/>
              </w:rPr>
            </w:pPr>
          </w:p>
        </w:tc>
        <w:tc>
          <w:tcPr>
            <w:tcW w:w="4945" w:type="pct"/>
            <w:shd w:val="clear" w:color="auto" w:fill="auto"/>
          </w:tcPr>
          <w:p w14:paraId="5C7C73D6" w14:textId="77777777" w:rsidR="0008009C" w:rsidRDefault="0008009C">
            <w:pPr>
              <w:rPr>
                <w:rFonts w:ascii="宋体"/>
              </w:rPr>
            </w:pPr>
          </w:p>
        </w:tc>
        <w:tc>
          <w:tcPr>
            <w:tcW w:w="5" w:type="pct"/>
            <w:shd w:val="clear" w:color="auto" w:fill="auto"/>
          </w:tcPr>
          <w:p w14:paraId="5C7C73D7" w14:textId="77777777" w:rsidR="0008009C" w:rsidRDefault="0008009C">
            <w:pPr>
              <w:rPr>
                <w:rFonts w:ascii="宋体"/>
              </w:rPr>
            </w:pPr>
          </w:p>
        </w:tc>
      </w:tr>
      <w:tr w:rsidR="0008009C" w14:paraId="5C7C73DA"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73D9" w14:textId="77777777" w:rsidR="0008009C" w:rsidRDefault="00936FDF">
            <w:pPr>
              <w:textAlignment w:val="bottom"/>
            </w:pPr>
            <w:r>
              <w:rPr>
                <w:rFonts w:ascii="Arial" w:eastAsia="宋体" w:hAnsi="Arial" w:cs="Arial"/>
                <w:color w:val="0068B5"/>
                <w:sz w:val="20"/>
                <w:szCs w:val="20"/>
              </w:rPr>
              <w:t>Research and Development</w:t>
            </w:r>
          </w:p>
        </w:tc>
      </w:tr>
    </w:tbl>
    <w:p w14:paraId="5C7C73DB" w14:textId="77777777" w:rsidR="0008009C" w:rsidRDefault="00936FDF">
      <w:pPr>
        <w:spacing w:before="180" w:after="120"/>
      </w:pPr>
      <w:r>
        <w:rPr>
          <w:rFonts w:ascii="Arial" w:eastAsia="宋体" w:hAnsi="Arial" w:cs="Arial"/>
          <w:color w:val="0068B5"/>
          <w:sz w:val="20"/>
          <w:szCs w:val="20"/>
        </w:rPr>
        <w:t>Q1 2021 vs. Q1 2020</w:t>
      </w:r>
      <w:r>
        <w:rPr>
          <w:rFonts w:ascii="Arial" w:eastAsia="宋体" w:hAnsi="Arial" w:cs="Arial"/>
          <w:color w:val="0068B5"/>
          <w:sz w:val="18"/>
          <w:szCs w:val="18"/>
        </w:rPr>
        <w:t xml:space="preserve"> </w:t>
      </w:r>
    </w:p>
    <w:tbl>
      <w:tblPr>
        <w:tblW w:w="2548" w:type="pct"/>
        <w:tblCellMar>
          <w:top w:w="15" w:type="dxa"/>
          <w:left w:w="15" w:type="dxa"/>
          <w:bottom w:w="15" w:type="dxa"/>
          <w:right w:w="15" w:type="dxa"/>
        </w:tblCellMar>
        <w:tblLook w:val="04A0" w:firstRow="1" w:lastRow="0" w:firstColumn="1" w:lastColumn="0" w:noHBand="0" w:noVBand="1"/>
      </w:tblPr>
      <w:tblGrid>
        <w:gridCol w:w="38"/>
        <w:gridCol w:w="109"/>
        <w:gridCol w:w="38"/>
        <w:gridCol w:w="38"/>
        <w:gridCol w:w="3987"/>
        <w:gridCol w:w="38"/>
      </w:tblGrid>
      <w:tr w:rsidR="0008009C" w14:paraId="5C7C73E2" w14:textId="77777777">
        <w:tc>
          <w:tcPr>
            <w:tcW w:w="50" w:type="pct"/>
            <w:shd w:val="clear" w:color="auto" w:fill="auto"/>
          </w:tcPr>
          <w:p w14:paraId="5C7C73DC" w14:textId="77777777" w:rsidR="0008009C" w:rsidRDefault="0008009C">
            <w:pPr>
              <w:rPr>
                <w:rFonts w:ascii="宋体"/>
              </w:rPr>
            </w:pPr>
          </w:p>
        </w:tc>
        <w:tc>
          <w:tcPr>
            <w:tcW w:w="159" w:type="pct"/>
            <w:shd w:val="clear" w:color="auto" w:fill="auto"/>
          </w:tcPr>
          <w:p w14:paraId="5C7C73DD" w14:textId="77777777" w:rsidR="0008009C" w:rsidRDefault="0008009C">
            <w:pPr>
              <w:rPr>
                <w:rFonts w:ascii="宋体"/>
              </w:rPr>
            </w:pPr>
          </w:p>
        </w:tc>
        <w:tc>
          <w:tcPr>
            <w:tcW w:w="5" w:type="pct"/>
            <w:shd w:val="clear" w:color="auto" w:fill="auto"/>
          </w:tcPr>
          <w:p w14:paraId="5C7C73DE" w14:textId="77777777" w:rsidR="0008009C" w:rsidRDefault="0008009C">
            <w:pPr>
              <w:rPr>
                <w:rFonts w:ascii="宋体"/>
              </w:rPr>
            </w:pPr>
          </w:p>
        </w:tc>
        <w:tc>
          <w:tcPr>
            <w:tcW w:w="50" w:type="pct"/>
            <w:shd w:val="clear" w:color="auto" w:fill="auto"/>
          </w:tcPr>
          <w:p w14:paraId="5C7C73DF" w14:textId="77777777" w:rsidR="0008009C" w:rsidRDefault="0008009C">
            <w:pPr>
              <w:rPr>
                <w:rFonts w:ascii="宋体"/>
              </w:rPr>
            </w:pPr>
          </w:p>
        </w:tc>
        <w:tc>
          <w:tcPr>
            <w:tcW w:w="4730" w:type="pct"/>
            <w:shd w:val="clear" w:color="auto" w:fill="auto"/>
          </w:tcPr>
          <w:p w14:paraId="5C7C73E0" w14:textId="77777777" w:rsidR="0008009C" w:rsidRDefault="0008009C">
            <w:pPr>
              <w:rPr>
                <w:rFonts w:ascii="宋体"/>
              </w:rPr>
            </w:pPr>
          </w:p>
        </w:tc>
        <w:tc>
          <w:tcPr>
            <w:tcW w:w="5" w:type="pct"/>
            <w:shd w:val="clear" w:color="auto" w:fill="auto"/>
          </w:tcPr>
          <w:p w14:paraId="5C7C73E1" w14:textId="77777777" w:rsidR="0008009C" w:rsidRDefault="0008009C">
            <w:pPr>
              <w:rPr>
                <w:rFonts w:ascii="宋体"/>
              </w:rPr>
            </w:pPr>
          </w:p>
        </w:tc>
      </w:tr>
      <w:tr w:rsidR="0008009C" w14:paraId="5C7C73E4" w14:textId="77777777">
        <w:tc>
          <w:tcPr>
            <w:tcW w:w="0" w:type="auto"/>
            <w:gridSpan w:val="6"/>
            <w:shd w:val="clear" w:color="auto" w:fill="auto"/>
            <w:tcMar>
              <w:top w:w="40" w:type="dxa"/>
              <w:left w:w="20" w:type="dxa"/>
              <w:bottom w:w="40" w:type="dxa"/>
              <w:right w:w="20" w:type="dxa"/>
            </w:tcMar>
            <w:vAlign w:val="bottom"/>
          </w:tcPr>
          <w:p w14:paraId="5C7C73E3" w14:textId="77777777" w:rsidR="0008009C" w:rsidRDefault="00936FDF">
            <w:pPr>
              <w:textAlignment w:val="bottom"/>
            </w:pPr>
            <w:r>
              <w:rPr>
                <w:rFonts w:ascii="Arial" w:eastAsia="宋体" w:hAnsi="Arial" w:cs="Arial"/>
                <w:color w:val="262626"/>
                <w:sz w:val="18"/>
                <w:szCs w:val="18"/>
              </w:rPr>
              <w:t>R&amp;D increased by $348 million, or 10.6%, driven by the following:</w:t>
            </w:r>
          </w:p>
        </w:tc>
      </w:tr>
      <w:tr w:rsidR="0008009C" w14:paraId="5C7C73E7" w14:textId="77777777">
        <w:trPr>
          <w:trHeight w:val="100"/>
        </w:trPr>
        <w:tc>
          <w:tcPr>
            <w:tcW w:w="0" w:type="auto"/>
            <w:gridSpan w:val="3"/>
            <w:shd w:val="clear" w:color="auto" w:fill="auto"/>
            <w:tcMar>
              <w:top w:w="0" w:type="dxa"/>
              <w:left w:w="20" w:type="dxa"/>
              <w:bottom w:w="0" w:type="dxa"/>
              <w:right w:w="20" w:type="dxa"/>
            </w:tcMar>
          </w:tcPr>
          <w:p w14:paraId="5C7C73E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3E6" w14:textId="77777777" w:rsidR="0008009C" w:rsidRDefault="0008009C">
            <w:pPr>
              <w:rPr>
                <w:rFonts w:ascii="宋体"/>
              </w:rPr>
            </w:pPr>
          </w:p>
        </w:tc>
      </w:tr>
      <w:tr w:rsidR="0008009C" w14:paraId="5C7C73EA" w14:textId="77777777">
        <w:tc>
          <w:tcPr>
            <w:tcW w:w="0" w:type="auto"/>
            <w:gridSpan w:val="3"/>
            <w:shd w:val="clear" w:color="auto" w:fill="FFFFFF"/>
            <w:tcMar>
              <w:top w:w="40" w:type="dxa"/>
              <w:left w:w="20" w:type="dxa"/>
              <w:bottom w:w="40" w:type="dxa"/>
              <w:right w:w="20" w:type="dxa"/>
            </w:tcMar>
            <w:vAlign w:val="bottom"/>
          </w:tcPr>
          <w:p w14:paraId="5C7C73E8" w14:textId="77777777" w:rsidR="0008009C" w:rsidRDefault="00936FDF">
            <w:pPr>
              <w:jc w:val="center"/>
              <w:textAlignment w:val="bottom"/>
            </w:pPr>
            <w:r>
              <w:rPr>
                <w:rFonts w:ascii="Arial" w:eastAsia="宋体" w:hAnsi="Arial" w:cs="Arial"/>
                <w:b/>
                <w:bCs/>
                <w:color w:val="00A3F6"/>
                <w:sz w:val="18"/>
                <w:szCs w:val="18"/>
              </w:rPr>
              <w:t>+</w:t>
            </w:r>
          </w:p>
        </w:tc>
        <w:tc>
          <w:tcPr>
            <w:tcW w:w="0" w:type="auto"/>
            <w:gridSpan w:val="3"/>
            <w:shd w:val="clear" w:color="auto" w:fill="FFFFFF"/>
            <w:tcMar>
              <w:top w:w="40" w:type="dxa"/>
              <w:left w:w="20" w:type="dxa"/>
              <w:bottom w:w="40" w:type="dxa"/>
              <w:right w:w="20" w:type="dxa"/>
            </w:tcMar>
            <w:vAlign w:val="bottom"/>
          </w:tcPr>
          <w:p w14:paraId="5C7C73E9" w14:textId="77777777" w:rsidR="0008009C" w:rsidRDefault="00936FDF">
            <w:pPr>
              <w:textAlignment w:val="bottom"/>
            </w:pPr>
            <w:r>
              <w:rPr>
                <w:rFonts w:ascii="Arial" w:eastAsia="宋体" w:hAnsi="Arial" w:cs="Arial"/>
                <w:color w:val="262626"/>
                <w:sz w:val="18"/>
                <w:szCs w:val="18"/>
              </w:rPr>
              <w:t>Investments in CCG, DCG, and Mobileye</w:t>
            </w:r>
          </w:p>
        </w:tc>
      </w:tr>
      <w:tr w:rsidR="0008009C" w14:paraId="5C7C73ED" w14:textId="77777777">
        <w:tc>
          <w:tcPr>
            <w:tcW w:w="0" w:type="auto"/>
            <w:gridSpan w:val="3"/>
            <w:shd w:val="clear" w:color="auto" w:fill="FFFFFF"/>
            <w:tcMar>
              <w:top w:w="40" w:type="dxa"/>
              <w:left w:w="20" w:type="dxa"/>
              <w:bottom w:w="40" w:type="dxa"/>
              <w:right w:w="20" w:type="dxa"/>
            </w:tcMar>
            <w:vAlign w:val="bottom"/>
          </w:tcPr>
          <w:p w14:paraId="5C7C73EB" w14:textId="77777777" w:rsidR="0008009C" w:rsidRDefault="00936FDF">
            <w:pPr>
              <w:jc w:val="center"/>
              <w:textAlignment w:val="bottom"/>
            </w:pPr>
            <w:r>
              <w:rPr>
                <w:rFonts w:ascii="Arial" w:eastAsia="宋体" w:hAnsi="Arial" w:cs="Arial"/>
                <w:b/>
                <w:bCs/>
                <w:color w:val="00A3F6"/>
                <w:sz w:val="18"/>
                <w:szCs w:val="18"/>
              </w:rPr>
              <w:t>+</w:t>
            </w:r>
          </w:p>
        </w:tc>
        <w:tc>
          <w:tcPr>
            <w:tcW w:w="0" w:type="auto"/>
            <w:gridSpan w:val="3"/>
            <w:shd w:val="clear" w:color="auto" w:fill="FFFFFF"/>
            <w:tcMar>
              <w:top w:w="40" w:type="dxa"/>
              <w:left w:w="20" w:type="dxa"/>
              <w:bottom w:w="40" w:type="dxa"/>
              <w:right w:w="20" w:type="dxa"/>
            </w:tcMar>
            <w:vAlign w:val="bottom"/>
          </w:tcPr>
          <w:p w14:paraId="5C7C73EC" w14:textId="77777777" w:rsidR="0008009C" w:rsidRDefault="00936FDF">
            <w:pPr>
              <w:textAlignment w:val="bottom"/>
            </w:pPr>
            <w:r>
              <w:rPr>
                <w:rFonts w:ascii="Arial" w:eastAsia="宋体" w:hAnsi="Arial" w:cs="Arial"/>
                <w:color w:val="262626"/>
                <w:sz w:val="18"/>
                <w:szCs w:val="18"/>
              </w:rPr>
              <w:t>Investments in our process technology</w:t>
            </w:r>
          </w:p>
        </w:tc>
      </w:tr>
      <w:tr w:rsidR="0008009C" w14:paraId="5C7C73F0" w14:textId="77777777">
        <w:tc>
          <w:tcPr>
            <w:tcW w:w="0" w:type="auto"/>
            <w:gridSpan w:val="3"/>
            <w:shd w:val="clear" w:color="auto" w:fill="FFFFFF"/>
            <w:tcMar>
              <w:top w:w="40" w:type="dxa"/>
              <w:left w:w="20" w:type="dxa"/>
              <w:bottom w:w="40" w:type="dxa"/>
              <w:right w:w="20" w:type="dxa"/>
            </w:tcMar>
            <w:vAlign w:val="bottom"/>
          </w:tcPr>
          <w:p w14:paraId="5C7C73EE" w14:textId="77777777" w:rsidR="0008009C" w:rsidRDefault="00936FDF">
            <w:pPr>
              <w:jc w:val="center"/>
              <w:textAlignment w:val="bottom"/>
            </w:pPr>
            <w:r>
              <w:rPr>
                <w:rFonts w:ascii="Arial" w:eastAsia="宋体" w:hAnsi="Arial" w:cs="Arial"/>
                <w:b/>
                <w:bCs/>
                <w:color w:val="FF8F51"/>
                <w:sz w:val="18"/>
                <w:szCs w:val="18"/>
              </w:rPr>
              <w:t>-</w:t>
            </w:r>
          </w:p>
        </w:tc>
        <w:tc>
          <w:tcPr>
            <w:tcW w:w="0" w:type="auto"/>
            <w:gridSpan w:val="3"/>
            <w:shd w:val="clear" w:color="auto" w:fill="FFFFFF"/>
            <w:tcMar>
              <w:top w:w="40" w:type="dxa"/>
              <w:left w:w="20" w:type="dxa"/>
              <w:bottom w:w="40" w:type="dxa"/>
              <w:right w:w="20" w:type="dxa"/>
            </w:tcMar>
            <w:vAlign w:val="bottom"/>
          </w:tcPr>
          <w:p w14:paraId="5C7C73EF" w14:textId="77777777" w:rsidR="0008009C" w:rsidRDefault="00936FDF">
            <w:pPr>
              <w:textAlignment w:val="bottom"/>
            </w:pPr>
            <w:r>
              <w:rPr>
                <w:rFonts w:ascii="Arial" w:eastAsia="宋体" w:hAnsi="Arial" w:cs="Arial"/>
                <w:color w:val="262626"/>
                <w:sz w:val="18"/>
                <w:szCs w:val="18"/>
              </w:rPr>
              <w:t>Incentive-based cash compensation</w:t>
            </w:r>
          </w:p>
        </w:tc>
      </w:tr>
      <w:tr w:rsidR="0008009C" w14:paraId="5C7C73F3" w14:textId="77777777">
        <w:trPr>
          <w:hidden/>
        </w:trPr>
        <w:tc>
          <w:tcPr>
            <w:tcW w:w="0" w:type="auto"/>
            <w:gridSpan w:val="3"/>
            <w:shd w:val="clear" w:color="auto" w:fill="auto"/>
          </w:tcPr>
          <w:p w14:paraId="5C7C73F1" w14:textId="77777777" w:rsidR="0008009C" w:rsidRDefault="0008009C">
            <w:pPr>
              <w:rPr>
                <w:rFonts w:ascii="宋体"/>
                <w:vanish/>
              </w:rPr>
            </w:pPr>
          </w:p>
        </w:tc>
        <w:tc>
          <w:tcPr>
            <w:tcW w:w="0" w:type="auto"/>
            <w:gridSpan w:val="3"/>
            <w:shd w:val="clear" w:color="auto" w:fill="auto"/>
          </w:tcPr>
          <w:p w14:paraId="5C7C73F2" w14:textId="77777777" w:rsidR="0008009C" w:rsidRDefault="0008009C">
            <w:pPr>
              <w:rPr>
                <w:rFonts w:ascii="宋体"/>
                <w:vanish/>
              </w:rPr>
            </w:pPr>
          </w:p>
        </w:tc>
      </w:tr>
      <w:tr w:rsidR="0008009C" w14:paraId="5C7C73F6" w14:textId="77777777">
        <w:trPr>
          <w:hidden/>
        </w:trPr>
        <w:tc>
          <w:tcPr>
            <w:tcW w:w="0" w:type="auto"/>
            <w:gridSpan w:val="3"/>
            <w:shd w:val="clear" w:color="auto" w:fill="auto"/>
          </w:tcPr>
          <w:p w14:paraId="5C7C73F4" w14:textId="77777777" w:rsidR="0008009C" w:rsidRDefault="0008009C">
            <w:pPr>
              <w:rPr>
                <w:rFonts w:ascii="宋体"/>
                <w:vanish/>
              </w:rPr>
            </w:pPr>
          </w:p>
        </w:tc>
        <w:tc>
          <w:tcPr>
            <w:tcW w:w="0" w:type="auto"/>
            <w:gridSpan w:val="3"/>
            <w:shd w:val="clear" w:color="auto" w:fill="auto"/>
          </w:tcPr>
          <w:p w14:paraId="5C7C73F5" w14:textId="77777777" w:rsidR="0008009C" w:rsidRDefault="0008009C">
            <w:pPr>
              <w:rPr>
                <w:rFonts w:ascii="宋体"/>
                <w:vanish/>
              </w:rPr>
            </w:pPr>
          </w:p>
        </w:tc>
      </w:tr>
    </w:tbl>
    <w:p w14:paraId="5C7C73F7"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8009C" w14:paraId="5C7C73FB" w14:textId="77777777">
        <w:tc>
          <w:tcPr>
            <w:tcW w:w="50" w:type="pct"/>
            <w:shd w:val="clear" w:color="auto" w:fill="auto"/>
          </w:tcPr>
          <w:p w14:paraId="5C7C73F8" w14:textId="77777777" w:rsidR="0008009C" w:rsidRDefault="0008009C">
            <w:pPr>
              <w:rPr>
                <w:rFonts w:ascii="宋体"/>
              </w:rPr>
            </w:pPr>
          </w:p>
        </w:tc>
        <w:tc>
          <w:tcPr>
            <w:tcW w:w="4945" w:type="pct"/>
            <w:shd w:val="clear" w:color="auto" w:fill="auto"/>
          </w:tcPr>
          <w:p w14:paraId="5C7C73F9" w14:textId="77777777" w:rsidR="0008009C" w:rsidRDefault="0008009C">
            <w:pPr>
              <w:rPr>
                <w:rFonts w:ascii="宋体"/>
              </w:rPr>
            </w:pPr>
          </w:p>
        </w:tc>
        <w:tc>
          <w:tcPr>
            <w:tcW w:w="5" w:type="pct"/>
            <w:shd w:val="clear" w:color="auto" w:fill="auto"/>
          </w:tcPr>
          <w:p w14:paraId="5C7C73FA" w14:textId="77777777" w:rsidR="0008009C" w:rsidRDefault="0008009C">
            <w:pPr>
              <w:rPr>
                <w:rFonts w:ascii="宋体"/>
              </w:rPr>
            </w:pPr>
          </w:p>
        </w:tc>
      </w:tr>
      <w:tr w:rsidR="0008009C" w14:paraId="5C7C73FD"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73FC" w14:textId="77777777" w:rsidR="0008009C" w:rsidRDefault="00936FDF">
            <w:pPr>
              <w:textAlignment w:val="bottom"/>
            </w:pPr>
            <w:r>
              <w:rPr>
                <w:rFonts w:ascii="Arial" w:eastAsia="宋体" w:hAnsi="Arial" w:cs="Arial"/>
                <w:color w:val="0068B5"/>
                <w:sz w:val="20"/>
                <w:szCs w:val="20"/>
              </w:rPr>
              <w:t>Marketing, General, and Administrative</w:t>
            </w:r>
          </w:p>
        </w:tc>
      </w:tr>
    </w:tbl>
    <w:p w14:paraId="5C7C73FE" w14:textId="77777777" w:rsidR="0008009C" w:rsidRDefault="00936FDF">
      <w:pPr>
        <w:spacing w:before="180" w:after="120"/>
      </w:pPr>
      <w:r>
        <w:rPr>
          <w:rFonts w:ascii="Arial" w:eastAsia="宋体" w:hAnsi="Arial" w:cs="Arial"/>
          <w:color w:val="0068B5"/>
          <w:sz w:val="20"/>
          <w:szCs w:val="20"/>
        </w:rPr>
        <w:t>Q1 2021 vs. Q1 2020</w:t>
      </w:r>
      <w:r>
        <w:rPr>
          <w:rFonts w:ascii="Arial" w:eastAsia="宋体" w:hAnsi="Arial" w:cs="Arial"/>
          <w:color w:val="0068B5"/>
          <w:sz w:val="18"/>
          <w:szCs w:val="18"/>
        </w:rPr>
        <w:t xml:space="preserve"> </w:t>
      </w:r>
    </w:p>
    <w:tbl>
      <w:tblPr>
        <w:tblW w:w="2548" w:type="pct"/>
        <w:tblCellMar>
          <w:top w:w="15" w:type="dxa"/>
          <w:left w:w="15" w:type="dxa"/>
          <w:bottom w:w="15" w:type="dxa"/>
          <w:right w:w="15" w:type="dxa"/>
        </w:tblCellMar>
        <w:tblLook w:val="04A0" w:firstRow="1" w:lastRow="0" w:firstColumn="1" w:lastColumn="0" w:noHBand="0" w:noVBand="1"/>
      </w:tblPr>
      <w:tblGrid>
        <w:gridCol w:w="37"/>
        <w:gridCol w:w="107"/>
        <w:gridCol w:w="37"/>
        <w:gridCol w:w="39"/>
        <w:gridCol w:w="3990"/>
        <w:gridCol w:w="38"/>
      </w:tblGrid>
      <w:tr w:rsidR="0008009C" w14:paraId="5C7C7405" w14:textId="77777777">
        <w:tc>
          <w:tcPr>
            <w:tcW w:w="50" w:type="pct"/>
            <w:shd w:val="clear" w:color="auto" w:fill="auto"/>
          </w:tcPr>
          <w:p w14:paraId="5C7C73FF" w14:textId="77777777" w:rsidR="0008009C" w:rsidRDefault="0008009C">
            <w:pPr>
              <w:rPr>
                <w:rFonts w:ascii="宋体"/>
              </w:rPr>
            </w:pPr>
          </w:p>
        </w:tc>
        <w:tc>
          <w:tcPr>
            <w:tcW w:w="159" w:type="pct"/>
            <w:shd w:val="clear" w:color="auto" w:fill="auto"/>
          </w:tcPr>
          <w:p w14:paraId="5C7C7400" w14:textId="77777777" w:rsidR="0008009C" w:rsidRDefault="0008009C">
            <w:pPr>
              <w:rPr>
                <w:rFonts w:ascii="宋体"/>
              </w:rPr>
            </w:pPr>
          </w:p>
        </w:tc>
        <w:tc>
          <w:tcPr>
            <w:tcW w:w="5" w:type="pct"/>
            <w:shd w:val="clear" w:color="auto" w:fill="auto"/>
          </w:tcPr>
          <w:p w14:paraId="5C7C7401" w14:textId="77777777" w:rsidR="0008009C" w:rsidRDefault="0008009C">
            <w:pPr>
              <w:rPr>
                <w:rFonts w:ascii="宋体"/>
              </w:rPr>
            </w:pPr>
          </w:p>
        </w:tc>
        <w:tc>
          <w:tcPr>
            <w:tcW w:w="50" w:type="pct"/>
            <w:shd w:val="clear" w:color="auto" w:fill="auto"/>
          </w:tcPr>
          <w:p w14:paraId="5C7C7402" w14:textId="77777777" w:rsidR="0008009C" w:rsidRDefault="0008009C">
            <w:pPr>
              <w:rPr>
                <w:rFonts w:ascii="宋体"/>
              </w:rPr>
            </w:pPr>
          </w:p>
        </w:tc>
        <w:tc>
          <w:tcPr>
            <w:tcW w:w="4730" w:type="pct"/>
            <w:shd w:val="clear" w:color="auto" w:fill="auto"/>
          </w:tcPr>
          <w:p w14:paraId="5C7C7403" w14:textId="77777777" w:rsidR="0008009C" w:rsidRDefault="0008009C">
            <w:pPr>
              <w:rPr>
                <w:rFonts w:ascii="宋体"/>
              </w:rPr>
            </w:pPr>
          </w:p>
        </w:tc>
        <w:tc>
          <w:tcPr>
            <w:tcW w:w="5" w:type="pct"/>
            <w:shd w:val="clear" w:color="auto" w:fill="auto"/>
          </w:tcPr>
          <w:p w14:paraId="5C7C7404" w14:textId="77777777" w:rsidR="0008009C" w:rsidRDefault="0008009C">
            <w:pPr>
              <w:rPr>
                <w:rFonts w:ascii="宋体"/>
              </w:rPr>
            </w:pPr>
          </w:p>
        </w:tc>
      </w:tr>
      <w:tr w:rsidR="0008009C" w14:paraId="5C7C7407" w14:textId="77777777">
        <w:tc>
          <w:tcPr>
            <w:tcW w:w="0" w:type="auto"/>
            <w:gridSpan w:val="6"/>
            <w:shd w:val="clear" w:color="auto" w:fill="auto"/>
            <w:tcMar>
              <w:top w:w="40" w:type="dxa"/>
              <w:left w:w="20" w:type="dxa"/>
              <w:bottom w:w="40" w:type="dxa"/>
              <w:right w:w="20" w:type="dxa"/>
            </w:tcMar>
            <w:vAlign w:val="bottom"/>
          </w:tcPr>
          <w:p w14:paraId="5C7C7406" w14:textId="77777777" w:rsidR="0008009C" w:rsidRDefault="00936FDF">
            <w:pPr>
              <w:textAlignment w:val="bottom"/>
            </w:pPr>
            <w:r>
              <w:rPr>
                <w:rFonts w:ascii="Arial" w:eastAsia="宋体" w:hAnsi="Arial" w:cs="Arial"/>
                <w:color w:val="262626"/>
                <w:sz w:val="18"/>
                <w:szCs w:val="18"/>
              </w:rPr>
              <w:t>MG&amp;A decreased by $213 million, or 13.8%, driven by the following:</w:t>
            </w:r>
          </w:p>
        </w:tc>
      </w:tr>
      <w:tr w:rsidR="0008009C" w14:paraId="5C7C740A" w14:textId="77777777">
        <w:trPr>
          <w:trHeight w:val="100"/>
        </w:trPr>
        <w:tc>
          <w:tcPr>
            <w:tcW w:w="0" w:type="auto"/>
            <w:gridSpan w:val="3"/>
            <w:shd w:val="clear" w:color="auto" w:fill="auto"/>
            <w:tcMar>
              <w:top w:w="0" w:type="dxa"/>
              <w:left w:w="20" w:type="dxa"/>
              <w:bottom w:w="0" w:type="dxa"/>
              <w:right w:w="20" w:type="dxa"/>
            </w:tcMar>
          </w:tcPr>
          <w:p w14:paraId="5C7C740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409" w14:textId="77777777" w:rsidR="0008009C" w:rsidRDefault="0008009C">
            <w:pPr>
              <w:rPr>
                <w:rFonts w:ascii="宋体"/>
              </w:rPr>
            </w:pPr>
          </w:p>
        </w:tc>
      </w:tr>
      <w:tr w:rsidR="0008009C" w14:paraId="5C7C740D" w14:textId="77777777">
        <w:tc>
          <w:tcPr>
            <w:tcW w:w="0" w:type="auto"/>
            <w:gridSpan w:val="3"/>
            <w:shd w:val="clear" w:color="auto" w:fill="auto"/>
            <w:tcMar>
              <w:top w:w="40" w:type="dxa"/>
              <w:left w:w="20" w:type="dxa"/>
              <w:bottom w:w="40" w:type="dxa"/>
              <w:right w:w="20" w:type="dxa"/>
            </w:tcMar>
            <w:vAlign w:val="bottom"/>
          </w:tcPr>
          <w:p w14:paraId="5C7C740B" w14:textId="77777777" w:rsidR="0008009C" w:rsidRDefault="00936FDF">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5C7C740C" w14:textId="77777777" w:rsidR="0008009C" w:rsidRDefault="00936FDF">
            <w:pPr>
              <w:textAlignment w:val="bottom"/>
            </w:pPr>
            <w:r>
              <w:rPr>
                <w:rFonts w:ascii="Arial" w:eastAsia="宋体" w:hAnsi="Arial" w:cs="Arial"/>
                <w:color w:val="262626"/>
                <w:sz w:val="18"/>
                <w:szCs w:val="18"/>
              </w:rPr>
              <w:t>Corporate spending efficiencies</w:t>
            </w:r>
          </w:p>
        </w:tc>
      </w:tr>
      <w:tr w:rsidR="0008009C" w14:paraId="5C7C7410" w14:textId="77777777">
        <w:tc>
          <w:tcPr>
            <w:tcW w:w="0" w:type="auto"/>
            <w:gridSpan w:val="3"/>
            <w:shd w:val="clear" w:color="auto" w:fill="auto"/>
            <w:tcMar>
              <w:top w:w="40" w:type="dxa"/>
              <w:left w:w="20" w:type="dxa"/>
              <w:bottom w:w="40" w:type="dxa"/>
              <w:right w:w="20" w:type="dxa"/>
            </w:tcMar>
            <w:vAlign w:val="bottom"/>
          </w:tcPr>
          <w:p w14:paraId="5C7C740E" w14:textId="77777777" w:rsidR="0008009C" w:rsidRDefault="00936FDF">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5C7C740F" w14:textId="77777777" w:rsidR="0008009C" w:rsidRDefault="00936FDF">
            <w:pPr>
              <w:textAlignment w:val="bottom"/>
            </w:pPr>
            <w:r>
              <w:rPr>
                <w:rFonts w:ascii="Arial" w:eastAsia="宋体" w:hAnsi="Arial" w:cs="Arial"/>
                <w:color w:val="262626"/>
                <w:sz w:val="18"/>
                <w:szCs w:val="18"/>
              </w:rPr>
              <w:t xml:space="preserve">Incentive-based cash </w:t>
            </w:r>
            <w:r>
              <w:rPr>
                <w:rFonts w:ascii="Arial" w:eastAsia="宋体" w:hAnsi="Arial" w:cs="Arial"/>
                <w:color w:val="262626"/>
                <w:sz w:val="18"/>
                <w:szCs w:val="18"/>
              </w:rPr>
              <w:t>compensation</w:t>
            </w:r>
          </w:p>
        </w:tc>
      </w:tr>
      <w:tr w:rsidR="0008009C" w14:paraId="5C7C7413" w14:textId="77777777">
        <w:trPr>
          <w:hidden/>
        </w:trPr>
        <w:tc>
          <w:tcPr>
            <w:tcW w:w="0" w:type="auto"/>
            <w:gridSpan w:val="3"/>
            <w:shd w:val="clear" w:color="auto" w:fill="auto"/>
          </w:tcPr>
          <w:p w14:paraId="5C7C7411" w14:textId="77777777" w:rsidR="0008009C" w:rsidRDefault="0008009C">
            <w:pPr>
              <w:rPr>
                <w:rFonts w:ascii="宋体"/>
                <w:vanish/>
              </w:rPr>
            </w:pPr>
          </w:p>
        </w:tc>
        <w:tc>
          <w:tcPr>
            <w:tcW w:w="0" w:type="auto"/>
            <w:gridSpan w:val="3"/>
            <w:shd w:val="clear" w:color="auto" w:fill="auto"/>
          </w:tcPr>
          <w:p w14:paraId="5C7C7412" w14:textId="77777777" w:rsidR="0008009C" w:rsidRDefault="0008009C">
            <w:pPr>
              <w:rPr>
                <w:rFonts w:ascii="宋体"/>
                <w:vanish/>
              </w:rPr>
            </w:pPr>
          </w:p>
        </w:tc>
      </w:tr>
      <w:tr w:rsidR="0008009C" w14:paraId="5C7C7416" w14:textId="77777777">
        <w:trPr>
          <w:hidden/>
        </w:trPr>
        <w:tc>
          <w:tcPr>
            <w:tcW w:w="0" w:type="auto"/>
            <w:gridSpan w:val="3"/>
            <w:shd w:val="clear" w:color="auto" w:fill="auto"/>
          </w:tcPr>
          <w:p w14:paraId="5C7C7414" w14:textId="77777777" w:rsidR="0008009C" w:rsidRDefault="0008009C">
            <w:pPr>
              <w:rPr>
                <w:rFonts w:ascii="宋体"/>
                <w:vanish/>
              </w:rPr>
            </w:pPr>
          </w:p>
        </w:tc>
        <w:tc>
          <w:tcPr>
            <w:tcW w:w="0" w:type="auto"/>
            <w:gridSpan w:val="3"/>
            <w:shd w:val="clear" w:color="auto" w:fill="auto"/>
          </w:tcPr>
          <w:p w14:paraId="5C7C7415" w14:textId="77777777" w:rsidR="0008009C" w:rsidRDefault="0008009C">
            <w:pPr>
              <w:rPr>
                <w:rFonts w:ascii="宋体"/>
                <w:vanish/>
              </w:rPr>
            </w:pPr>
          </w:p>
        </w:tc>
      </w:tr>
      <w:tr w:rsidR="0008009C" w14:paraId="5C7C7419" w14:textId="77777777">
        <w:trPr>
          <w:hidden/>
        </w:trPr>
        <w:tc>
          <w:tcPr>
            <w:tcW w:w="0" w:type="auto"/>
            <w:gridSpan w:val="3"/>
            <w:shd w:val="clear" w:color="auto" w:fill="auto"/>
          </w:tcPr>
          <w:p w14:paraId="5C7C7417" w14:textId="77777777" w:rsidR="0008009C" w:rsidRDefault="0008009C">
            <w:pPr>
              <w:rPr>
                <w:rFonts w:ascii="宋体"/>
                <w:vanish/>
              </w:rPr>
            </w:pPr>
          </w:p>
        </w:tc>
        <w:tc>
          <w:tcPr>
            <w:tcW w:w="0" w:type="auto"/>
            <w:gridSpan w:val="3"/>
            <w:shd w:val="clear" w:color="auto" w:fill="auto"/>
          </w:tcPr>
          <w:p w14:paraId="5C7C7418" w14:textId="77777777" w:rsidR="0008009C" w:rsidRDefault="0008009C">
            <w:pPr>
              <w:rPr>
                <w:rFonts w:ascii="宋体"/>
                <w:vanish/>
              </w:rPr>
            </w:pPr>
          </w:p>
        </w:tc>
      </w:tr>
    </w:tbl>
    <w:p w14:paraId="5C7C741A" w14:textId="77777777" w:rsidR="0008009C" w:rsidRDefault="0008009C">
      <w:pPr>
        <w:spacing w:before="240" w:after="180"/>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08009C" w14:paraId="5C7C7424" w14:textId="77777777">
        <w:tc>
          <w:tcPr>
            <w:tcW w:w="50" w:type="pct"/>
            <w:shd w:val="clear" w:color="auto" w:fill="auto"/>
            <w:vAlign w:val="bottom"/>
          </w:tcPr>
          <w:p w14:paraId="5C7C741B" w14:textId="77777777" w:rsidR="0008009C" w:rsidRDefault="0008009C">
            <w:pPr>
              <w:rPr>
                <w:rFonts w:ascii="宋体"/>
              </w:rPr>
            </w:pPr>
          </w:p>
        </w:tc>
        <w:tc>
          <w:tcPr>
            <w:tcW w:w="212" w:type="pct"/>
            <w:shd w:val="clear" w:color="auto" w:fill="auto"/>
            <w:vAlign w:val="bottom"/>
          </w:tcPr>
          <w:p w14:paraId="5C7C741C" w14:textId="77777777" w:rsidR="0008009C" w:rsidRDefault="0008009C">
            <w:pPr>
              <w:rPr>
                <w:rFonts w:ascii="宋体"/>
              </w:rPr>
            </w:pPr>
          </w:p>
        </w:tc>
        <w:tc>
          <w:tcPr>
            <w:tcW w:w="5" w:type="pct"/>
            <w:shd w:val="clear" w:color="auto" w:fill="auto"/>
            <w:vAlign w:val="bottom"/>
          </w:tcPr>
          <w:p w14:paraId="5C7C741D" w14:textId="77777777" w:rsidR="0008009C" w:rsidRDefault="0008009C">
            <w:pPr>
              <w:rPr>
                <w:rFonts w:ascii="宋体"/>
              </w:rPr>
            </w:pPr>
          </w:p>
        </w:tc>
        <w:tc>
          <w:tcPr>
            <w:tcW w:w="50" w:type="pct"/>
            <w:shd w:val="clear" w:color="auto" w:fill="auto"/>
            <w:vAlign w:val="bottom"/>
          </w:tcPr>
          <w:p w14:paraId="5C7C741E" w14:textId="77777777" w:rsidR="0008009C" w:rsidRDefault="0008009C">
            <w:pPr>
              <w:rPr>
                <w:rFonts w:ascii="宋体"/>
              </w:rPr>
            </w:pPr>
          </w:p>
        </w:tc>
        <w:tc>
          <w:tcPr>
            <w:tcW w:w="2499" w:type="pct"/>
            <w:shd w:val="clear" w:color="auto" w:fill="auto"/>
            <w:vAlign w:val="bottom"/>
          </w:tcPr>
          <w:p w14:paraId="5C7C741F" w14:textId="77777777" w:rsidR="0008009C" w:rsidRDefault="0008009C">
            <w:pPr>
              <w:rPr>
                <w:rFonts w:ascii="宋体"/>
              </w:rPr>
            </w:pPr>
          </w:p>
        </w:tc>
        <w:tc>
          <w:tcPr>
            <w:tcW w:w="5" w:type="pct"/>
            <w:shd w:val="clear" w:color="auto" w:fill="auto"/>
            <w:vAlign w:val="bottom"/>
          </w:tcPr>
          <w:p w14:paraId="5C7C7420" w14:textId="77777777" w:rsidR="0008009C" w:rsidRDefault="0008009C">
            <w:pPr>
              <w:rPr>
                <w:rFonts w:ascii="宋体"/>
              </w:rPr>
            </w:pPr>
          </w:p>
        </w:tc>
        <w:tc>
          <w:tcPr>
            <w:tcW w:w="50" w:type="pct"/>
            <w:shd w:val="clear" w:color="auto" w:fill="auto"/>
            <w:vAlign w:val="bottom"/>
          </w:tcPr>
          <w:p w14:paraId="5C7C7421" w14:textId="77777777" w:rsidR="0008009C" w:rsidRDefault="0008009C">
            <w:pPr>
              <w:rPr>
                <w:rFonts w:ascii="宋体"/>
              </w:rPr>
            </w:pPr>
          </w:p>
        </w:tc>
        <w:tc>
          <w:tcPr>
            <w:tcW w:w="2122" w:type="pct"/>
            <w:shd w:val="clear" w:color="auto" w:fill="auto"/>
            <w:vAlign w:val="bottom"/>
          </w:tcPr>
          <w:p w14:paraId="5C7C7422" w14:textId="77777777" w:rsidR="0008009C" w:rsidRDefault="0008009C">
            <w:pPr>
              <w:rPr>
                <w:rFonts w:ascii="宋体"/>
              </w:rPr>
            </w:pPr>
          </w:p>
        </w:tc>
        <w:tc>
          <w:tcPr>
            <w:tcW w:w="5" w:type="pct"/>
            <w:shd w:val="clear" w:color="auto" w:fill="auto"/>
            <w:vAlign w:val="bottom"/>
          </w:tcPr>
          <w:p w14:paraId="5C7C7423" w14:textId="77777777" w:rsidR="0008009C" w:rsidRDefault="0008009C">
            <w:pPr>
              <w:rPr>
                <w:rFonts w:ascii="宋体"/>
              </w:rPr>
            </w:pPr>
          </w:p>
        </w:tc>
      </w:tr>
      <w:tr w:rsidR="0008009C" w14:paraId="5C7C7428"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7425"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60" wp14:editId="5C7C7D61">
                  <wp:extent cx="304800" cy="304800"/>
                  <wp:effectExtent l="0" t="0" r="0" b="0"/>
                  <wp:docPr id="68" name="图片 113"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3"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426" w14:textId="77777777" w:rsidR="0008009C" w:rsidRDefault="00936FDF">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427" w14:textId="77777777" w:rsidR="0008009C" w:rsidRDefault="00936FDF">
            <w:pPr>
              <w:jc w:val="right"/>
              <w:textAlignment w:val="center"/>
            </w:pPr>
            <w:r>
              <w:rPr>
                <w:rFonts w:ascii="Arial" w:eastAsia="宋体" w:hAnsi="Arial" w:cs="Arial"/>
                <w:color w:val="262626"/>
                <w:sz w:val="16"/>
                <w:szCs w:val="16"/>
              </w:rPr>
              <w:t>30</w:t>
            </w:r>
          </w:p>
        </w:tc>
      </w:tr>
    </w:tbl>
    <w:p w14:paraId="5C7C7429" w14:textId="77777777" w:rsidR="0008009C" w:rsidRDefault="00936FDF">
      <w:r>
        <w:pict w14:anchorId="5C7C7D62">
          <v:rect id="_x0000_i1056" style="width:415.3pt;height:1.5pt" o:hralign="center" o:hrstd="t" o:hr="t" fillcolor="#a0a0a0" stroked="f"/>
        </w:pict>
      </w:r>
    </w:p>
    <w:p w14:paraId="5C7C742A" w14:textId="77777777" w:rsidR="0008009C" w:rsidRDefault="00936FDF">
      <w:pPr>
        <w:spacing w:after="180"/>
        <w:jc w:val="right"/>
      </w:pPr>
      <w:hyperlink r:id="rId55" w:anchor="i3a00378f6cc84b1c9cfc83239548ad53_7" w:history="1">
        <w:r>
          <w:rPr>
            <w:rStyle w:val="a5"/>
            <w:rFonts w:ascii="Arial" w:eastAsia="宋体" w:hAnsi="Arial" w:cs="Arial"/>
            <w:b/>
            <w:bCs/>
            <w:sz w:val="16"/>
            <w:szCs w:val="16"/>
          </w:rPr>
          <w:t>Table of Contents</w:t>
        </w:r>
      </w:hyperlink>
    </w:p>
    <w:p w14:paraId="5C7C742B" w14:textId="77777777" w:rsidR="0008009C" w:rsidRDefault="0008009C">
      <w:pPr>
        <w:spacing w:after="180"/>
        <w:jc w:val="right"/>
      </w:pPr>
    </w:p>
    <w:p w14:paraId="5C7C742C" w14:textId="77777777" w:rsidR="0008009C" w:rsidRDefault="00936FDF">
      <w:pPr>
        <w:spacing w:after="180"/>
      </w:pPr>
      <w:r>
        <w:rPr>
          <w:rFonts w:ascii="Arial" w:eastAsia="宋体" w:hAnsi="Arial" w:cs="Arial"/>
          <w:color w:val="0068B5"/>
          <w:sz w:val="28"/>
          <w:szCs w:val="28"/>
        </w:rPr>
        <w:t>Gains (Losses) on Equity Investments and 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39"/>
        <w:gridCol w:w="5994"/>
        <w:gridCol w:w="37"/>
        <w:gridCol w:w="36"/>
        <w:gridCol w:w="36"/>
        <w:gridCol w:w="36"/>
        <w:gridCol w:w="121"/>
        <w:gridCol w:w="796"/>
        <w:gridCol w:w="36"/>
        <w:gridCol w:w="36"/>
        <w:gridCol w:w="36"/>
        <w:gridCol w:w="36"/>
        <w:gridCol w:w="121"/>
        <w:gridCol w:w="796"/>
        <w:gridCol w:w="36"/>
        <w:gridCol w:w="36"/>
        <w:gridCol w:w="36"/>
        <w:gridCol w:w="36"/>
        <w:gridCol w:w="36"/>
      </w:tblGrid>
      <w:tr w:rsidR="0008009C" w14:paraId="5C7C7440" w14:textId="77777777">
        <w:tc>
          <w:tcPr>
            <w:tcW w:w="50" w:type="pct"/>
            <w:shd w:val="clear" w:color="auto" w:fill="auto"/>
          </w:tcPr>
          <w:p w14:paraId="5C7C742D" w14:textId="77777777" w:rsidR="0008009C" w:rsidRDefault="0008009C">
            <w:pPr>
              <w:rPr>
                <w:rFonts w:ascii="宋体"/>
              </w:rPr>
            </w:pPr>
          </w:p>
        </w:tc>
        <w:tc>
          <w:tcPr>
            <w:tcW w:w="3688" w:type="pct"/>
            <w:shd w:val="clear" w:color="auto" w:fill="auto"/>
          </w:tcPr>
          <w:p w14:paraId="5C7C742E" w14:textId="77777777" w:rsidR="0008009C" w:rsidRDefault="0008009C">
            <w:pPr>
              <w:rPr>
                <w:rFonts w:ascii="宋体"/>
              </w:rPr>
            </w:pPr>
          </w:p>
        </w:tc>
        <w:tc>
          <w:tcPr>
            <w:tcW w:w="5" w:type="pct"/>
            <w:shd w:val="clear" w:color="auto" w:fill="auto"/>
          </w:tcPr>
          <w:p w14:paraId="5C7C742F" w14:textId="77777777" w:rsidR="0008009C" w:rsidRDefault="0008009C">
            <w:pPr>
              <w:rPr>
                <w:rFonts w:ascii="宋体"/>
              </w:rPr>
            </w:pPr>
          </w:p>
        </w:tc>
        <w:tc>
          <w:tcPr>
            <w:tcW w:w="5" w:type="pct"/>
            <w:shd w:val="clear" w:color="auto" w:fill="auto"/>
          </w:tcPr>
          <w:p w14:paraId="5C7C7430" w14:textId="77777777" w:rsidR="0008009C" w:rsidRDefault="0008009C">
            <w:pPr>
              <w:rPr>
                <w:rFonts w:ascii="宋体"/>
              </w:rPr>
            </w:pPr>
          </w:p>
        </w:tc>
        <w:tc>
          <w:tcPr>
            <w:tcW w:w="24" w:type="pct"/>
            <w:shd w:val="clear" w:color="auto" w:fill="auto"/>
          </w:tcPr>
          <w:p w14:paraId="5C7C7431" w14:textId="77777777" w:rsidR="0008009C" w:rsidRDefault="0008009C">
            <w:pPr>
              <w:rPr>
                <w:rFonts w:ascii="宋体"/>
              </w:rPr>
            </w:pPr>
          </w:p>
        </w:tc>
        <w:tc>
          <w:tcPr>
            <w:tcW w:w="5" w:type="pct"/>
            <w:shd w:val="clear" w:color="auto" w:fill="auto"/>
          </w:tcPr>
          <w:p w14:paraId="5C7C7432" w14:textId="77777777" w:rsidR="0008009C" w:rsidRDefault="0008009C">
            <w:pPr>
              <w:rPr>
                <w:rFonts w:ascii="宋体"/>
              </w:rPr>
            </w:pPr>
          </w:p>
        </w:tc>
        <w:tc>
          <w:tcPr>
            <w:tcW w:w="50" w:type="pct"/>
            <w:shd w:val="clear" w:color="auto" w:fill="auto"/>
          </w:tcPr>
          <w:p w14:paraId="5C7C7433" w14:textId="77777777" w:rsidR="0008009C" w:rsidRDefault="0008009C">
            <w:pPr>
              <w:rPr>
                <w:rFonts w:ascii="宋体"/>
              </w:rPr>
            </w:pPr>
          </w:p>
        </w:tc>
        <w:tc>
          <w:tcPr>
            <w:tcW w:w="539" w:type="pct"/>
            <w:shd w:val="clear" w:color="auto" w:fill="auto"/>
          </w:tcPr>
          <w:p w14:paraId="5C7C7434" w14:textId="77777777" w:rsidR="0008009C" w:rsidRDefault="0008009C">
            <w:pPr>
              <w:rPr>
                <w:rFonts w:ascii="宋体"/>
              </w:rPr>
            </w:pPr>
          </w:p>
        </w:tc>
        <w:tc>
          <w:tcPr>
            <w:tcW w:w="5" w:type="pct"/>
            <w:shd w:val="clear" w:color="auto" w:fill="auto"/>
          </w:tcPr>
          <w:p w14:paraId="5C7C7435" w14:textId="77777777" w:rsidR="0008009C" w:rsidRDefault="0008009C">
            <w:pPr>
              <w:rPr>
                <w:rFonts w:ascii="宋体"/>
              </w:rPr>
            </w:pPr>
          </w:p>
        </w:tc>
        <w:tc>
          <w:tcPr>
            <w:tcW w:w="5" w:type="pct"/>
            <w:shd w:val="clear" w:color="auto" w:fill="auto"/>
          </w:tcPr>
          <w:p w14:paraId="5C7C7436" w14:textId="77777777" w:rsidR="0008009C" w:rsidRDefault="0008009C">
            <w:pPr>
              <w:rPr>
                <w:rFonts w:ascii="宋体"/>
              </w:rPr>
            </w:pPr>
          </w:p>
        </w:tc>
        <w:tc>
          <w:tcPr>
            <w:tcW w:w="24" w:type="pct"/>
            <w:shd w:val="clear" w:color="auto" w:fill="auto"/>
          </w:tcPr>
          <w:p w14:paraId="5C7C7437" w14:textId="77777777" w:rsidR="0008009C" w:rsidRDefault="0008009C">
            <w:pPr>
              <w:rPr>
                <w:rFonts w:ascii="宋体"/>
              </w:rPr>
            </w:pPr>
          </w:p>
        </w:tc>
        <w:tc>
          <w:tcPr>
            <w:tcW w:w="5" w:type="pct"/>
            <w:shd w:val="clear" w:color="auto" w:fill="auto"/>
          </w:tcPr>
          <w:p w14:paraId="5C7C7438" w14:textId="77777777" w:rsidR="0008009C" w:rsidRDefault="0008009C">
            <w:pPr>
              <w:rPr>
                <w:rFonts w:ascii="宋体"/>
              </w:rPr>
            </w:pPr>
          </w:p>
        </w:tc>
        <w:tc>
          <w:tcPr>
            <w:tcW w:w="50" w:type="pct"/>
            <w:shd w:val="clear" w:color="auto" w:fill="auto"/>
          </w:tcPr>
          <w:p w14:paraId="5C7C7439" w14:textId="77777777" w:rsidR="0008009C" w:rsidRDefault="0008009C">
            <w:pPr>
              <w:rPr>
                <w:rFonts w:ascii="宋体"/>
              </w:rPr>
            </w:pPr>
          </w:p>
        </w:tc>
        <w:tc>
          <w:tcPr>
            <w:tcW w:w="539" w:type="pct"/>
            <w:shd w:val="clear" w:color="auto" w:fill="auto"/>
          </w:tcPr>
          <w:p w14:paraId="5C7C743A" w14:textId="77777777" w:rsidR="0008009C" w:rsidRDefault="0008009C">
            <w:pPr>
              <w:rPr>
                <w:rFonts w:ascii="宋体"/>
              </w:rPr>
            </w:pPr>
          </w:p>
        </w:tc>
        <w:tc>
          <w:tcPr>
            <w:tcW w:w="5" w:type="pct"/>
            <w:shd w:val="clear" w:color="auto" w:fill="auto"/>
          </w:tcPr>
          <w:p w14:paraId="5C7C743B" w14:textId="77777777" w:rsidR="0008009C" w:rsidRDefault="0008009C">
            <w:pPr>
              <w:rPr>
                <w:rFonts w:ascii="宋体"/>
              </w:rPr>
            </w:pPr>
          </w:p>
        </w:tc>
        <w:tc>
          <w:tcPr>
            <w:tcW w:w="0" w:type="auto"/>
            <w:shd w:val="clear" w:color="auto" w:fill="auto"/>
          </w:tcPr>
          <w:p w14:paraId="5C7C743C" w14:textId="77777777" w:rsidR="0008009C" w:rsidRDefault="0008009C">
            <w:pPr>
              <w:rPr>
                <w:rFonts w:ascii="宋体"/>
                <w:vanish/>
              </w:rPr>
            </w:pPr>
          </w:p>
        </w:tc>
        <w:tc>
          <w:tcPr>
            <w:tcW w:w="0" w:type="auto"/>
            <w:shd w:val="clear" w:color="auto" w:fill="auto"/>
          </w:tcPr>
          <w:p w14:paraId="5C7C743D" w14:textId="77777777" w:rsidR="0008009C" w:rsidRDefault="0008009C">
            <w:pPr>
              <w:rPr>
                <w:rFonts w:ascii="宋体"/>
                <w:vanish/>
              </w:rPr>
            </w:pPr>
          </w:p>
        </w:tc>
        <w:tc>
          <w:tcPr>
            <w:tcW w:w="0" w:type="auto"/>
            <w:shd w:val="clear" w:color="auto" w:fill="auto"/>
          </w:tcPr>
          <w:p w14:paraId="5C7C743E" w14:textId="77777777" w:rsidR="0008009C" w:rsidRDefault="0008009C">
            <w:pPr>
              <w:rPr>
                <w:rFonts w:ascii="宋体"/>
                <w:vanish/>
              </w:rPr>
            </w:pPr>
          </w:p>
        </w:tc>
        <w:tc>
          <w:tcPr>
            <w:tcW w:w="0" w:type="auto"/>
            <w:shd w:val="clear" w:color="auto" w:fill="auto"/>
          </w:tcPr>
          <w:p w14:paraId="5C7C743F" w14:textId="77777777" w:rsidR="0008009C" w:rsidRDefault="0008009C">
            <w:pPr>
              <w:rPr>
                <w:rFonts w:ascii="宋体"/>
                <w:vanish/>
              </w:rPr>
            </w:pPr>
          </w:p>
        </w:tc>
      </w:tr>
      <w:tr w:rsidR="0008009C" w14:paraId="5C7C744A" w14:textId="77777777">
        <w:tc>
          <w:tcPr>
            <w:tcW w:w="0" w:type="auto"/>
            <w:gridSpan w:val="3"/>
            <w:shd w:val="clear" w:color="auto" w:fill="auto"/>
            <w:tcMar>
              <w:top w:w="40" w:type="dxa"/>
              <w:left w:w="20" w:type="dxa"/>
              <w:bottom w:w="40" w:type="dxa"/>
              <w:right w:w="20" w:type="dxa"/>
            </w:tcMar>
            <w:vAlign w:val="bottom"/>
          </w:tcPr>
          <w:p w14:paraId="5C7C7441"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7442"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443" w14:textId="77777777" w:rsidR="0008009C" w:rsidRDefault="00936FDF">
            <w:pPr>
              <w:jc w:val="center"/>
              <w:textAlignment w:val="bottom"/>
            </w:pPr>
            <w:r>
              <w:rPr>
                <w:rFonts w:ascii="Arial" w:eastAsia="宋体" w:hAnsi="Arial" w:cs="Arial"/>
                <w:b/>
                <w:bCs/>
                <w:color w:val="262626"/>
                <w:sz w:val="18"/>
                <w:szCs w:val="18"/>
              </w:rPr>
              <w:t>Q1 2021</w:t>
            </w:r>
          </w:p>
        </w:tc>
        <w:tc>
          <w:tcPr>
            <w:tcW w:w="0" w:type="auto"/>
            <w:gridSpan w:val="3"/>
            <w:shd w:val="clear" w:color="auto" w:fill="auto"/>
            <w:tcMar>
              <w:top w:w="0" w:type="dxa"/>
              <w:left w:w="20" w:type="dxa"/>
              <w:bottom w:w="0" w:type="dxa"/>
              <w:right w:w="20" w:type="dxa"/>
            </w:tcMar>
          </w:tcPr>
          <w:p w14:paraId="5C7C7444"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445" w14:textId="77777777" w:rsidR="0008009C" w:rsidRDefault="00936FDF">
            <w:pPr>
              <w:jc w:val="center"/>
              <w:textAlignment w:val="bottom"/>
            </w:pPr>
            <w:r>
              <w:rPr>
                <w:rFonts w:ascii="Arial" w:eastAsia="宋体" w:hAnsi="Arial" w:cs="Arial"/>
                <w:b/>
                <w:bCs/>
                <w:color w:val="262626"/>
                <w:sz w:val="18"/>
                <w:szCs w:val="18"/>
              </w:rPr>
              <w:t>Q1 2020</w:t>
            </w:r>
          </w:p>
        </w:tc>
        <w:tc>
          <w:tcPr>
            <w:tcW w:w="0" w:type="auto"/>
            <w:shd w:val="clear" w:color="auto" w:fill="auto"/>
          </w:tcPr>
          <w:p w14:paraId="5C7C7446" w14:textId="77777777" w:rsidR="0008009C" w:rsidRDefault="0008009C">
            <w:pPr>
              <w:rPr>
                <w:rFonts w:ascii="宋体"/>
                <w:vanish/>
              </w:rPr>
            </w:pPr>
          </w:p>
        </w:tc>
        <w:tc>
          <w:tcPr>
            <w:tcW w:w="0" w:type="auto"/>
            <w:shd w:val="clear" w:color="auto" w:fill="auto"/>
          </w:tcPr>
          <w:p w14:paraId="5C7C7447" w14:textId="77777777" w:rsidR="0008009C" w:rsidRDefault="0008009C">
            <w:pPr>
              <w:rPr>
                <w:rFonts w:ascii="宋体"/>
                <w:vanish/>
              </w:rPr>
            </w:pPr>
          </w:p>
        </w:tc>
        <w:tc>
          <w:tcPr>
            <w:tcW w:w="0" w:type="auto"/>
            <w:shd w:val="clear" w:color="auto" w:fill="auto"/>
          </w:tcPr>
          <w:p w14:paraId="5C7C7448" w14:textId="77777777" w:rsidR="0008009C" w:rsidRDefault="0008009C">
            <w:pPr>
              <w:rPr>
                <w:rFonts w:ascii="宋体"/>
                <w:vanish/>
              </w:rPr>
            </w:pPr>
          </w:p>
        </w:tc>
        <w:tc>
          <w:tcPr>
            <w:tcW w:w="0" w:type="auto"/>
            <w:shd w:val="clear" w:color="auto" w:fill="auto"/>
          </w:tcPr>
          <w:p w14:paraId="5C7C7449" w14:textId="77777777" w:rsidR="0008009C" w:rsidRDefault="0008009C">
            <w:pPr>
              <w:rPr>
                <w:rFonts w:ascii="宋体"/>
                <w:vanish/>
              </w:rPr>
            </w:pPr>
          </w:p>
        </w:tc>
      </w:tr>
      <w:tr w:rsidR="0008009C" w14:paraId="5C7C7458"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44B" w14:textId="77777777" w:rsidR="0008009C" w:rsidRDefault="00936FDF">
            <w:pPr>
              <w:textAlignment w:val="center"/>
            </w:pPr>
            <w:r>
              <w:rPr>
                <w:rFonts w:ascii="Arial" w:eastAsia="宋体" w:hAnsi="Arial" w:cs="Arial"/>
                <w:color w:val="262626"/>
                <w:sz w:val="18"/>
                <w:szCs w:val="18"/>
              </w:rPr>
              <w:t>Ongoing mark-to-market adjustments on marketable equity securities</w:t>
            </w:r>
          </w:p>
        </w:tc>
        <w:tc>
          <w:tcPr>
            <w:tcW w:w="0" w:type="auto"/>
            <w:gridSpan w:val="3"/>
            <w:shd w:val="clear" w:color="auto" w:fill="auto"/>
            <w:tcMar>
              <w:top w:w="0" w:type="dxa"/>
              <w:left w:w="20" w:type="dxa"/>
              <w:bottom w:w="0" w:type="dxa"/>
              <w:right w:w="20" w:type="dxa"/>
            </w:tcMar>
          </w:tcPr>
          <w:p w14:paraId="5C7C744C"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744D"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44E" w14:textId="77777777" w:rsidR="0008009C" w:rsidRDefault="00936FDF">
            <w:pPr>
              <w:jc w:val="right"/>
              <w:textAlignment w:val="bottom"/>
            </w:pPr>
            <w:r>
              <w:rPr>
                <w:rFonts w:ascii="Arial" w:eastAsia="宋体" w:hAnsi="Arial" w:cs="Arial"/>
                <w:color w:val="0068B5"/>
                <w:sz w:val="18"/>
                <w:szCs w:val="18"/>
              </w:rPr>
              <w:t>(291)</w:t>
            </w:r>
          </w:p>
        </w:tc>
        <w:tc>
          <w:tcPr>
            <w:tcW w:w="0" w:type="auto"/>
            <w:tcBorders>
              <w:top w:val="single" w:sz="8" w:space="0" w:color="0068B5"/>
            </w:tcBorders>
            <w:shd w:val="clear" w:color="auto" w:fill="auto"/>
            <w:tcMar>
              <w:top w:w="40" w:type="dxa"/>
              <w:left w:w="0" w:type="dxa"/>
              <w:bottom w:w="40" w:type="dxa"/>
              <w:right w:w="20" w:type="dxa"/>
            </w:tcMar>
            <w:vAlign w:val="bottom"/>
          </w:tcPr>
          <w:p w14:paraId="5C7C744F"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450"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7451" w14:textId="77777777" w:rsidR="0008009C" w:rsidRDefault="00936FDF">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452" w14:textId="77777777" w:rsidR="0008009C" w:rsidRDefault="00936FDF">
            <w:pPr>
              <w:jc w:val="right"/>
              <w:textAlignment w:val="bottom"/>
            </w:pPr>
            <w:r>
              <w:rPr>
                <w:rFonts w:ascii="Arial" w:eastAsia="宋体" w:hAnsi="Arial" w:cs="Arial"/>
                <w:color w:val="262626"/>
                <w:sz w:val="18"/>
                <w:szCs w:val="18"/>
              </w:rPr>
              <w:t>(103)</w:t>
            </w:r>
          </w:p>
        </w:tc>
        <w:tc>
          <w:tcPr>
            <w:tcW w:w="0" w:type="auto"/>
            <w:tcBorders>
              <w:top w:val="single" w:sz="8" w:space="0" w:color="0068B5"/>
            </w:tcBorders>
            <w:shd w:val="clear" w:color="auto" w:fill="auto"/>
            <w:tcMar>
              <w:top w:w="40" w:type="dxa"/>
              <w:left w:w="0" w:type="dxa"/>
              <w:bottom w:w="40" w:type="dxa"/>
              <w:right w:w="20" w:type="dxa"/>
            </w:tcMar>
            <w:vAlign w:val="bottom"/>
          </w:tcPr>
          <w:p w14:paraId="5C7C7453" w14:textId="77777777" w:rsidR="0008009C" w:rsidRDefault="0008009C">
            <w:pPr>
              <w:jc w:val="right"/>
              <w:rPr>
                <w:rFonts w:ascii="宋体"/>
              </w:rPr>
            </w:pPr>
          </w:p>
        </w:tc>
        <w:tc>
          <w:tcPr>
            <w:tcW w:w="0" w:type="auto"/>
            <w:shd w:val="clear" w:color="auto" w:fill="auto"/>
          </w:tcPr>
          <w:p w14:paraId="5C7C7454" w14:textId="77777777" w:rsidR="0008009C" w:rsidRDefault="0008009C">
            <w:pPr>
              <w:rPr>
                <w:rFonts w:ascii="宋体"/>
                <w:vanish/>
              </w:rPr>
            </w:pPr>
          </w:p>
        </w:tc>
        <w:tc>
          <w:tcPr>
            <w:tcW w:w="0" w:type="auto"/>
            <w:shd w:val="clear" w:color="auto" w:fill="auto"/>
          </w:tcPr>
          <w:p w14:paraId="5C7C7455" w14:textId="77777777" w:rsidR="0008009C" w:rsidRDefault="0008009C">
            <w:pPr>
              <w:rPr>
                <w:rFonts w:ascii="宋体"/>
                <w:vanish/>
              </w:rPr>
            </w:pPr>
          </w:p>
        </w:tc>
        <w:tc>
          <w:tcPr>
            <w:tcW w:w="0" w:type="auto"/>
            <w:shd w:val="clear" w:color="auto" w:fill="auto"/>
          </w:tcPr>
          <w:p w14:paraId="5C7C7456" w14:textId="77777777" w:rsidR="0008009C" w:rsidRDefault="0008009C">
            <w:pPr>
              <w:rPr>
                <w:rFonts w:ascii="宋体"/>
                <w:vanish/>
              </w:rPr>
            </w:pPr>
          </w:p>
        </w:tc>
        <w:tc>
          <w:tcPr>
            <w:tcW w:w="0" w:type="auto"/>
            <w:shd w:val="clear" w:color="auto" w:fill="auto"/>
          </w:tcPr>
          <w:p w14:paraId="5C7C7457" w14:textId="77777777" w:rsidR="0008009C" w:rsidRDefault="0008009C">
            <w:pPr>
              <w:rPr>
                <w:rFonts w:ascii="宋体"/>
                <w:vanish/>
              </w:rPr>
            </w:pPr>
          </w:p>
        </w:tc>
      </w:tr>
      <w:tr w:rsidR="0008009C" w14:paraId="5C7C7464" w14:textId="77777777">
        <w:tc>
          <w:tcPr>
            <w:tcW w:w="0" w:type="auto"/>
            <w:gridSpan w:val="3"/>
            <w:shd w:val="clear" w:color="auto" w:fill="auto"/>
            <w:tcMar>
              <w:top w:w="40" w:type="dxa"/>
              <w:left w:w="20" w:type="dxa"/>
              <w:bottom w:w="40" w:type="dxa"/>
              <w:right w:w="20" w:type="dxa"/>
            </w:tcMar>
            <w:vAlign w:val="bottom"/>
          </w:tcPr>
          <w:p w14:paraId="5C7C7459" w14:textId="77777777" w:rsidR="0008009C" w:rsidRDefault="00936FDF">
            <w:pPr>
              <w:textAlignment w:val="bottom"/>
            </w:pPr>
            <w:r>
              <w:rPr>
                <w:rFonts w:ascii="Arial" w:eastAsia="宋体" w:hAnsi="Arial" w:cs="Arial"/>
                <w:color w:val="262626"/>
                <w:sz w:val="18"/>
                <w:szCs w:val="18"/>
              </w:rPr>
              <w:t xml:space="preserve">Observable price adjustments on non-marketable equity securities </w:t>
            </w:r>
          </w:p>
        </w:tc>
        <w:tc>
          <w:tcPr>
            <w:tcW w:w="0" w:type="auto"/>
            <w:gridSpan w:val="3"/>
            <w:shd w:val="clear" w:color="auto" w:fill="auto"/>
            <w:tcMar>
              <w:top w:w="0" w:type="dxa"/>
              <w:left w:w="20" w:type="dxa"/>
              <w:bottom w:w="0" w:type="dxa"/>
              <w:right w:w="20" w:type="dxa"/>
            </w:tcMar>
          </w:tcPr>
          <w:p w14:paraId="5C7C745A"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45B" w14:textId="77777777" w:rsidR="0008009C" w:rsidRDefault="00936FDF">
            <w:pPr>
              <w:jc w:val="right"/>
              <w:textAlignment w:val="bottom"/>
            </w:pPr>
            <w:r>
              <w:rPr>
                <w:rFonts w:ascii="Arial" w:eastAsia="宋体" w:hAnsi="Arial" w:cs="Arial"/>
                <w:color w:val="0068B5"/>
                <w:sz w:val="18"/>
                <w:szCs w:val="18"/>
              </w:rPr>
              <w:t>551 </w:t>
            </w:r>
          </w:p>
        </w:tc>
        <w:tc>
          <w:tcPr>
            <w:tcW w:w="0" w:type="auto"/>
            <w:shd w:val="clear" w:color="auto" w:fill="auto"/>
            <w:tcMar>
              <w:top w:w="40" w:type="dxa"/>
              <w:left w:w="0" w:type="dxa"/>
              <w:bottom w:w="40" w:type="dxa"/>
              <w:right w:w="20" w:type="dxa"/>
            </w:tcMar>
            <w:vAlign w:val="bottom"/>
          </w:tcPr>
          <w:p w14:paraId="5C7C745C"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45D"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45E" w14:textId="77777777" w:rsidR="0008009C" w:rsidRDefault="00936FDF">
            <w:pPr>
              <w:jc w:val="right"/>
              <w:textAlignment w:val="bottom"/>
            </w:pPr>
            <w:r>
              <w:rPr>
                <w:rFonts w:ascii="Arial" w:eastAsia="宋体" w:hAnsi="Arial" w:cs="Arial"/>
                <w:color w:val="262626"/>
                <w:sz w:val="18"/>
                <w:szCs w:val="18"/>
              </w:rPr>
              <w:t>79 </w:t>
            </w:r>
          </w:p>
        </w:tc>
        <w:tc>
          <w:tcPr>
            <w:tcW w:w="0" w:type="auto"/>
            <w:shd w:val="clear" w:color="auto" w:fill="auto"/>
            <w:tcMar>
              <w:top w:w="40" w:type="dxa"/>
              <w:left w:w="0" w:type="dxa"/>
              <w:bottom w:w="40" w:type="dxa"/>
              <w:right w:w="20" w:type="dxa"/>
            </w:tcMar>
            <w:vAlign w:val="bottom"/>
          </w:tcPr>
          <w:p w14:paraId="5C7C745F" w14:textId="77777777" w:rsidR="0008009C" w:rsidRDefault="0008009C">
            <w:pPr>
              <w:jc w:val="right"/>
              <w:rPr>
                <w:rFonts w:ascii="宋体"/>
              </w:rPr>
            </w:pPr>
          </w:p>
        </w:tc>
        <w:tc>
          <w:tcPr>
            <w:tcW w:w="0" w:type="auto"/>
            <w:shd w:val="clear" w:color="auto" w:fill="auto"/>
          </w:tcPr>
          <w:p w14:paraId="5C7C7460" w14:textId="77777777" w:rsidR="0008009C" w:rsidRDefault="0008009C">
            <w:pPr>
              <w:rPr>
                <w:rFonts w:ascii="宋体"/>
                <w:vanish/>
              </w:rPr>
            </w:pPr>
          </w:p>
        </w:tc>
        <w:tc>
          <w:tcPr>
            <w:tcW w:w="0" w:type="auto"/>
            <w:shd w:val="clear" w:color="auto" w:fill="auto"/>
          </w:tcPr>
          <w:p w14:paraId="5C7C7461" w14:textId="77777777" w:rsidR="0008009C" w:rsidRDefault="0008009C">
            <w:pPr>
              <w:rPr>
                <w:rFonts w:ascii="宋体"/>
                <w:vanish/>
              </w:rPr>
            </w:pPr>
          </w:p>
        </w:tc>
        <w:tc>
          <w:tcPr>
            <w:tcW w:w="0" w:type="auto"/>
            <w:shd w:val="clear" w:color="auto" w:fill="auto"/>
          </w:tcPr>
          <w:p w14:paraId="5C7C7462" w14:textId="77777777" w:rsidR="0008009C" w:rsidRDefault="0008009C">
            <w:pPr>
              <w:rPr>
                <w:rFonts w:ascii="宋体"/>
                <w:vanish/>
              </w:rPr>
            </w:pPr>
          </w:p>
        </w:tc>
        <w:tc>
          <w:tcPr>
            <w:tcW w:w="0" w:type="auto"/>
            <w:shd w:val="clear" w:color="auto" w:fill="auto"/>
          </w:tcPr>
          <w:p w14:paraId="5C7C7463" w14:textId="77777777" w:rsidR="0008009C" w:rsidRDefault="0008009C">
            <w:pPr>
              <w:rPr>
                <w:rFonts w:ascii="宋体"/>
                <w:vanish/>
              </w:rPr>
            </w:pPr>
          </w:p>
        </w:tc>
      </w:tr>
      <w:tr w:rsidR="0008009C" w14:paraId="5C7C7470" w14:textId="77777777">
        <w:tc>
          <w:tcPr>
            <w:tcW w:w="0" w:type="auto"/>
            <w:gridSpan w:val="3"/>
            <w:shd w:val="clear" w:color="auto" w:fill="auto"/>
            <w:tcMar>
              <w:top w:w="40" w:type="dxa"/>
              <w:left w:w="20" w:type="dxa"/>
              <w:bottom w:w="40" w:type="dxa"/>
              <w:right w:w="20" w:type="dxa"/>
            </w:tcMar>
            <w:vAlign w:val="bottom"/>
          </w:tcPr>
          <w:p w14:paraId="5C7C7465" w14:textId="77777777" w:rsidR="0008009C" w:rsidRDefault="00936FDF">
            <w:pPr>
              <w:textAlignment w:val="bottom"/>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tcPr>
          <w:p w14:paraId="5C7C746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467" w14:textId="77777777" w:rsidR="0008009C" w:rsidRDefault="00936FDF">
            <w:pPr>
              <w:jc w:val="right"/>
              <w:textAlignment w:val="bottom"/>
            </w:pPr>
            <w:r>
              <w:rPr>
                <w:rFonts w:ascii="Arial" w:eastAsia="宋体" w:hAnsi="Arial" w:cs="Arial"/>
                <w:color w:val="0068B5"/>
                <w:sz w:val="18"/>
                <w:szCs w:val="18"/>
              </w:rPr>
              <w:t>(38)</w:t>
            </w:r>
          </w:p>
        </w:tc>
        <w:tc>
          <w:tcPr>
            <w:tcW w:w="0" w:type="auto"/>
            <w:shd w:val="clear" w:color="auto" w:fill="auto"/>
            <w:tcMar>
              <w:top w:w="40" w:type="dxa"/>
              <w:left w:w="0" w:type="dxa"/>
              <w:bottom w:w="40" w:type="dxa"/>
              <w:right w:w="20" w:type="dxa"/>
            </w:tcMar>
            <w:vAlign w:val="bottom"/>
          </w:tcPr>
          <w:p w14:paraId="5C7C746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46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46A" w14:textId="77777777" w:rsidR="0008009C" w:rsidRDefault="00936FDF">
            <w:pPr>
              <w:jc w:val="right"/>
              <w:textAlignment w:val="bottom"/>
            </w:pPr>
            <w:r>
              <w:rPr>
                <w:rFonts w:ascii="Arial" w:eastAsia="宋体" w:hAnsi="Arial" w:cs="Arial"/>
                <w:color w:val="262626"/>
                <w:sz w:val="18"/>
                <w:szCs w:val="18"/>
              </w:rPr>
              <w:t>(143)</w:t>
            </w:r>
          </w:p>
        </w:tc>
        <w:tc>
          <w:tcPr>
            <w:tcW w:w="0" w:type="auto"/>
            <w:shd w:val="clear" w:color="auto" w:fill="auto"/>
            <w:tcMar>
              <w:top w:w="40" w:type="dxa"/>
              <w:left w:w="0" w:type="dxa"/>
              <w:bottom w:w="40" w:type="dxa"/>
              <w:right w:w="20" w:type="dxa"/>
            </w:tcMar>
            <w:vAlign w:val="bottom"/>
          </w:tcPr>
          <w:p w14:paraId="5C7C746B" w14:textId="77777777" w:rsidR="0008009C" w:rsidRDefault="0008009C">
            <w:pPr>
              <w:jc w:val="right"/>
              <w:rPr>
                <w:rFonts w:ascii="宋体"/>
              </w:rPr>
            </w:pPr>
          </w:p>
        </w:tc>
        <w:tc>
          <w:tcPr>
            <w:tcW w:w="0" w:type="auto"/>
            <w:shd w:val="clear" w:color="auto" w:fill="auto"/>
          </w:tcPr>
          <w:p w14:paraId="5C7C746C" w14:textId="77777777" w:rsidR="0008009C" w:rsidRDefault="0008009C">
            <w:pPr>
              <w:rPr>
                <w:rFonts w:ascii="宋体"/>
                <w:vanish/>
              </w:rPr>
            </w:pPr>
          </w:p>
        </w:tc>
        <w:tc>
          <w:tcPr>
            <w:tcW w:w="0" w:type="auto"/>
            <w:shd w:val="clear" w:color="auto" w:fill="auto"/>
          </w:tcPr>
          <w:p w14:paraId="5C7C746D" w14:textId="77777777" w:rsidR="0008009C" w:rsidRDefault="0008009C">
            <w:pPr>
              <w:rPr>
                <w:rFonts w:ascii="宋体"/>
                <w:vanish/>
              </w:rPr>
            </w:pPr>
          </w:p>
        </w:tc>
        <w:tc>
          <w:tcPr>
            <w:tcW w:w="0" w:type="auto"/>
            <w:shd w:val="clear" w:color="auto" w:fill="auto"/>
          </w:tcPr>
          <w:p w14:paraId="5C7C746E" w14:textId="77777777" w:rsidR="0008009C" w:rsidRDefault="0008009C">
            <w:pPr>
              <w:rPr>
                <w:rFonts w:ascii="宋体"/>
                <w:vanish/>
              </w:rPr>
            </w:pPr>
          </w:p>
        </w:tc>
        <w:tc>
          <w:tcPr>
            <w:tcW w:w="0" w:type="auto"/>
            <w:shd w:val="clear" w:color="auto" w:fill="auto"/>
          </w:tcPr>
          <w:p w14:paraId="5C7C746F" w14:textId="77777777" w:rsidR="0008009C" w:rsidRDefault="0008009C">
            <w:pPr>
              <w:rPr>
                <w:rFonts w:ascii="宋体"/>
                <w:vanish/>
              </w:rPr>
            </w:pPr>
          </w:p>
        </w:tc>
      </w:tr>
      <w:tr w:rsidR="0008009C" w14:paraId="5C7C747C" w14:textId="77777777">
        <w:tc>
          <w:tcPr>
            <w:tcW w:w="0" w:type="auto"/>
            <w:gridSpan w:val="3"/>
            <w:shd w:val="clear" w:color="auto" w:fill="auto"/>
            <w:tcMar>
              <w:top w:w="40" w:type="dxa"/>
              <w:left w:w="20" w:type="dxa"/>
              <w:bottom w:w="40" w:type="dxa"/>
              <w:right w:w="20" w:type="dxa"/>
            </w:tcMar>
            <w:vAlign w:val="bottom"/>
          </w:tcPr>
          <w:p w14:paraId="5C7C7471" w14:textId="77777777" w:rsidR="0008009C" w:rsidRDefault="00936FDF">
            <w:pPr>
              <w:textAlignment w:val="bottom"/>
            </w:pPr>
            <w:r>
              <w:rPr>
                <w:rFonts w:ascii="Arial" w:eastAsia="宋体" w:hAnsi="Arial" w:cs="Arial"/>
                <w:color w:val="262626"/>
                <w:sz w:val="18"/>
                <w:szCs w:val="18"/>
              </w:rPr>
              <w:t>Sale of equity investments and other</w:t>
            </w:r>
            <w:r>
              <w:rPr>
                <w:rFonts w:ascii="Arial" w:eastAsia="宋体" w:hAnsi="Arial" w:cs="Arial"/>
                <w:color w:val="262626"/>
                <w:sz w:val="11"/>
                <w:szCs w:val="11"/>
              </w:rPr>
              <w:t xml:space="preserve"> </w:t>
            </w:r>
          </w:p>
        </w:tc>
        <w:tc>
          <w:tcPr>
            <w:tcW w:w="0" w:type="auto"/>
            <w:gridSpan w:val="3"/>
            <w:shd w:val="clear" w:color="auto" w:fill="auto"/>
            <w:tcMar>
              <w:top w:w="0" w:type="dxa"/>
              <w:left w:w="20" w:type="dxa"/>
              <w:bottom w:w="0" w:type="dxa"/>
              <w:right w:w="20" w:type="dxa"/>
            </w:tcMar>
          </w:tcPr>
          <w:p w14:paraId="5C7C747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473" w14:textId="77777777" w:rsidR="0008009C" w:rsidRDefault="00936FDF">
            <w:pPr>
              <w:jc w:val="right"/>
              <w:textAlignment w:val="bottom"/>
            </w:pPr>
            <w:r>
              <w:rPr>
                <w:rFonts w:ascii="Arial" w:eastAsia="宋体" w:hAnsi="Arial" w:cs="Arial"/>
                <w:color w:val="0068B5"/>
                <w:sz w:val="18"/>
                <w:szCs w:val="18"/>
              </w:rPr>
              <w:t>146 </w:t>
            </w:r>
          </w:p>
        </w:tc>
        <w:tc>
          <w:tcPr>
            <w:tcW w:w="0" w:type="auto"/>
            <w:shd w:val="clear" w:color="auto" w:fill="auto"/>
            <w:tcMar>
              <w:top w:w="40" w:type="dxa"/>
              <w:left w:w="0" w:type="dxa"/>
              <w:bottom w:w="40" w:type="dxa"/>
              <w:right w:w="20" w:type="dxa"/>
            </w:tcMar>
            <w:vAlign w:val="bottom"/>
          </w:tcPr>
          <w:p w14:paraId="5C7C747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47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476" w14:textId="77777777" w:rsidR="0008009C" w:rsidRDefault="00936FDF">
            <w:pPr>
              <w:jc w:val="right"/>
              <w:textAlignment w:val="bottom"/>
            </w:pPr>
            <w:r>
              <w:rPr>
                <w:rFonts w:ascii="Arial" w:eastAsia="宋体" w:hAnsi="Arial" w:cs="Arial"/>
                <w:color w:val="262626"/>
                <w:sz w:val="18"/>
                <w:szCs w:val="18"/>
              </w:rPr>
              <w:t>56 </w:t>
            </w:r>
          </w:p>
        </w:tc>
        <w:tc>
          <w:tcPr>
            <w:tcW w:w="0" w:type="auto"/>
            <w:shd w:val="clear" w:color="auto" w:fill="auto"/>
            <w:tcMar>
              <w:top w:w="40" w:type="dxa"/>
              <w:left w:w="0" w:type="dxa"/>
              <w:bottom w:w="40" w:type="dxa"/>
              <w:right w:w="20" w:type="dxa"/>
            </w:tcMar>
            <w:vAlign w:val="bottom"/>
          </w:tcPr>
          <w:p w14:paraId="5C7C7477" w14:textId="77777777" w:rsidR="0008009C" w:rsidRDefault="0008009C">
            <w:pPr>
              <w:jc w:val="right"/>
              <w:rPr>
                <w:rFonts w:ascii="宋体"/>
              </w:rPr>
            </w:pPr>
          </w:p>
        </w:tc>
        <w:tc>
          <w:tcPr>
            <w:tcW w:w="0" w:type="auto"/>
            <w:shd w:val="clear" w:color="auto" w:fill="auto"/>
          </w:tcPr>
          <w:p w14:paraId="5C7C7478" w14:textId="77777777" w:rsidR="0008009C" w:rsidRDefault="0008009C">
            <w:pPr>
              <w:rPr>
                <w:rFonts w:ascii="宋体"/>
                <w:vanish/>
              </w:rPr>
            </w:pPr>
          </w:p>
        </w:tc>
        <w:tc>
          <w:tcPr>
            <w:tcW w:w="0" w:type="auto"/>
            <w:shd w:val="clear" w:color="auto" w:fill="auto"/>
          </w:tcPr>
          <w:p w14:paraId="5C7C7479" w14:textId="77777777" w:rsidR="0008009C" w:rsidRDefault="0008009C">
            <w:pPr>
              <w:rPr>
                <w:rFonts w:ascii="宋体"/>
                <w:vanish/>
              </w:rPr>
            </w:pPr>
          </w:p>
        </w:tc>
        <w:tc>
          <w:tcPr>
            <w:tcW w:w="0" w:type="auto"/>
            <w:shd w:val="clear" w:color="auto" w:fill="auto"/>
          </w:tcPr>
          <w:p w14:paraId="5C7C747A" w14:textId="77777777" w:rsidR="0008009C" w:rsidRDefault="0008009C">
            <w:pPr>
              <w:rPr>
                <w:rFonts w:ascii="宋体"/>
                <w:vanish/>
              </w:rPr>
            </w:pPr>
          </w:p>
        </w:tc>
        <w:tc>
          <w:tcPr>
            <w:tcW w:w="0" w:type="auto"/>
            <w:shd w:val="clear" w:color="auto" w:fill="auto"/>
          </w:tcPr>
          <w:p w14:paraId="5C7C747B" w14:textId="77777777" w:rsidR="0008009C" w:rsidRDefault="0008009C">
            <w:pPr>
              <w:rPr>
                <w:rFonts w:ascii="宋体"/>
                <w:vanish/>
              </w:rPr>
            </w:pPr>
          </w:p>
        </w:tc>
      </w:tr>
      <w:tr w:rsidR="0008009C" w14:paraId="5C7C748A" w14:textId="77777777">
        <w:tc>
          <w:tcPr>
            <w:tcW w:w="0" w:type="auto"/>
            <w:gridSpan w:val="3"/>
            <w:shd w:val="clear" w:color="auto" w:fill="auto"/>
            <w:tcMar>
              <w:top w:w="40" w:type="dxa"/>
              <w:left w:w="20" w:type="dxa"/>
              <w:bottom w:w="40" w:type="dxa"/>
              <w:right w:w="20" w:type="dxa"/>
            </w:tcMar>
            <w:vAlign w:val="bottom"/>
          </w:tcPr>
          <w:p w14:paraId="5C7C747D" w14:textId="77777777" w:rsidR="0008009C" w:rsidRDefault="00936FDF">
            <w:pPr>
              <w:textAlignment w:val="bottom"/>
            </w:pPr>
            <w:r>
              <w:rPr>
                <w:rFonts w:ascii="Arial" w:eastAsia="宋体" w:hAnsi="Arial" w:cs="Arial"/>
                <w:b/>
                <w:bCs/>
                <w:color w:val="262626"/>
                <w:sz w:val="18"/>
                <w:szCs w:val="18"/>
              </w:rPr>
              <w:t>Gains (losses) on equity investments, net</w:t>
            </w:r>
          </w:p>
        </w:tc>
        <w:tc>
          <w:tcPr>
            <w:tcW w:w="0" w:type="auto"/>
            <w:gridSpan w:val="3"/>
            <w:shd w:val="clear" w:color="auto" w:fill="auto"/>
            <w:tcMar>
              <w:top w:w="0" w:type="dxa"/>
              <w:left w:w="20" w:type="dxa"/>
              <w:bottom w:w="0" w:type="dxa"/>
              <w:right w:w="20" w:type="dxa"/>
            </w:tcMar>
          </w:tcPr>
          <w:p w14:paraId="5C7C747E"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747F"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7480" w14:textId="77777777" w:rsidR="0008009C" w:rsidRDefault="00936FDF">
            <w:pPr>
              <w:jc w:val="right"/>
              <w:textAlignment w:val="bottom"/>
            </w:pPr>
            <w:r>
              <w:rPr>
                <w:rFonts w:ascii="Arial" w:eastAsia="宋体" w:hAnsi="Arial" w:cs="Arial"/>
                <w:b/>
                <w:bCs/>
                <w:color w:val="0068B5"/>
                <w:sz w:val="18"/>
                <w:szCs w:val="18"/>
              </w:rPr>
              <w:t>368</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48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482"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7483"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7484" w14:textId="77777777" w:rsidR="0008009C" w:rsidRDefault="00936FDF">
            <w:pPr>
              <w:jc w:val="right"/>
              <w:textAlignment w:val="bottom"/>
            </w:pPr>
            <w:r>
              <w:rPr>
                <w:rFonts w:ascii="Arial" w:eastAsia="宋体" w:hAnsi="Arial" w:cs="Arial"/>
                <w:b/>
                <w:bCs/>
                <w:color w:val="262626"/>
                <w:sz w:val="18"/>
                <w:szCs w:val="18"/>
              </w:rPr>
              <w:t>(111)</w:t>
            </w:r>
          </w:p>
        </w:tc>
        <w:tc>
          <w:tcPr>
            <w:tcW w:w="0" w:type="auto"/>
            <w:tcBorders>
              <w:top w:val="single" w:sz="8" w:space="0" w:color="262626"/>
            </w:tcBorders>
            <w:shd w:val="clear" w:color="auto" w:fill="auto"/>
            <w:tcMar>
              <w:top w:w="40" w:type="dxa"/>
              <w:left w:w="0" w:type="dxa"/>
              <w:bottom w:w="40" w:type="dxa"/>
              <w:right w:w="20" w:type="dxa"/>
            </w:tcMar>
            <w:vAlign w:val="bottom"/>
          </w:tcPr>
          <w:p w14:paraId="5C7C7485" w14:textId="77777777" w:rsidR="0008009C" w:rsidRDefault="0008009C">
            <w:pPr>
              <w:jc w:val="right"/>
              <w:rPr>
                <w:rFonts w:ascii="宋体"/>
              </w:rPr>
            </w:pPr>
          </w:p>
        </w:tc>
        <w:tc>
          <w:tcPr>
            <w:tcW w:w="0" w:type="auto"/>
            <w:shd w:val="clear" w:color="auto" w:fill="auto"/>
          </w:tcPr>
          <w:p w14:paraId="5C7C7486" w14:textId="77777777" w:rsidR="0008009C" w:rsidRDefault="0008009C">
            <w:pPr>
              <w:rPr>
                <w:rFonts w:ascii="宋体"/>
                <w:vanish/>
              </w:rPr>
            </w:pPr>
          </w:p>
        </w:tc>
        <w:tc>
          <w:tcPr>
            <w:tcW w:w="0" w:type="auto"/>
            <w:shd w:val="clear" w:color="auto" w:fill="auto"/>
          </w:tcPr>
          <w:p w14:paraId="5C7C7487" w14:textId="77777777" w:rsidR="0008009C" w:rsidRDefault="0008009C">
            <w:pPr>
              <w:rPr>
                <w:rFonts w:ascii="宋体"/>
                <w:vanish/>
              </w:rPr>
            </w:pPr>
          </w:p>
        </w:tc>
        <w:tc>
          <w:tcPr>
            <w:tcW w:w="0" w:type="auto"/>
            <w:shd w:val="clear" w:color="auto" w:fill="auto"/>
          </w:tcPr>
          <w:p w14:paraId="5C7C7488" w14:textId="77777777" w:rsidR="0008009C" w:rsidRDefault="0008009C">
            <w:pPr>
              <w:rPr>
                <w:rFonts w:ascii="宋体"/>
                <w:vanish/>
              </w:rPr>
            </w:pPr>
          </w:p>
        </w:tc>
        <w:tc>
          <w:tcPr>
            <w:tcW w:w="0" w:type="auto"/>
            <w:shd w:val="clear" w:color="auto" w:fill="auto"/>
          </w:tcPr>
          <w:p w14:paraId="5C7C7489" w14:textId="77777777" w:rsidR="0008009C" w:rsidRDefault="0008009C">
            <w:pPr>
              <w:rPr>
                <w:rFonts w:ascii="宋体"/>
                <w:vanish/>
              </w:rPr>
            </w:pPr>
          </w:p>
        </w:tc>
      </w:tr>
      <w:tr w:rsidR="0008009C" w14:paraId="5C7C7494" w14:textId="77777777">
        <w:trPr>
          <w:hidden/>
        </w:trPr>
        <w:tc>
          <w:tcPr>
            <w:tcW w:w="0" w:type="auto"/>
            <w:gridSpan w:val="3"/>
            <w:shd w:val="clear" w:color="auto" w:fill="auto"/>
          </w:tcPr>
          <w:p w14:paraId="5C7C748B" w14:textId="77777777" w:rsidR="0008009C" w:rsidRDefault="0008009C">
            <w:pPr>
              <w:rPr>
                <w:rFonts w:ascii="宋体"/>
                <w:vanish/>
              </w:rPr>
            </w:pPr>
          </w:p>
        </w:tc>
        <w:tc>
          <w:tcPr>
            <w:tcW w:w="0" w:type="auto"/>
            <w:gridSpan w:val="3"/>
            <w:shd w:val="clear" w:color="auto" w:fill="auto"/>
          </w:tcPr>
          <w:p w14:paraId="5C7C748C" w14:textId="77777777" w:rsidR="0008009C" w:rsidRDefault="0008009C">
            <w:pPr>
              <w:rPr>
                <w:rFonts w:ascii="宋体"/>
                <w:vanish/>
              </w:rPr>
            </w:pPr>
          </w:p>
        </w:tc>
        <w:tc>
          <w:tcPr>
            <w:tcW w:w="0" w:type="auto"/>
            <w:gridSpan w:val="3"/>
            <w:shd w:val="clear" w:color="auto" w:fill="auto"/>
          </w:tcPr>
          <w:p w14:paraId="5C7C748D" w14:textId="77777777" w:rsidR="0008009C" w:rsidRDefault="0008009C">
            <w:pPr>
              <w:rPr>
                <w:rFonts w:ascii="宋体"/>
                <w:vanish/>
              </w:rPr>
            </w:pPr>
          </w:p>
        </w:tc>
        <w:tc>
          <w:tcPr>
            <w:tcW w:w="0" w:type="auto"/>
            <w:gridSpan w:val="3"/>
            <w:shd w:val="clear" w:color="auto" w:fill="auto"/>
          </w:tcPr>
          <w:p w14:paraId="5C7C748E" w14:textId="77777777" w:rsidR="0008009C" w:rsidRDefault="0008009C">
            <w:pPr>
              <w:rPr>
                <w:rFonts w:ascii="宋体"/>
                <w:vanish/>
              </w:rPr>
            </w:pPr>
          </w:p>
        </w:tc>
        <w:tc>
          <w:tcPr>
            <w:tcW w:w="0" w:type="auto"/>
            <w:gridSpan w:val="3"/>
            <w:shd w:val="clear" w:color="auto" w:fill="auto"/>
          </w:tcPr>
          <w:p w14:paraId="5C7C748F" w14:textId="77777777" w:rsidR="0008009C" w:rsidRDefault="0008009C">
            <w:pPr>
              <w:rPr>
                <w:rFonts w:ascii="宋体"/>
                <w:vanish/>
              </w:rPr>
            </w:pPr>
          </w:p>
        </w:tc>
        <w:tc>
          <w:tcPr>
            <w:tcW w:w="0" w:type="auto"/>
            <w:shd w:val="clear" w:color="auto" w:fill="auto"/>
          </w:tcPr>
          <w:p w14:paraId="5C7C7490" w14:textId="77777777" w:rsidR="0008009C" w:rsidRDefault="0008009C">
            <w:pPr>
              <w:rPr>
                <w:rFonts w:ascii="宋体"/>
                <w:vanish/>
              </w:rPr>
            </w:pPr>
          </w:p>
        </w:tc>
        <w:tc>
          <w:tcPr>
            <w:tcW w:w="0" w:type="auto"/>
            <w:shd w:val="clear" w:color="auto" w:fill="auto"/>
          </w:tcPr>
          <w:p w14:paraId="5C7C7491" w14:textId="77777777" w:rsidR="0008009C" w:rsidRDefault="0008009C">
            <w:pPr>
              <w:rPr>
                <w:rFonts w:ascii="宋体"/>
                <w:vanish/>
              </w:rPr>
            </w:pPr>
          </w:p>
        </w:tc>
        <w:tc>
          <w:tcPr>
            <w:tcW w:w="0" w:type="auto"/>
            <w:shd w:val="clear" w:color="auto" w:fill="auto"/>
          </w:tcPr>
          <w:p w14:paraId="5C7C7492" w14:textId="77777777" w:rsidR="0008009C" w:rsidRDefault="0008009C">
            <w:pPr>
              <w:rPr>
                <w:rFonts w:ascii="宋体"/>
                <w:vanish/>
              </w:rPr>
            </w:pPr>
          </w:p>
        </w:tc>
        <w:tc>
          <w:tcPr>
            <w:tcW w:w="0" w:type="auto"/>
            <w:shd w:val="clear" w:color="auto" w:fill="auto"/>
          </w:tcPr>
          <w:p w14:paraId="5C7C7493" w14:textId="77777777" w:rsidR="0008009C" w:rsidRDefault="0008009C">
            <w:pPr>
              <w:rPr>
                <w:rFonts w:ascii="宋体"/>
                <w:vanish/>
              </w:rPr>
            </w:pPr>
          </w:p>
        </w:tc>
      </w:tr>
      <w:tr w:rsidR="0008009C" w14:paraId="5C7C74A2" w14:textId="77777777">
        <w:tc>
          <w:tcPr>
            <w:tcW w:w="0" w:type="auto"/>
            <w:gridSpan w:val="3"/>
            <w:shd w:val="clear" w:color="auto" w:fill="auto"/>
            <w:tcMar>
              <w:top w:w="40" w:type="dxa"/>
              <w:left w:w="20" w:type="dxa"/>
              <w:bottom w:w="40" w:type="dxa"/>
              <w:right w:w="20" w:type="dxa"/>
            </w:tcMar>
            <w:vAlign w:val="bottom"/>
          </w:tcPr>
          <w:p w14:paraId="5C7C7495" w14:textId="77777777" w:rsidR="0008009C" w:rsidRDefault="00936FDF">
            <w:pPr>
              <w:ind w:hanging="180"/>
              <w:textAlignment w:val="bottom"/>
            </w:pPr>
            <w:r>
              <w:rPr>
                <w:rFonts w:ascii="Arial" w:eastAsia="宋体" w:hAnsi="Arial" w:cs="Arial"/>
                <w:b/>
                <w:bCs/>
                <w:color w:val="262626"/>
                <w:sz w:val="18"/>
                <w:szCs w:val="18"/>
              </w:rPr>
              <w:t>Interest and other, net</w:t>
            </w:r>
          </w:p>
        </w:tc>
        <w:tc>
          <w:tcPr>
            <w:tcW w:w="0" w:type="auto"/>
            <w:gridSpan w:val="3"/>
            <w:shd w:val="clear" w:color="auto" w:fill="auto"/>
            <w:tcMar>
              <w:top w:w="0" w:type="dxa"/>
              <w:left w:w="20" w:type="dxa"/>
              <w:bottom w:w="0" w:type="dxa"/>
              <w:right w:w="20" w:type="dxa"/>
            </w:tcMar>
          </w:tcPr>
          <w:p w14:paraId="5C7C7496" w14:textId="77777777" w:rsidR="0008009C" w:rsidRDefault="0008009C">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5C7C7497" w14:textId="77777777" w:rsidR="0008009C" w:rsidRDefault="00936FDF">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5C7C7498" w14:textId="77777777" w:rsidR="0008009C" w:rsidRDefault="00936FDF">
            <w:pPr>
              <w:jc w:val="right"/>
              <w:textAlignment w:val="bottom"/>
            </w:pPr>
            <w:r>
              <w:rPr>
                <w:rFonts w:ascii="Arial" w:eastAsia="宋体" w:hAnsi="Arial" w:cs="Arial"/>
                <w:b/>
                <w:bCs/>
                <w:color w:val="0068B5"/>
                <w:sz w:val="18"/>
                <w:szCs w:val="18"/>
              </w:rPr>
              <w:t>(156)</w:t>
            </w:r>
          </w:p>
        </w:tc>
        <w:tc>
          <w:tcPr>
            <w:tcW w:w="0" w:type="auto"/>
            <w:tcBorders>
              <w:top w:val="double" w:sz="6" w:space="0" w:color="262626"/>
            </w:tcBorders>
            <w:shd w:val="clear" w:color="auto" w:fill="auto"/>
            <w:tcMar>
              <w:top w:w="40" w:type="dxa"/>
              <w:left w:w="0" w:type="dxa"/>
              <w:bottom w:w="40" w:type="dxa"/>
              <w:right w:w="20" w:type="dxa"/>
            </w:tcMar>
            <w:vAlign w:val="bottom"/>
          </w:tcPr>
          <w:p w14:paraId="5C7C749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49A" w14:textId="77777777" w:rsidR="0008009C" w:rsidRDefault="0008009C">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5C7C749B" w14:textId="77777777" w:rsidR="0008009C" w:rsidRDefault="00936FDF">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5C7C749C" w14:textId="77777777" w:rsidR="0008009C" w:rsidRDefault="00936FDF">
            <w:pPr>
              <w:jc w:val="right"/>
              <w:textAlignment w:val="bottom"/>
            </w:pPr>
            <w:r>
              <w:rPr>
                <w:rFonts w:ascii="Arial" w:eastAsia="宋体" w:hAnsi="Arial" w:cs="Arial"/>
                <w:b/>
                <w:bCs/>
                <w:color w:val="262626"/>
                <w:sz w:val="18"/>
                <w:szCs w:val="18"/>
              </w:rPr>
              <w:t>(313)</w:t>
            </w:r>
          </w:p>
        </w:tc>
        <w:tc>
          <w:tcPr>
            <w:tcW w:w="0" w:type="auto"/>
            <w:tcBorders>
              <w:top w:val="double" w:sz="6" w:space="0" w:color="262626"/>
            </w:tcBorders>
            <w:shd w:val="clear" w:color="auto" w:fill="auto"/>
            <w:tcMar>
              <w:top w:w="40" w:type="dxa"/>
              <w:left w:w="0" w:type="dxa"/>
              <w:bottom w:w="40" w:type="dxa"/>
              <w:right w:w="20" w:type="dxa"/>
            </w:tcMar>
            <w:vAlign w:val="bottom"/>
          </w:tcPr>
          <w:p w14:paraId="5C7C749D" w14:textId="77777777" w:rsidR="0008009C" w:rsidRDefault="0008009C">
            <w:pPr>
              <w:jc w:val="right"/>
              <w:rPr>
                <w:rFonts w:ascii="宋体"/>
              </w:rPr>
            </w:pPr>
          </w:p>
        </w:tc>
        <w:tc>
          <w:tcPr>
            <w:tcW w:w="0" w:type="auto"/>
            <w:shd w:val="clear" w:color="auto" w:fill="auto"/>
          </w:tcPr>
          <w:p w14:paraId="5C7C749E" w14:textId="77777777" w:rsidR="0008009C" w:rsidRDefault="0008009C">
            <w:pPr>
              <w:rPr>
                <w:rFonts w:ascii="宋体"/>
                <w:vanish/>
              </w:rPr>
            </w:pPr>
          </w:p>
        </w:tc>
        <w:tc>
          <w:tcPr>
            <w:tcW w:w="0" w:type="auto"/>
            <w:shd w:val="clear" w:color="auto" w:fill="auto"/>
          </w:tcPr>
          <w:p w14:paraId="5C7C749F" w14:textId="77777777" w:rsidR="0008009C" w:rsidRDefault="0008009C">
            <w:pPr>
              <w:rPr>
                <w:rFonts w:ascii="宋体"/>
                <w:vanish/>
              </w:rPr>
            </w:pPr>
          </w:p>
        </w:tc>
        <w:tc>
          <w:tcPr>
            <w:tcW w:w="0" w:type="auto"/>
            <w:shd w:val="clear" w:color="auto" w:fill="auto"/>
          </w:tcPr>
          <w:p w14:paraId="5C7C74A0" w14:textId="77777777" w:rsidR="0008009C" w:rsidRDefault="0008009C">
            <w:pPr>
              <w:rPr>
                <w:rFonts w:ascii="宋体"/>
                <w:vanish/>
              </w:rPr>
            </w:pPr>
          </w:p>
        </w:tc>
        <w:tc>
          <w:tcPr>
            <w:tcW w:w="0" w:type="auto"/>
            <w:shd w:val="clear" w:color="auto" w:fill="auto"/>
          </w:tcPr>
          <w:p w14:paraId="5C7C74A1" w14:textId="77777777" w:rsidR="0008009C" w:rsidRDefault="0008009C">
            <w:pPr>
              <w:rPr>
                <w:rFonts w:ascii="宋体"/>
                <w:vanish/>
              </w:rPr>
            </w:pPr>
          </w:p>
        </w:tc>
      </w:tr>
    </w:tbl>
    <w:p w14:paraId="5C7C74A3" w14:textId="77777777" w:rsidR="0008009C" w:rsidRDefault="00936FDF">
      <w:pPr>
        <w:spacing w:before="300" w:after="120"/>
      </w:pPr>
      <w:r>
        <w:rPr>
          <w:rFonts w:ascii="Arial" w:eastAsia="宋体" w:hAnsi="Arial" w:cs="Arial"/>
          <w:color w:val="0068B5"/>
          <w:sz w:val="20"/>
          <w:szCs w:val="20"/>
        </w:rPr>
        <w:t>Gains</w:t>
      </w:r>
      <w:r>
        <w:rPr>
          <w:rFonts w:ascii="Arial" w:eastAsia="宋体" w:hAnsi="Arial" w:cs="Arial"/>
          <w:color w:val="0068B5"/>
          <w:sz w:val="20"/>
          <w:szCs w:val="20"/>
        </w:rPr>
        <w:t xml:space="preserve"> (losses) on equity investments, net</w:t>
      </w:r>
    </w:p>
    <w:p w14:paraId="5C7C74A4" w14:textId="77777777" w:rsidR="0008009C" w:rsidRDefault="00936FDF">
      <w:pPr>
        <w:spacing w:after="180"/>
      </w:pPr>
      <w:r>
        <w:rPr>
          <w:rFonts w:ascii="Arial" w:eastAsia="宋体" w:hAnsi="Arial" w:cs="Arial"/>
          <w:color w:val="262626"/>
          <w:sz w:val="18"/>
          <w:szCs w:val="18"/>
        </w:rPr>
        <w:t>Ongoing mark-to-market adjustments during the first three months of 2021 were primarily related to our interest in Montage Technology, Co. Ltd. During the first three months of 2020, ongoing mark-to-market adjustments w</w:t>
      </w:r>
      <w:r>
        <w:rPr>
          <w:rFonts w:ascii="Arial" w:eastAsia="宋体" w:hAnsi="Arial" w:cs="Arial"/>
          <w:color w:val="262626"/>
          <w:sz w:val="18"/>
          <w:szCs w:val="18"/>
        </w:rPr>
        <w:t>ere primarily driven by our interest in Cloudera Inc.</w:t>
      </w:r>
    </w:p>
    <w:p w14:paraId="5C7C74A5" w14:textId="77777777" w:rsidR="0008009C" w:rsidRDefault="00936FDF">
      <w:pPr>
        <w:spacing w:after="180"/>
      </w:pPr>
      <w:r>
        <w:rPr>
          <w:rFonts w:ascii="Arial" w:eastAsia="宋体" w:hAnsi="Arial" w:cs="Arial"/>
          <w:color w:val="262626"/>
          <w:sz w:val="18"/>
          <w:szCs w:val="18"/>
        </w:rPr>
        <w:t>During the first three months of 2021, we recognized $471 million in observable price adjustments in our investment in Beijing Unisoc Technology Ltd.</w:t>
      </w:r>
    </w:p>
    <w:p w14:paraId="5C7C74A6" w14:textId="77777777" w:rsidR="0008009C" w:rsidRDefault="00936FDF">
      <w:pPr>
        <w:spacing w:after="120"/>
      </w:pPr>
      <w:r>
        <w:rPr>
          <w:rFonts w:ascii="Arial" w:eastAsia="宋体" w:hAnsi="Arial" w:cs="Arial"/>
          <w:color w:val="0068B5"/>
          <w:sz w:val="20"/>
          <w:szCs w:val="20"/>
        </w:rPr>
        <w:t>Interest and other, net</w:t>
      </w:r>
    </w:p>
    <w:p w14:paraId="5C7C74A7" w14:textId="77777777" w:rsidR="0008009C" w:rsidRDefault="00936FDF">
      <w:pPr>
        <w:spacing w:after="180"/>
      </w:pPr>
      <w:r>
        <w:rPr>
          <w:rFonts w:ascii="Arial" w:eastAsia="宋体" w:hAnsi="Arial" w:cs="Arial"/>
          <w:color w:val="262626"/>
          <w:sz w:val="18"/>
          <w:szCs w:val="18"/>
        </w:rPr>
        <w:t>During the first three month</w:t>
      </w:r>
      <w:r>
        <w:rPr>
          <w:rFonts w:ascii="Arial" w:eastAsia="宋体" w:hAnsi="Arial" w:cs="Arial"/>
          <w:color w:val="262626"/>
          <w:sz w:val="18"/>
          <w:szCs w:val="18"/>
        </w:rPr>
        <w:t>s of 2020, we paid $1.1 billion to fully satisfy conversion obligations for $372 million of our $2.0 billion 2009 Debentures and recognized a loss of $109 million in interest and other, net and $750 million as a reduction in stockholders' equity related to</w:t>
      </w:r>
      <w:r>
        <w:rPr>
          <w:rFonts w:ascii="Arial" w:eastAsia="宋体" w:hAnsi="Arial" w:cs="Arial"/>
          <w:color w:val="262626"/>
          <w:sz w:val="18"/>
          <w:szCs w:val="18"/>
        </w:rPr>
        <w:t xml:space="preserve"> the conversion feature.</w:t>
      </w:r>
    </w:p>
    <w:p w14:paraId="5C7C74A8" w14:textId="77777777" w:rsidR="0008009C" w:rsidRDefault="00936FDF">
      <w:pPr>
        <w:spacing w:before="300" w:after="180"/>
      </w:pPr>
      <w:r>
        <w:rPr>
          <w:rFonts w:ascii="Arial" w:eastAsia="宋体" w:hAnsi="Arial" w:cs="Arial"/>
          <w:color w:val="0068B5"/>
          <w:sz w:val="28"/>
          <w:szCs w:val="28"/>
        </w:rPr>
        <w:t>Restructuring and Other Charges</w:t>
      </w:r>
    </w:p>
    <w:tbl>
      <w:tblPr>
        <w:tblW w:w="5000" w:type="pct"/>
        <w:tblCellMar>
          <w:top w:w="15" w:type="dxa"/>
          <w:left w:w="15" w:type="dxa"/>
          <w:bottom w:w="15" w:type="dxa"/>
          <w:right w:w="15" w:type="dxa"/>
        </w:tblCellMar>
        <w:tblLook w:val="04A0" w:firstRow="1" w:lastRow="0" w:firstColumn="1" w:lastColumn="0" w:noHBand="0" w:noVBand="1"/>
      </w:tblPr>
      <w:tblGrid>
        <w:gridCol w:w="38"/>
        <w:gridCol w:w="5960"/>
        <w:gridCol w:w="36"/>
        <w:gridCol w:w="36"/>
        <w:gridCol w:w="36"/>
        <w:gridCol w:w="36"/>
        <w:gridCol w:w="121"/>
        <w:gridCol w:w="769"/>
        <w:gridCol w:w="36"/>
        <w:gridCol w:w="36"/>
        <w:gridCol w:w="36"/>
        <w:gridCol w:w="36"/>
        <w:gridCol w:w="121"/>
        <w:gridCol w:w="823"/>
        <w:gridCol w:w="36"/>
        <w:gridCol w:w="36"/>
        <w:gridCol w:w="36"/>
        <w:gridCol w:w="36"/>
        <w:gridCol w:w="36"/>
        <w:gridCol w:w="36"/>
      </w:tblGrid>
      <w:tr w:rsidR="0008009C" w14:paraId="5C7C74BD" w14:textId="77777777">
        <w:tc>
          <w:tcPr>
            <w:tcW w:w="50" w:type="pct"/>
            <w:shd w:val="clear" w:color="auto" w:fill="auto"/>
          </w:tcPr>
          <w:p w14:paraId="5C7C74A9" w14:textId="77777777" w:rsidR="0008009C" w:rsidRDefault="0008009C">
            <w:pPr>
              <w:rPr>
                <w:rFonts w:ascii="宋体"/>
              </w:rPr>
            </w:pPr>
          </w:p>
        </w:tc>
        <w:tc>
          <w:tcPr>
            <w:tcW w:w="3695" w:type="pct"/>
            <w:shd w:val="clear" w:color="auto" w:fill="auto"/>
          </w:tcPr>
          <w:p w14:paraId="5C7C74AA" w14:textId="77777777" w:rsidR="0008009C" w:rsidRDefault="0008009C">
            <w:pPr>
              <w:rPr>
                <w:rFonts w:ascii="宋体"/>
              </w:rPr>
            </w:pPr>
          </w:p>
        </w:tc>
        <w:tc>
          <w:tcPr>
            <w:tcW w:w="5" w:type="pct"/>
            <w:shd w:val="clear" w:color="auto" w:fill="auto"/>
          </w:tcPr>
          <w:p w14:paraId="5C7C74AB" w14:textId="77777777" w:rsidR="0008009C" w:rsidRDefault="0008009C">
            <w:pPr>
              <w:rPr>
                <w:rFonts w:ascii="宋体"/>
              </w:rPr>
            </w:pPr>
          </w:p>
        </w:tc>
        <w:tc>
          <w:tcPr>
            <w:tcW w:w="5" w:type="pct"/>
            <w:shd w:val="clear" w:color="auto" w:fill="auto"/>
          </w:tcPr>
          <w:p w14:paraId="5C7C74AC" w14:textId="77777777" w:rsidR="0008009C" w:rsidRDefault="0008009C">
            <w:pPr>
              <w:rPr>
                <w:rFonts w:ascii="宋体"/>
              </w:rPr>
            </w:pPr>
          </w:p>
        </w:tc>
        <w:tc>
          <w:tcPr>
            <w:tcW w:w="24" w:type="pct"/>
            <w:shd w:val="clear" w:color="auto" w:fill="auto"/>
          </w:tcPr>
          <w:p w14:paraId="5C7C74AD" w14:textId="77777777" w:rsidR="0008009C" w:rsidRDefault="0008009C">
            <w:pPr>
              <w:rPr>
                <w:rFonts w:ascii="宋体"/>
              </w:rPr>
            </w:pPr>
          </w:p>
        </w:tc>
        <w:tc>
          <w:tcPr>
            <w:tcW w:w="5" w:type="pct"/>
            <w:shd w:val="clear" w:color="auto" w:fill="auto"/>
          </w:tcPr>
          <w:p w14:paraId="5C7C74AE" w14:textId="77777777" w:rsidR="0008009C" w:rsidRDefault="0008009C">
            <w:pPr>
              <w:rPr>
                <w:rFonts w:ascii="宋体"/>
              </w:rPr>
            </w:pPr>
          </w:p>
        </w:tc>
        <w:tc>
          <w:tcPr>
            <w:tcW w:w="50" w:type="pct"/>
            <w:shd w:val="clear" w:color="auto" w:fill="auto"/>
          </w:tcPr>
          <w:p w14:paraId="5C7C74AF" w14:textId="77777777" w:rsidR="0008009C" w:rsidRDefault="0008009C">
            <w:pPr>
              <w:rPr>
                <w:rFonts w:ascii="宋体"/>
              </w:rPr>
            </w:pPr>
          </w:p>
        </w:tc>
        <w:tc>
          <w:tcPr>
            <w:tcW w:w="539" w:type="pct"/>
            <w:shd w:val="clear" w:color="auto" w:fill="auto"/>
          </w:tcPr>
          <w:p w14:paraId="5C7C74B0" w14:textId="77777777" w:rsidR="0008009C" w:rsidRDefault="0008009C">
            <w:pPr>
              <w:rPr>
                <w:rFonts w:ascii="宋体"/>
              </w:rPr>
            </w:pPr>
          </w:p>
        </w:tc>
        <w:tc>
          <w:tcPr>
            <w:tcW w:w="5" w:type="pct"/>
            <w:shd w:val="clear" w:color="auto" w:fill="auto"/>
          </w:tcPr>
          <w:p w14:paraId="5C7C74B1" w14:textId="77777777" w:rsidR="0008009C" w:rsidRDefault="0008009C">
            <w:pPr>
              <w:rPr>
                <w:rFonts w:ascii="宋体"/>
              </w:rPr>
            </w:pPr>
          </w:p>
        </w:tc>
        <w:tc>
          <w:tcPr>
            <w:tcW w:w="5" w:type="pct"/>
            <w:shd w:val="clear" w:color="auto" w:fill="auto"/>
          </w:tcPr>
          <w:p w14:paraId="5C7C74B2" w14:textId="77777777" w:rsidR="0008009C" w:rsidRDefault="0008009C">
            <w:pPr>
              <w:rPr>
                <w:rFonts w:ascii="宋体"/>
              </w:rPr>
            </w:pPr>
          </w:p>
        </w:tc>
        <w:tc>
          <w:tcPr>
            <w:tcW w:w="17" w:type="pct"/>
            <w:shd w:val="clear" w:color="auto" w:fill="auto"/>
          </w:tcPr>
          <w:p w14:paraId="5C7C74B3" w14:textId="77777777" w:rsidR="0008009C" w:rsidRDefault="0008009C">
            <w:pPr>
              <w:rPr>
                <w:rFonts w:ascii="宋体"/>
              </w:rPr>
            </w:pPr>
          </w:p>
        </w:tc>
        <w:tc>
          <w:tcPr>
            <w:tcW w:w="5" w:type="pct"/>
            <w:shd w:val="clear" w:color="auto" w:fill="auto"/>
          </w:tcPr>
          <w:p w14:paraId="5C7C74B4" w14:textId="77777777" w:rsidR="0008009C" w:rsidRDefault="0008009C">
            <w:pPr>
              <w:rPr>
                <w:rFonts w:ascii="宋体"/>
              </w:rPr>
            </w:pPr>
          </w:p>
        </w:tc>
        <w:tc>
          <w:tcPr>
            <w:tcW w:w="50" w:type="pct"/>
            <w:shd w:val="clear" w:color="auto" w:fill="auto"/>
          </w:tcPr>
          <w:p w14:paraId="5C7C74B5" w14:textId="77777777" w:rsidR="0008009C" w:rsidRDefault="0008009C">
            <w:pPr>
              <w:rPr>
                <w:rFonts w:ascii="宋体"/>
              </w:rPr>
            </w:pPr>
          </w:p>
        </w:tc>
        <w:tc>
          <w:tcPr>
            <w:tcW w:w="539" w:type="pct"/>
            <w:shd w:val="clear" w:color="auto" w:fill="auto"/>
          </w:tcPr>
          <w:p w14:paraId="5C7C74B6" w14:textId="77777777" w:rsidR="0008009C" w:rsidRDefault="0008009C">
            <w:pPr>
              <w:rPr>
                <w:rFonts w:ascii="宋体"/>
              </w:rPr>
            </w:pPr>
          </w:p>
        </w:tc>
        <w:tc>
          <w:tcPr>
            <w:tcW w:w="5" w:type="pct"/>
            <w:shd w:val="clear" w:color="auto" w:fill="auto"/>
          </w:tcPr>
          <w:p w14:paraId="5C7C74B7" w14:textId="77777777" w:rsidR="0008009C" w:rsidRDefault="0008009C">
            <w:pPr>
              <w:rPr>
                <w:rFonts w:ascii="宋体"/>
              </w:rPr>
            </w:pPr>
          </w:p>
        </w:tc>
        <w:tc>
          <w:tcPr>
            <w:tcW w:w="0" w:type="auto"/>
            <w:shd w:val="clear" w:color="auto" w:fill="auto"/>
          </w:tcPr>
          <w:p w14:paraId="5C7C74B8" w14:textId="77777777" w:rsidR="0008009C" w:rsidRDefault="0008009C">
            <w:pPr>
              <w:rPr>
                <w:rFonts w:ascii="宋体"/>
                <w:vanish/>
              </w:rPr>
            </w:pPr>
          </w:p>
        </w:tc>
        <w:tc>
          <w:tcPr>
            <w:tcW w:w="0" w:type="auto"/>
            <w:shd w:val="clear" w:color="auto" w:fill="auto"/>
          </w:tcPr>
          <w:p w14:paraId="5C7C74B9" w14:textId="77777777" w:rsidR="0008009C" w:rsidRDefault="0008009C">
            <w:pPr>
              <w:rPr>
                <w:rFonts w:ascii="宋体"/>
                <w:vanish/>
              </w:rPr>
            </w:pPr>
          </w:p>
        </w:tc>
        <w:tc>
          <w:tcPr>
            <w:tcW w:w="0" w:type="auto"/>
            <w:shd w:val="clear" w:color="auto" w:fill="auto"/>
          </w:tcPr>
          <w:p w14:paraId="5C7C74BA" w14:textId="77777777" w:rsidR="0008009C" w:rsidRDefault="0008009C">
            <w:pPr>
              <w:rPr>
                <w:rFonts w:ascii="宋体"/>
                <w:vanish/>
              </w:rPr>
            </w:pPr>
          </w:p>
        </w:tc>
        <w:tc>
          <w:tcPr>
            <w:tcW w:w="0" w:type="auto"/>
            <w:shd w:val="clear" w:color="auto" w:fill="auto"/>
          </w:tcPr>
          <w:p w14:paraId="5C7C74BB" w14:textId="77777777" w:rsidR="0008009C" w:rsidRDefault="0008009C">
            <w:pPr>
              <w:rPr>
                <w:rFonts w:ascii="宋体"/>
                <w:vanish/>
              </w:rPr>
            </w:pPr>
          </w:p>
        </w:tc>
        <w:tc>
          <w:tcPr>
            <w:tcW w:w="0" w:type="auto"/>
            <w:shd w:val="clear" w:color="auto" w:fill="auto"/>
          </w:tcPr>
          <w:p w14:paraId="5C7C74BC" w14:textId="77777777" w:rsidR="0008009C" w:rsidRDefault="0008009C">
            <w:pPr>
              <w:rPr>
                <w:rFonts w:ascii="宋体"/>
                <w:vanish/>
              </w:rPr>
            </w:pPr>
          </w:p>
        </w:tc>
      </w:tr>
      <w:tr w:rsidR="0008009C" w14:paraId="5C7C74C8" w14:textId="77777777">
        <w:tc>
          <w:tcPr>
            <w:tcW w:w="0" w:type="auto"/>
            <w:gridSpan w:val="3"/>
            <w:shd w:val="clear" w:color="auto" w:fill="auto"/>
            <w:tcMar>
              <w:top w:w="40" w:type="dxa"/>
              <w:left w:w="20" w:type="dxa"/>
              <w:bottom w:w="40" w:type="dxa"/>
              <w:right w:w="20" w:type="dxa"/>
            </w:tcMar>
            <w:vAlign w:val="bottom"/>
          </w:tcPr>
          <w:p w14:paraId="5C7C74BE"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74B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4C0" w14:textId="77777777" w:rsidR="0008009C" w:rsidRDefault="00936FDF">
            <w:pPr>
              <w:jc w:val="center"/>
              <w:textAlignment w:val="bottom"/>
            </w:pPr>
            <w:r>
              <w:rPr>
                <w:rFonts w:ascii="Arial" w:eastAsia="宋体" w:hAnsi="Arial" w:cs="Arial"/>
                <w:b/>
                <w:bCs/>
                <w:color w:val="262626"/>
                <w:sz w:val="18"/>
                <w:szCs w:val="18"/>
              </w:rPr>
              <w:t>Q1 2021</w:t>
            </w:r>
          </w:p>
        </w:tc>
        <w:tc>
          <w:tcPr>
            <w:tcW w:w="0" w:type="auto"/>
            <w:gridSpan w:val="3"/>
            <w:shd w:val="clear" w:color="auto" w:fill="auto"/>
            <w:tcMar>
              <w:top w:w="0" w:type="dxa"/>
              <w:left w:w="20" w:type="dxa"/>
              <w:bottom w:w="0" w:type="dxa"/>
              <w:right w:w="20" w:type="dxa"/>
            </w:tcMar>
          </w:tcPr>
          <w:p w14:paraId="5C7C74C1"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4C2" w14:textId="77777777" w:rsidR="0008009C" w:rsidRDefault="00936FDF">
            <w:pPr>
              <w:jc w:val="center"/>
              <w:textAlignment w:val="bottom"/>
            </w:pPr>
            <w:r>
              <w:rPr>
                <w:rFonts w:ascii="Arial" w:eastAsia="宋体" w:hAnsi="Arial" w:cs="Arial"/>
                <w:b/>
                <w:bCs/>
                <w:color w:val="262626"/>
                <w:sz w:val="18"/>
                <w:szCs w:val="18"/>
              </w:rPr>
              <w:t>Q1 2020</w:t>
            </w:r>
          </w:p>
        </w:tc>
        <w:tc>
          <w:tcPr>
            <w:tcW w:w="0" w:type="auto"/>
            <w:shd w:val="clear" w:color="auto" w:fill="auto"/>
          </w:tcPr>
          <w:p w14:paraId="5C7C74C3" w14:textId="77777777" w:rsidR="0008009C" w:rsidRDefault="0008009C">
            <w:pPr>
              <w:rPr>
                <w:rFonts w:ascii="宋体"/>
                <w:vanish/>
              </w:rPr>
            </w:pPr>
          </w:p>
        </w:tc>
        <w:tc>
          <w:tcPr>
            <w:tcW w:w="0" w:type="auto"/>
            <w:shd w:val="clear" w:color="auto" w:fill="auto"/>
          </w:tcPr>
          <w:p w14:paraId="5C7C74C4" w14:textId="77777777" w:rsidR="0008009C" w:rsidRDefault="0008009C">
            <w:pPr>
              <w:rPr>
                <w:rFonts w:ascii="宋体"/>
                <w:vanish/>
              </w:rPr>
            </w:pPr>
          </w:p>
        </w:tc>
        <w:tc>
          <w:tcPr>
            <w:tcW w:w="0" w:type="auto"/>
            <w:shd w:val="clear" w:color="auto" w:fill="auto"/>
          </w:tcPr>
          <w:p w14:paraId="5C7C74C5" w14:textId="77777777" w:rsidR="0008009C" w:rsidRDefault="0008009C">
            <w:pPr>
              <w:rPr>
                <w:rFonts w:ascii="宋体"/>
                <w:vanish/>
              </w:rPr>
            </w:pPr>
          </w:p>
        </w:tc>
        <w:tc>
          <w:tcPr>
            <w:tcW w:w="0" w:type="auto"/>
            <w:shd w:val="clear" w:color="auto" w:fill="auto"/>
          </w:tcPr>
          <w:p w14:paraId="5C7C74C6" w14:textId="77777777" w:rsidR="0008009C" w:rsidRDefault="0008009C">
            <w:pPr>
              <w:rPr>
                <w:rFonts w:ascii="宋体"/>
                <w:vanish/>
              </w:rPr>
            </w:pPr>
          </w:p>
        </w:tc>
        <w:tc>
          <w:tcPr>
            <w:tcW w:w="0" w:type="auto"/>
            <w:shd w:val="clear" w:color="auto" w:fill="auto"/>
          </w:tcPr>
          <w:p w14:paraId="5C7C74C7" w14:textId="77777777" w:rsidR="0008009C" w:rsidRDefault="0008009C">
            <w:pPr>
              <w:rPr>
                <w:rFonts w:ascii="宋体"/>
                <w:vanish/>
              </w:rPr>
            </w:pPr>
          </w:p>
        </w:tc>
      </w:tr>
      <w:tr w:rsidR="0008009C" w14:paraId="5C7C74D7"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74C9" w14:textId="77777777" w:rsidR="0008009C" w:rsidRDefault="00936FDF">
            <w:pPr>
              <w:textAlignment w:val="top"/>
            </w:pPr>
            <w:r>
              <w:rPr>
                <w:rFonts w:ascii="Arial" w:eastAsia="宋体" w:hAnsi="Arial" w:cs="Arial"/>
                <w:color w:val="262626"/>
                <w:sz w:val="18"/>
                <w:szCs w:val="18"/>
              </w:rPr>
              <w:t>Employee severance and benefit arrangements</w:t>
            </w:r>
          </w:p>
        </w:tc>
        <w:tc>
          <w:tcPr>
            <w:tcW w:w="0" w:type="auto"/>
            <w:gridSpan w:val="3"/>
            <w:shd w:val="clear" w:color="auto" w:fill="auto"/>
            <w:tcMar>
              <w:top w:w="0" w:type="dxa"/>
              <w:left w:w="20" w:type="dxa"/>
              <w:bottom w:w="0" w:type="dxa"/>
              <w:right w:w="20" w:type="dxa"/>
            </w:tcMar>
          </w:tcPr>
          <w:p w14:paraId="5C7C74CA"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74CB"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4CC" w14:textId="77777777" w:rsidR="0008009C" w:rsidRDefault="00936FDF">
            <w:pPr>
              <w:jc w:val="right"/>
              <w:textAlignment w:val="bottom"/>
            </w:pPr>
            <w:r>
              <w:rPr>
                <w:rFonts w:ascii="Arial" w:eastAsia="宋体" w:hAnsi="Arial" w:cs="Arial"/>
                <w:color w:val="0068B5"/>
                <w:sz w:val="18"/>
                <w:szCs w:val="18"/>
              </w:rPr>
              <w:t>6 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4C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4CE"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74CF" w14:textId="77777777" w:rsidR="0008009C" w:rsidRDefault="00936FDF">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4D0" w14:textId="77777777" w:rsidR="0008009C" w:rsidRDefault="00936FDF">
            <w:pPr>
              <w:jc w:val="right"/>
              <w:textAlignment w:val="bottom"/>
            </w:pPr>
            <w:r>
              <w:rPr>
                <w:rFonts w:ascii="Arial" w:eastAsia="宋体" w:hAnsi="Arial" w:cs="Arial"/>
                <w:color w:val="262626"/>
                <w:sz w:val="18"/>
                <w:szCs w:val="18"/>
              </w:rPr>
              <w:t>105 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4D1" w14:textId="77777777" w:rsidR="0008009C" w:rsidRDefault="0008009C">
            <w:pPr>
              <w:jc w:val="right"/>
              <w:rPr>
                <w:rFonts w:ascii="宋体"/>
              </w:rPr>
            </w:pPr>
          </w:p>
        </w:tc>
        <w:tc>
          <w:tcPr>
            <w:tcW w:w="0" w:type="auto"/>
            <w:shd w:val="clear" w:color="auto" w:fill="auto"/>
          </w:tcPr>
          <w:p w14:paraId="5C7C74D2" w14:textId="77777777" w:rsidR="0008009C" w:rsidRDefault="0008009C">
            <w:pPr>
              <w:rPr>
                <w:rFonts w:ascii="宋体"/>
                <w:vanish/>
              </w:rPr>
            </w:pPr>
          </w:p>
        </w:tc>
        <w:tc>
          <w:tcPr>
            <w:tcW w:w="0" w:type="auto"/>
            <w:shd w:val="clear" w:color="auto" w:fill="auto"/>
          </w:tcPr>
          <w:p w14:paraId="5C7C74D3" w14:textId="77777777" w:rsidR="0008009C" w:rsidRDefault="0008009C">
            <w:pPr>
              <w:rPr>
                <w:rFonts w:ascii="宋体"/>
                <w:vanish/>
              </w:rPr>
            </w:pPr>
          </w:p>
        </w:tc>
        <w:tc>
          <w:tcPr>
            <w:tcW w:w="0" w:type="auto"/>
            <w:shd w:val="clear" w:color="auto" w:fill="auto"/>
          </w:tcPr>
          <w:p w14:paraId="5C7C74D4" w14:textId="77777777" w:rsidR="0008009C" w:rsidRDefault="0008009C">
            <w:pPr>
              <w:rPr>
                <w:rFonts w:ascii="宋体"/>
                <w:vanish/>
              </w:rPr>
            </w:pPr>
          </w:p>
        </w:tc>
        <w:tc>
          <w:tcPr>
            <w:tcW w:w="0" w:type="auto"/>
            <w:shd w:val="clear" w:color="auto" w:fill="auto"/>
          </w:tcPr>
          <w:p w14:paraId="5C7C74D5" w14:textId="77777777" w:rsidR="0008009C" w:rsidRDefault="0008009C">
            <w:pPr>
              <w:rPr>
                <w:rFonts w:ascii="宋体"/>
                <w:vanish/>
              </w:rPr>
            </w:pPr>
          </w:p>
        </w:tc>
        <w:tc>
          <w:tcPr>
            <w:tcW w:w="0" w:type="auto"/>
            <w:shd w:val="clear" w:color="auto" w:fill="auto"/>
          </w:tcPr>
          <w:p w14:paraId="5C7C74D6" w14:textId="77777777" w:rsidR="0008009C" w:rsidRDefault="0008009C">
            <w:pPr>
              <w:rPr>
                <w:rFonts w:ascii="宋体"/>
                <w:vanish/>
              </w:rPr>
            </w:pPr>
          </w:p>
        </w:tc>
      </w:tr>
      <w:tr w:rsidR="0008009C" w14:paraId="5C7C74E2" w14:textId="77777777">
        <w:trPr>
          <w:hidden/>
        </w:trPr>
        <w:tc>
          <w:tcPr>
            <w:tcW w:w="0" w:type="auto"/>
            <w:gridSpan w:val="3"/>
            <w:shd w:val="clear" w:color="auto" w:fill="auto"/>
          </w:tcPr>
          <w:p w14:paraId="5C7C74D8" w14:textId="77777777" w:rsidR="0008009C" w:rsidRDefault="0008009C">
            <w:pPr>
              <w:rPr>
                <w:rFonts w:ascii="宋体"/>
                <w:vanish/>
              </w:rPr>
            </w:pPr>
          </w:p>
        </w:tc>
        <w:tc>
          <w:tcPr>
            <w:tcW w:w="0" w:type="auto"/>
            <w:gridSpan w:val="3"/>
            <w:shd w:val="clear" w:color="auto" w:fill="auto"/>
          </w:tcPr>
          <w:p w14:paraId="5C7C74D9" w14:textId="77777777" w:rsidR="0008009C" w:rsidRDefault="0008009C">
            <w:pPr>
              <w:rPr>
                <w:rFonts w:ascii="宋体"/>
                <w:vanish/>
              </w:rPr>
            </w:pPr>
          </w:p>
        </w:tc>
        <w:tc>
          <w:tcPr>
            <w:tcW w:w="0" w:type="auto"/>
            <w:gridSpan w:val="3"/>
            <w:shd w:val="clear" w:color="auto" w:fill="auto"/>
          </w:tcPr>
          <w:p w14:paraId="5C7C74DA" w14:textId="77777777" w:rsidR="0008009C" w:rsidRDefault="0008009C">
            <w:pPr>
              <w:rPr>
                <w:rFonts w:ascii="宋体"/>
                <w:vanish/>
              </w:rPr>
            </w:pPr>
          </w:p>
        </w:tc>
        <w:tc>
          <w:tcPr>
            <w:tcW w:w="0" w:type="auto"/>
            <w:gridSpan w:val="3"/>
            <w:shd w:val="clear" w:color="auto" w:fill="auto"/>
          </w:tcPr>
          <w:p w14:paraId="5C7C74DB" w14:textId="77777777" w:rsidR="0008009C" w:rsidRDefault="0008009C">
            <w:pPr>
              <w:rPr>
                <w:rFonts w:ascii="宋体"/>
                <w:vanish/>
              </w:rPr>
            </w:pPr>
          </w:p>
        </w:tc>
        <w:tc>
          <w:tcPr>
            <w:tcW w:w="0" w:type="auto"/>
            <w:gridSpan w:val="3"/>
            <w:shd w:val="clear" w:color="auto" w:fill="auto"/>
          </w:tcPr>
          <w:p w14:paraId="5C7C74DC" w14:textId="77777777" w:rsidR="0008009C" w:rsidRDefault="0008009C">
            <w:pPr>
              <w:rPr>
                <w:rFonts w:ascii="宋体"/>
                <w:vanish/>
              </w:rPr>
            </w:pPr>
          </w:p>
        </w:tc>
        <w:tc>
          <w:tcPr>
            <w:tcW w:w="0" w:type="auto"/>
            <w:shd w:val="clear" w:color="auto" w:fill="auto"/>
          </w:tcPr>
          <w:p w14:paraId="5C7C74DD" w14:textId="77777777" w:rsidR="0008009C" w:rsidRDefault="0008009C">
            <w:pPr>
              <w:rPr>
                <w:rFonts w:ascii="宋体"/>
                <w:vanish/>
              </w:rPr>
            </w:pPr>
          </w:p>
        </w:tc>
        <w:tc>
          <w:tcPr>
            <w:tcW w:w="0" w:type="auto"/>
            <w:shd w:val="clear" w:color="auto" w:fill="auto"/>
          </w:tcPr>
          <w:p w14:paraId="5C7C74DE" w14:textId="77777777" w:rsidR="0008009C" w:rsidRDefault="0008009C">
            <w:pPr>
              <w:rPr>
                <w:rFonts w:ascii="宋体"/>
                <w:vanish/>
              </w:rPr>
            </w:pPr>
          </w:p>
        </w:tc>
        <w:tc>
          <w:tcPr>
            <w:tcW w:w="0" w:type="auto"/>
            <w:shd w:val="clear" w:color="auto" w:fill="auto"/>
          </w:tcPr>
          <w:p w14:paraId="5C7C74DF" w14:textId="77777777" w:rsidR="0008009C" w:rsidRDefault="0008009C">
            <w:pPr>
              <w:rPr>
                <w:rFonts w:ascii="宋体"/>
                <w:vanish/>
              </w:rPr>
            </w:pPr>
          </w:p>
        </w:tc>
        <w:tc>
          <w:tcPr>
            <w:tcW w:w="0" w:type="auto"/>
            <w:shd w:val="clear" w:color="auto" w:fill="auto"/>
          </w:tcPr>
          <w:p w14:paraId="5C7C74E0" w14:textId="77777777" w:rsidR="0008009C" w:rsidRDefault="0008009C">
            <w:pPr>
              <w:rPr>
                <w:rFonts w:ascii="宋体"/>
                <w:vanish/>
              </w:rPr>
            </w:pPr>
          </w:p>
        </w:tc>
        <w:tc>
          <w:tcPr>
            <w:tcW w:w="0" w:type="auto"/>
            <w:shd w:val="clear" w:color="auto" w:fill="auto"/>
          </w:tcPr>
          <w:p w14:paraId="5C7C74E1" w14:textId="77777777" w:rsidR="0008009C" w:rsidRDefault="0008009C">
            <w:pPr>
              <w:rPr>
                <w:rFonts w:ascii="宋体"/>
                <w:vanish/>
              </w:rPr>
            </w:pPr>
          </w:p>
        </w:tc>
      </w:tr>
      <w:tr w:rsidR="0008009C" w14:paraId="5C7C74EF" w14:textId="77777777">
        <w:tc>
          <w:tcPr>
            <w:tcW w:w="0" w:type="auto"/>
            <w:gridSpan w:val="3"/>
            <w:shd w:val="clear" w:color="auto" w:fill="auto"/>
            <w:tcMar>
              <w:top w:w="40" w:type="dxa"/>
              <w:left w:w="20" w:type="dxa"/>
              <w:bottom w:w="40" w:type="dxa"/>
              <w:right w:w="20" w:type="dxa"/>
            </w:tcMar>
          </w:tcPr>
          <w:p w14:paraId="5C7C74E3" w14:textId="77777777" w:rsidR="0008009C" w:rsidRDefault="00936FDF">
            <w:pPr>
              <w:textAlignment w:val="top"/>
            </w:pPr>
            <w:r>
              <w:rPr>
                <w:rFonts w:ascii="Arial" w:eastAsia="宋体" w:hAnsi="Arial" w:cs="Arial"/>
                <w:color w:val="262626"/>
                <w:sz w:val="18"/>
                <w:szCs w:val="18"/>
              </w:rPr>
              <w:t>Litigation charges and other</w:t>
            </w:r>
          </w:p>
        </w:tc>
        <w:tc>
          <w:tcPr>
            <w:tcW w:w="0" w:type="auto"/>
            <w:gridSpan w:val="3"/>
            <w:shd w:val="clear" w:color="auto" w:fill="auto"/>
            <w:tcMar>
              <w:top w:w="0" w:type="dxa"/>
              <w:left w:w="20" w:type="dxa"/>
              <w:bottom w:w="0" w:type="dxa"/>
              <w:right w:w="20" w:type="dxa"/>
            </w:tcMar>
          </w:tcPr>
          <w:p w14:paraId="5C7C74E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4E5" w14:textId="77777777" w:rsidR="0008009C" w:rsidRDefault="00936FDF">
            <w:pPr>
              <w:jc w:val="right"/>
              <w:textAlignment w:val="bottom"/>
            </w:pPr>
            <w:r>
              <w:rPr>
                <w:rFonts w:ascii="Arial" w:eastAsia="宋体" w:hAnsi="Arial" w:cs="Arial"/>
                <w:color w:val="0068B5"/>
                <w:sz w:val="18"/>
                <w:szCs w:val="18"/>
              </w:rPr>
              <w:t>2,203 </w:t>
            </w:r>
          </w:p>
        </w:tc>
        <w:tc>
          <w:tcPr>
            <w:tcW w:w="0" w:type="auto"/>
            <w:shd w:val="clear" w:color="auto" w:fill="auto"/>
            <w:tcMar>
              <w:top w:w="40" w:type="dxa"/>
              <w:left w:w="0" w:type="dxa"/>
              <w:bottom w:w="40" w:type="dxa"/>
              <w:right w:w="20" w:type="dxa"/>
            </w:tcMar>
            <w:vAlign w:val="bottom"/>
          </w:tcPr>
          <w:p w14:paraId="5C7C74E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4E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4E8" w14:textId="77777777" w:rsidR="0008009C" w:rsidRDefault="00936FDF">
            <w:pPr>
              <w:jc w:val="right"/>
              <w:textAlignment w:val="bottom"/>
            </w:pPr>
            <w:r>
              <w:rPr>
                <w:rFonts w:ascii="Arial" w:eastAsia="宋体" w:hAnsi="Arial" w:cs="Arial"/>
                <w:color w:val="262626"/>
                <w:sz w:val="18"/>
                <w:szCs w:val="18"/>
              </w:rPr>
              <w:t>57 </w:t>
            </w:r>
          </w:p>
        </w:tc>
        <w:tc>
          <w:tcPr>
            <w:tcW w:w="0" w:type="auto"/>
            <w:shd w:val="clear" w:color="auto" w:fill="auto"/>
            <w:tcMar>
              <w:top w:w="40" w:type="dxa"/>
              <w:left w:w="0" w:type="dxa"/>
              <w:bottom w:w="40" w:type="dxa"/>
              <w:right w:w="20" w:type="dxa"/>
            </w:tcMar>
            <w:vAlign w:val="bottom"/>
          </w:tcPr>
          <w:p w14:paraId="5C7C74E9" w14:textId="77777777" w:rsidR="0008009C" w:rsidRDefault="0008009C">
            <w:pPr>
              <w:jc w:val="right"/>
              <w:rPr>
                <w:rFonts w:ascii="宋体"/>
              </w:rPr>
            </w:pPr>
          </w:p>
        </w:tc>
        <w:tc>
          <w:tcPr>
            <w:tcW w:w="0" w:type="auto"/>
            <w:shd w:val="clear" w:color="auto" w:fill="auto"/>
          </w:tcPr>
          <w:p w14:paraId="5C7C74EA" w14:textId="77777777" w:rsidR="0008009C" w:rsidRDefault="0008009C">
            <w:pPr>
              <w:rPr>
                <w:rFonts w:ascii="宋体"/>
                <w:vanish/>
              </w:rPr>
            </w:pPr>
          </w:p>
        </w:tc>
        <w:tc>
          <w:tcPr>
            <w:tcW w:w="0" w:type="auto"/>
            <w:shd w:val="clear" w:color="auto" w:fill="auto"/>
          </w:tcPr>
          <w:p w14:paraId="5C7C74EB" w14:textId="77777777" w:rsidR="0008009C" w:rsidRDefault="0008009C">
            <w:pPr>
              <w:rPr>
                <w:rFonts w:ascii="宋体"/>
                <w:vanish/>
              </w:rPr>
            </w:pPr>
          </w:p>
        </w:tc>
        <w:tc>
          <w:tcPr>
            <w:tcW w:w="0" w:type="auto"/>
            <w:shd w:val="clear" w:color="auto" w:fill="auto"/>
          </w:tcPr>
          <w:p w14:paraId="5C7C74EC" w14:textId="77777777" w:rsidR="0008009C" w:rsidRDefault="0008009C">
            <w:pPr>
              <w:rPr>
                <w:rFonts w:ascii="宋体"/>
                <w:vanish/>
              </w:rPr>
            </w:pPr>
          </w:p>
        </w:tc>
        <w:tc>
          <w:tcPr>
            <w:tcW w:w="0" w:type="auto"/>
            <w:shd w:val="clear" w:color="auto" w:fill="auto"/>
          </w:tcPr>
          <w:p w14:paraId="5C7C74ED" w14:textId="77777777" w:rsidR="0008009C" w:rsidRDefault="0008009C">
            <w:pPr>
              <w:rPr>
                <w:rFonts w:ascii="宋体"/>
                <w:vanish/>
              </w:rPr>
            </w:pPr>
          </w:p>
        </w:tc>
        <w:tc>
          <w:tcPr>
            <w:tcW w:w="0" w:type="auto"/>
            <w:shd w:val="clear" w:color="auto" w:fill="auto"/>
          </w:tcPr>
          <w:p w14:paraId="5C7C74EE" w14:textId="77777777" w:rsidR="0008009C" w:rsidRDefault="0008009C">
            <w:pPr>
              <w:rPr>
                <w:rFonts w:ascii="宋体"/>
                <w:vanish/>
              </w:rPr>
            </w:pPr>
          </w:p>
        </w:tc>
      </w:tr>
      <w:tr w:rsidR="0008009C" w14:paraId="5C7C74FE" w14:textId="77777777">
        <w:tc>
          <w:tcPr>
            <w:tcW w:w="0" w:type="auto"/>
            <w:gridSpan w:val="3"/>
            <w:shd w:val="clear" w:color="auto" w:fill="auto"/>
            <w:tcMar>
              <w:top w:w="40" w:type="dxa"/>
              <w:left w:w="20" w:type="dxa"/>
              <w:bottom w:w="40" w:type="dxa"/>
              <w:right w:w="20" w:type="dxa"/>
            </w:tcMar>
          </w:tcPr>
          <w:p w14:paraId="5C7C74F0" w14:textId="77777777" w:rsidR="0008009C" w:rsidRDefault="00936FDF">
            <w:pPr>
              <w:textAlignment w:val="top"/>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tcPr>
          <w:p w14:paraId="5C7C74F1"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74F2"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74F3" w14:textId="77777777" w:rsidR="0008009C" w:rsidRDefault="00936FDF">
            <w:pPr>
              <w:jc w:val="right"/>
              <w:textAlignment w:val="bottom"/>
            </w:pPr>
            <w:r>
              <w:rPr>
                <w:rFonts w:ascii="Arial" w:eastAsia="宋体" w:hAnsi="Arial" w:cs="Arial"/>
                <w:b/>
                <w:bCs/>
                <w:color w:val="0068B5"/>
                <w:sz w:val="18"/>
                <w:szCs w:val="18"/>
              </w:rPr>
              <w:t>2,209</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74F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4F5"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74F6"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74F7" w14:textId="77777777" w:rsidR="0008009C" w:rsidRDefault="00936FDF">
            <w:pPr>
              <w:jc w:val="right"/>
              <w:textAlignment w:val="bottom"/>
            </w:pPr>
            <w:r>
              <w:rPr>
                <w:rFonts w:ascii="Arial" w:eastAsia="宋体" w:hAnsi="Arial" w:cs="Arial"/>
                <w:b/>
                <w:bCs/>
                <w:color w:val="262626"/>
                <w:sz w:val="18"/>
                <w:szCs w:val="18"/>
              </w:rPr>
              <w:t>162</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74F8" w14:textId="77777777" w:rsidR="0008009C" w:rsidRDefault="0008009C">
            <w:pPr>
              <w:jc w:val="right"/>
              <w:rPr>
                <w:rFonts w:ascii="宋体"/>
              </w:rPr>
            </w:pPr>
          </w:p>
        </w:tc>
        <w:tc>
          <w:tcPr>
            <w:tcW w:w="0" w:type="auto"/>
            <w:shd w:val="clear" w:color="auto" w:fill="auto"/>
          </w:tcPr>
          <w:p w14:paraId="5C7C74F9" w14:textId="77777777" w:rsidR="0008009C" w:rsidRDefault="0008009C">
            <w:pPr>
              <w:rPr>
                <w:rFonts w:ascii="宋体"/>
                <w:vanish/>
              </w:rPr>
            </w:pPr>
          </w:p>
        </w:tc>
        <w:tc>
          <w:tcPr>
            <w:tcW w:w="0" w:type="auto"/>
            <w:shd w:val="clear" w:color="auto" w:fill="auto"/>
          </w:tcPr>
          <w:p w14:paraId="5C7C74FA" w14:textId="77777777" w:rsidR="0008009C" w:rsidRDefault="0008009C">
            <w:pPr>
              <w:rPr>
                <w:rFonts w:ascii="宋体"/>
                <w:vanish/>
              </w:rPr>
            </w:pPr>
          </w:p>
        </w:tc>
        <w:tc>
          <w:tcPr>
            <w:tcW w:w="0" w:type="auto"/>
            <w:shd w:val="clear" w:color="auto" w:fill="auto"/>
          </w:tcPr>
          <w:p w14:paraId="5C7C74FB" w14:textId="77777777" w:rsidR="0008009C" w:rsidRDefault="0008009C">
            <w:pPr>
              <w:rPr>
                <w:rFonts w:ascii="宋体"/>
                <w:vanish/>
              </w:rPr>
            </w:pPr>
          </w:p>
        </w:tc>
        <w:tc>
          <w:tcPr>
            <w:tcW w:w="0" w:type="auto"/>
            <w:shd w:val="clear" w:color="auto" w:fill="auto"/>
          </w:tcPr>
          <w:p w14:paraId="5C7C74FC" w14:textId="77777777" w:rsidR="0008009C" w:rsidRDefault="0008009C">
            <w:pPr>
              <w:rPr>
                <w:rFonts w:ascii="宋体"/>
                <w:vanish/>
              </w:rPr>
            </w:pPr>
          </w:p>
        </w:tc>
        <w:tc>
          <w:tcPr>
            <w:tcW w:w="0" w:type="auto"/>
            <w:shd w:val="clear" w:color="auto" w:fill="auto"/>
          </w:tcPr>
          <w:p w14:paraId="5C7C74FD" w14:textId="77777777" w:rsidR="0008009C" w:rsidRDefault="0008009C">
            <w:pPr>
              <w:rPr>
                <w:rFonts w:ascii="宋体"/>
                <w:vanish/>
              </w:rPr>
            </w:pPr>
          </w:p>
        </w:tc>
      </w:tr>
    </w:tbl>
    <w:p w14:paraId="5C7C74FF" w14:textId="77777777" w:rsidR="0008009C" w:rsidRDefault="00936FDF">
      <w:pPr>
        <w:spacing w:before="180" w:after="180"/>
      </w:pPr>
      <w:r>
        <w:rPr>
          <w:rFonts w:ascii="Arial" w:eastAsia="宋体" w:hAnsi="Arial" w:cs="Arial"/>
          <w:color w:val="262626"/>
          <w:sz w:val="18"/>
          <w:szCs w:val="18"/>
        </w:rPr>
        <w:t xml:space="preserve">A restructuring program, which is ongoing, was approved in the first quarter of 2020 and is expected to be substantially completed in 2021. Litigation charges and other includes a charge of $2.2 billion in the first three months of 2021 related to </w:t>
      </w:r>
      <w:r>
        <w:rPr>
          <w:rFonts w:ascii="Arial" w:eastAsia="宋体" w:hAnsi="Arial" w:cs="Arial"/>
          <w:color w:val="262626"/>
          <w:sz w:val="18"/>
          <w:szCs w:val="18"/>
        </w:rPr>
        <w:t>the VLSI litigation. Refer to "Note 6: Restructuring and Other Charges" and "Note 13: Contingencies" within Notes to Consolidated Condensed Financial Statements for further information.</w:t>
      </w:r>
    </w:p>
    <w:p w14:paraId="5C7C7500" w14:textId="77777777" w:rsidR="0008009C" w:rsidRDefault="00936FDF">
      <w:pPr>
        <w:spacing w:before="300" w:after="180"/>
      </w:pPr>
      <w:r>
        <w:rPr>
          <w:rFonts w:ascii="Arial" w:eastAsia="宋体" w:hAnsi="Arial" w:cs="Arial"/>
          <w:color w:val="0068B5"/>
          <w:sz w:val="28"/>
          <w:szCs w:val="28"/>
        </w:rPr>
        <w:t>Provision for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5899"/>
        <w:gridCol w:w="36"/>
        <w:gridCol w:w="36"/>
        <w:gridCol w:w="36"/>
        <w:gridCol w:w="36"/>
        <w:gridCol w:w="121"/>
        <w:gridCol w:w="700"/>
        <w:gridCol w:w="181"/>
        <w:gridCol w:w="36"/>
        <w:gridCol w:w="36"/>
        <w:gridCol w:w="36"/>
        <w:gridCol w:w="121"/>
        <w:gridCol w:w="700"/>
        <w:gridCol w:w="181"/>
        <w:gridCol w:w="36"/>
        <w:gridCol w:w="36"/>
        <w:gridCol w:w="36"/>
        <w:gridCol w:w="36"/>
      </w:tblGrid>
      <w:tr w:rsidR="0008009C" w14:paraId="5C7C7514" w14:textId="77777777">
        <w:tc>
          <w:tcPr>
            <w:tcW w:w="50" w:type="pct"/>
            <w:shd w:val="clear" w:color="auto" w:fill="auto"/>
          </w:tcPr>
          <w:p w14:paraId="5C7C7501" w14:textId="77777777" w:rsidR="0008009C" w:rsidRDefault="0008009C">
            <w:pPr>
              <w:rPr>
                <w:rFonts w:ascii="宋体"/>
              </w:rPr>
            </w:pPr>
          </w:p>
        </w:tc>
        <w:tc>
          <w:tcPr>
            <w:tcW w:w="3688" w:type="pct"/>
            <w:shd w:val="clear" w:color="auto" w:fill="auto"/>
          </w:tcPr>
          <w:p w14:paraId="5C7C7502" w14:textId="77777777" w:rsidR="0008009C" w:rsidRDefault="0008009C">
            <w:pPr>
              <w:rPr>
                <w:rFonts w:ascii="宋体"/>
              </w:rPr>
            </w:pPr>
          </w:p>
        </w:tc>
        <w:tc>
          <w:tcPr>
            <w:tcW w:w="5" w:type="pct"/>
            <w:shd w:val="clear" w:color="auto" w:fill="auto"/>
          </w:tcPr>
          <w:p w14:paraId="5C7C7503" w14:textId="77777777" w:rsidR="0008009C" w:rsidRDefault="0008009C">
            <w:pPr>
              <w:rPr>
                <w:rFonts w:ascii="宋体"/>
              </w:rPr>
            </w:pPr>
          </w:p>
        </w:tc>
        <w:tc>
          <w:tcPr>
            <w:tcW w:w="5" w:type="pct"/>
            <w:shd w:val="clear" w:color="auto" w:fill="auto"/>
          </w:tcPr>
          <w:p w14:paraId="5C7C7504" w14:textId="77777777" w:rsidR="0008009C" w:rsidRDefault="0008009C">
            <w:pPr>
              <w:rPr>
                <w:rFonts w:ascii="宋体"/>
              </w:rPr>
            </w:pPr>
          </w:p>
        </w:tc>
        <w:tc>
          <w:tcPr>
            <w:tcW w:w="24" w:type="pct"/>
            <w:shd w:val="clear" w:color="auto" w:fill="auto"/>
          </w:tcPr>
          <w:p w14:paraId="5C7C7505" w14:textId="77777777" w:rsidR="0008009C" w:rsidRDefault="0008009C">
            <w:pPr>
              <w:rPr>
                <w:rFonts w:ascii="宋体"/>
              </w:rPr>
            </w:pPr>
          </w:p>
        </w:tc>
        <w:tc>
          <w:tcPr>
            <w:tcW w:w="5" w:type="pct"/>
            <w:shd w:val="clear" w:color="auto" w:fill="auto"/>
          </w:tcPr>
          <w:p w14:paraId="5C7C7506" w14:textId="77777777" w:rsidR="0008009C" w:rsidRDefault="0008009C">
            <w:pPr>
              <w:rPr>
                <w:rFonts w:ascii="宋体"/>
              </w:rPr>
            </w:pPr>
          </w:p>
        </w:tc>
        <w:tc>
          <w:tcPr>
            <w:tcW w:w="50" w:type="pct"/>
            <w:shd w:val="clear" w:color="auto" w:fill="auto"/>
          </w:tcPr>
          <w:p w14:paraId="5C7C7507" w14:textId="77777777" w:rsidR="0008009C" w:rsidRDefault="0008009C">
            <w:pPr>
              <w:rPr>
                <w:rFonts w:ascii="宋体"/>
              </w:rPr>
            </w:pPr>
          </w:p>
        </w:tc>
        <w:tc>
          <w:tcPr>
            <w:tcW w:w="539" w:type="pct"/>
            <w:shd w:val="clear" w:color="auto" w:fill="auto"/>
          </w:tcPr>
          <w:p w14:paraId="5C7C7508" w14:textId="77777777" w:rsidR="0008009C" w:rsidRDefault="0008009C">
            <w:pPr>
              <w:rPr>
                <w:rFonts w:ascii="宋体"/>
              </w:rPr>
            </w:pPr>
          </w:p>
        </w:tc>
        <w:tc>
          <w:tcPr>
            <w:tcW w:w="5" w:type="pct"/>
            <w:shd w:val="clear" w:color="auto" w:fill="auto"/>
          </w:tcPr>
          <w:p w14:paraId="5C7C7509" w14:textId="77777777" w:rsidR="0008009C" w:rsidRDefault="0008009C">
            <w:pPr>
              <w:rPr>
                <w:rFonts w:ascii="宋体"/>
              </w:rPr>
            </w:pPr>
          </w:p>
        </w:tc>
        <w:tc>
          <w:tcPr>
            <w:tcW w:w="5" w:type="pct"/>
            <w:shd w:val="clear" w:color="auto" w:fill="auto"/>
          </w:tcPr>
          <w:p w14:paraId="5C7C750A" w14:textId="77777777" w:rsidR="0008009C" w:rsidRDefault="0008009C">
            <w:pPr>
              <w:rPr>
                <w:rFonts w:ascii="宋体"/>
              </w:rPr>
            </w:pPr>
          </w:p>
        </w:tc>
        <w:tc>
          <w:tcPr>
            <w:tcW w:w="24" w:type="pct"/>
            <w:shd w:val="clear" w:color="auto" w:fill="auto"/>
          </w:tcPr>
          <w:p w14:paraId="5C7C750B" w14:textId="77777777" w:rsidR="0008009C" w:rsidRDefault="0008009C">
            <w:pPr>
              <w:rPr>
                <w:rFonts w:ascii="宋体"/>
              </w:rPr>
            </w:pPr>
          </w:p>
        </w:tc>
        <w:tc>
          <w:tcPr>
            <w:tcW w:w="5" w:type="pct"/>
            <w:shd w:val="clear" w:color="auto" w:fill="auto"/>
          </w:tcPr>
          <w:p w14:paraId="5C7C750C" w14:textId="77777777" w:rsidR="0008009C" w:rsidRDefault="0008009C">
            <w:pPr>
              <w:rPr>
                <w:rFonts w:ascii="宋体"/>
              </w:rPr>
            </w:pPr>
          </w:p>
        </w:tc>
        <w:tc>
          <w:tcPr>
            <w:tcW w:w="50" w:type="pct"/>
            <w:shd w:val="clear" w:color="auto" w:fill="auto"/>
          </w:tcPr>
          <w:p w14:paraId="5C7C750D" w14:textId="77777777" w:rsidR="0008009C" w:rsidRDefault="0008009C">
            <w:pPr>
              <w:rPr>
                <w:rFonts w:ascii="宋体"/>
              </w:rPr>
            </w:pPr>
          </w:p>
        </w:tc>
        <w:tc>
          <w:tcPr>
            <w:tcW w:w="539" w:type="pct"/>
            <w:shd w:val="clear" w:color="auto" w:fill="auto"/>
          </w:tcPr>
          <w:p w14:paraId="5C7C750E" w14:textId="77777777" w:rsidR="0008009C" w:rsidRDefault="0008009C">
            <w:pPr>
              <w:rPr>
                <w:rFonts w:ascii="宋体"/>
              </w:rPr>
            </w:pPr>
          </w:p>
        </w:tc>
        <w:tc>
          <w:tcPr>
            <w:tcW w:w="5" w:type="pct"/>
            <w:shd w:val="clear" w:color="auto" w:fill="auto"/>
          </w:tcPr>
          <w:p w14:paraId="5C7C750F" w14:textId="77777777" w:rsidR="0008009C" w:rsidRDefault="0008009C">
            <w:pPr>
              <w:rPr>
                <w:rFonts w:ascii="宋体"/>
              </w:rPr>
            </w:pPr>
          </w:p>
        </w:tc>
        <w:tc>
          <w:tcPr>
            <w:tcW w:w="0" w:type="auto"/>
            <w:shd w:val="clear" w:color="auto" w:fill="auto"/>
          </w:tcPr>
          <w:p w14:paraId="5C7C7510" w14:textId="77777777" w:rsidR="0008009C" w:rsidRDefault="0008009C">
            <w:pPr>
              <w:rPr>
                <w:rFonts w:ascii="宋体"/>
                <w:vanish/>
              </w:rPr>
            </w:pPr>
          </w:p>
        </w:tc>
        <w:tc>
          <w:tcPr>
            <w:tcW w:w="0" w:type="auto"/>
            <w:shd w:val="clear" w:color="auto" w:fill="auto"/>
          </w:tcPr>
          <w:p w14:paraId="5C7C7511" w14:textId="77777777" w:rsidR="0008009C" w:rsidRDefault="0008009C">
            <w:pPr>
              <w:rPr>
                <w:rFonts w:ascii="宋体"/>
                <w:vanish/>
              </w:rPr>
            </w:pPr>
          </w:p>
        </w:tc>
        <w:tc>
          <w:tcPr>
            <w:tcW w:w="0" w:type="auto"/>
            <w:shd w:val="clear" w:color="auto" w:fill="auto"/>
          </w:tcPr>
          <w:p w14:paraId="5C7C7512" w14:textId="77777777" w:rsidR="0008009C" w:rsidRDefault="0008009C">
            <w:pPr>
              <w:rPr>
                <w:rFonts w:ascii="宋体"/>
                <w:vanish/>
              </w:rPr>
            </w:pPr>
          </w:p>
        </w:tc>
        <w:tc>
          <w:tcPr>
            <w:tcW w:w="0" w:type="auto"/>
            <w:shd w:val="clear" w:color="auto" w:fill="auto"/>
          </w:tcPr>
          <w:p w14:paraId="5C7C7513" w14:textId="77777777" w:rsidR="0008009C" w:rsidRDefault="0008009C">
            <w:pPr>
              <w:rPr>
                <w:rFonts w:ascii="宋体"/>
                <w:vanish/>
              </w:rPr>
            </w:pPr>
          </w:p>
        </w:tc>
      </w:tr>
      <w:tr w:rsidR="0008009C" w14:paraId="5C7C751E" w14:textId="77777777">
        <w:tc>
          <w:tcPr>
            <w:tcW w:w="0" w:type="auto"/>
            <w:gridSpan w:val="3"/>
            <w:shd w:val="clear" w:color="auto" w:fill="auto"/>
            <w:tcMar>
              <w:top w:w="40" w:type="dxa"/>
              <w:left w:w="20" w:type="dxa"/>
              <w:bottom w:w="40" w:type="dxa"/>
              <w:right w:w="20" w:type="dxa"/>
            </w:tcMar>
            <w:vAlign w:val="bottom"/>
          </w:tcPr>
          <w:p w14:paraId="5C7C7515"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7516"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517" w14:textId="77777777" w:rsidR="0008009C" w:rsidRDefault="00936FDF">
            <w:pPr>
              <w:jc w:val="center"/>
              <w:textAlignment w:val="bottom"/>
            </w:pPr>
            <w:r>
              <w:rPr>
                <w:rFonts w:ascii="Arial" w:eastAsia="宋体" w:hAnsi="Arial" w:cs="Arial"/>
                <w:b/>
                <w:bCs/>
                <w:color w:val="262626"/>
                <w:sz w:val="18"/>
                <w:szCs w:val="18"/>
              </w:rPr>
              <w:t>Q1 2021</w:t>
            </w:r>
          </w:p>
        </w:tc>
        <w:tc>
          <w:tcPr>
            <w:tcW w:w="0" w:type="auto"/>
            <w:gridSpan w:val="3"/>
            <w:shd w:val="clear" w:color="auto" w:fill="auto"/>
            <w:tcMar>
              <w:top w:w="0" w:type="dxa"/>
              <w:left w:w="20" w:type="dxa"/>
              <w:bottom w:w="0" w:type="dxa"/>
              <w:right w:w="20" w:type="dxa"/>
            </w:tcMar>
          </w:tcPr>
          <w:p w14:paraId="5C7C7518"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519" w14:textId="77777777" w:rsidR="0008009C" w:rsidRDefault="00936FDF">
            <w:pPr>
              <w:jc w:val="center"/>
              <w:textAlignment w:val="bottom"/>
            </w:pPr>
            <w:r>
              <w:rPr>
                <w:rFonts w:ascii="Arial" w:eastAsia="宋体" w:hAnsi="Arial" w:cs="Arial"/>
                <w:b/>
                <w:bCs/>
                <w:color w:val="262626"/>
                <w:sz w:val="18"/>
                <w:szCs w:val="18"/>
              </w:rPr>
              <w:t xml:space="preserve">Q1 </w:t>
            </w:r>
            <w:r>
              <w:rPr>
                <w:rFonts w:ascii="Arial" w:eastAsia="宋体" w:hAnsi="Arial" w:cs="Arial"/>
                <w:b/>
                <w:bCs/>
                <w:color w:val="262626"/>
                <w:sz w:val="18"/>
                <w:szCs w:val="18"/>
              </w:rPr>
              <w:t>2020</w:t>
            </w:r>
          </w:p>
        </w:tc>
        <w:tc>
          <w:tcPr>
            <w:tcW w:w="0" w:type="auto"/>
            <w:shd w:val="clear" w:color="auto" w:fill="auto"/>
          </w:tcPr>
          <w:p w14:paraId="5C7C751A" w14:textId="77777777" w:rsidR="0008009C" w:rsidRDefault="0008009C">
            <w:pPr>
              <w:rPr>
                <w:rFonts w:ascii="宋体"/>
                <w:vanish/>
              </w:rPr>
            </w:pPr>
          </w:p>
        </w:tc>
        <w:tc>
          <w:tcPr>
            <w:tcW w:w="0" w:type="auto"/>
            <w:shd w:val="clear" w:color="auto" w:fill="auto"/>
          </w:tcPr>
          <w:p w14:paraId="5C7C751B" w14:textId="77777777" w:rsidR="0008009C" w:rsidRDefault="0008009C">
            <w:pPr>
              <w:rPr>
                <w:rFonts w:ascii="宋体"/>
                <w:vanish/>
              </w:rPr>
            </w:pPr>
          </w:p>
        </w:tc>
        <w:tc>
          <w:tcPr>
            <w:tcW w:w="0" w:type="auto"/>
            <w:shd w:val="clear" w:color="auto" w:fill="auto"/>
          </w:tcPr>
          <w:p w14:paraId="5C7C751C" w14:textId="77777777" w:rsidR="0008009C" w:rsidRDefault="0008009C">
            <w:pPr>
              <w:rPr>
                <w:rFonts w:ascii="宋体"/>
                <w:vanish/>
              </w:rPr>
            </w:pPr>
          </w:p>
        </w:tc>
        <w:tc>
          <w:tcPr>
            <w:tcW w:w="0" w:type="auto"/>
            <w:shd w:val="clear" w:color="auto" w:fill="auto"/>
          </w:tcPr>
          <w:p w14:paraId="5C7C751D" w14:textId="77777777" w:rsidR="0008009C" w:rsidRDefault="0008009C">
            <w:pPr>
              <w:rPr>
                <w:rFonts w:ascii="宋体"/>
                <w:vanish/>
              </w:rPr>
            </w:pPr>
          </w:p>
        </w:tc>
      </w:tr>
      <w:tr w:rsidR="0008009C" w14:paraId="5C7C752C"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751F" w14:textId="77777777" w:rsidR="0008009C" w:rsidRDefault="00936FDF">
            <w:pPr>
              <w:ind w:hanging="180"/>
              <w:textAlignment w:val="top"/>
            </w:pPr>
            <w:r>
              <w:rPr>
                <w:rFonts w:ascii="Arial" w:eastAsia="宋体" w:hAnsi="Arial" w:cs="Arial"/>
                <w:color w:val="262626"/>
                <w:sz w:val="18"/>
                <w:szCs w:val="18"/>
              </w:rPr>
              <w:t>Income before taxes</w:t>
            </w:r>
          </w:p>
        </w:tc>
        <w:tc>
          <w:tcPr>
            <w:tcW w:w="0" w:type="auto"/>
            <w:gridSpan w:val="3"/>
            <w:shd w:val="clear" w:color="auto" w:fill="auto"/>
            <w:tcMar>
              <w:top w:w="0" w:type="dxa"/>
              <w:left w:w="20" w:type="dxa"/>
              <w:bottom w:w="0" w:type="dxa"/>
              <w:right w:w="20" w:type="dxa"/>
            </w:tcMar>
          </w:tcPr>
          <w:p w14:paraId="5C7C7520"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7521"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522" w14:textId="77777777" w:rsidR="0008009C" w:rsidRDefault="00936FDF">
            <w:pPr>
              <w:jc w:val="right"/>
              <w:textAlignment w:val="bottom"/>
            </w:pPr>
            <w:r>
              <w:rPr>
                <w:rFonts w:ascii="Arial" w:eastAsia="宋体" w:hAnsi="Arial" w:cs="Arial"/>
                <w:color w:val="0068B5"/>
                <w:sz w:val="18"/>
                <w:szCs w:val="18"/>
              </w:rPr>
              <w:t>3,906 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52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524"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7525" w14:textId="77777777" w:rsidR="0008009C" w:rsidRDefault="00936FDF">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526" w14:textId="77777777" w:rsidR="0008009C" w:rsidRDefault="00936FDF">
            <w:pPr>
              <w:jc w:val="right"/>
              <w:textAlignment w:val="bottom"/>
            </w:pPr>
            <w:r>
              <w:rPr>
                <w:rFonts w:ascii="Arial" w:eastAsia="宋体" w:hAnsi="Arial" w:cs="Arial"/>
                <w:color w:val="262626"/>
                <w:sz w:val="18"/>
                <w:szCs w:val="18"/>
              </w:rPr>
              <w:t>6,614 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527" w14:textId="77777777" w:rsidR="0008009C" w:rsidRDefault="0008009C">
            <w:pPr>
              <w:jc w:val="right"/>
              <w:rPr>
                <w:rFonts w:ascii="宋体"/>
              </w:rPr>
            </w:pPr>
          </w:p>
        </w:tc>
        <w:tc>
          <w:tcPr>
            <w:tcW w:w="0" w:type="auto"/>
            <w:shd w:val="clear" w:color="auto" w:fill="auto"/>
          </w:tcPr>
          <w:p w14:paraId="5C7C7528" w14:textId="77777777" w:rsidR="0008009C" w:rsidRDefault="0008009C">
            <w:pPr>
              <w:rPr>
                <w:rFonts w:ascii="宋体"/>
                <w:vanish/>
              </w:rPr>
            </w:pPr>
          </w:p>
        </w:tc>
        <w:tc>
          <w:tcPr>
            <w:tcW w:w="0" w:type="auto"/>
            <w:shd w:val="clear" w:color="auto" w:fill="auto"/>
          </w:tcPr>
          <w:p w14:paraId="5C7C7529" w14:textId="77777777" w:rsidR="0008009C" w:rsidRDefault="0008009C">
            <w:pPr>
              <w:rPr>
                <w:rFonts w:ascii="宋体"/>
                <w:vanish/>
              </w:rPr>
            </w:pPr>
          </w:p>
        </w:tc>
        <w:tc>
          <w:tcPr>
            <w:tcW w:w="0" w:type="auto"/>
            <w:shd w:val="clear" w:color="auto" w:fill="auto"/>
          </w:tcPr>
          <w:p w14:paraId="5C7C752A" w14:textId="77777777" w:rsidR="0008009C" w:rsidRDefault="0008009C">
            <w:pPr>
              <w:rPr>
                <w:rFonts w:ascii="宋体"/>
                <w:vanish/>
              </w:rPr>
            </w:pPr>
          </w:p>
        </w:tc>
        <w:tc>
          <w:tcPr>
            <w:tcW w:w="0" w:type="auto"/>
            <w:shd w:val="clear" w:color="auto" w:fill="auto"/>
          </w:tcPr>
          <w:p w14:paraId="5C7C752B" w14:textId="77777777" w:rsidR="0008009C" w:rsidRDefault="0008009C">
            <w:pPr>
              <w:rPr>
                <w:rFonts w:ascii="宋体"/>
                <w:vanish/>
              </w:rPr>
            </w:pPr>
          </w:p>
        </w:tc>
      </w:tr>
      <w:tr w:rsidR="0008009C" w14:paraId="5C7C753A" w14:textId="77777777">
        <w:tc>
          <w:tcPr>
            <w:tcW w:w="0" w:type="auto"/>
            <w:gridSpan w:val="3"/>
            <w:shd w:val="clear" w:color="auto" w:fill="auto"/>
            <w:tcMar>
              <w:top w:w="40" w:type="dxa"/>
              <w:left w:w="20" w:type="dxa"/>
              <w:bottom w:w="40" w:type="dxa"/>
              <w:right w:w="20" w:type="dxa"/>
            </w:tcMar>
          </w:tcPr>
          <w:p w14:paraId="5C7C752D" w14:textId="77777777" w:rsidR="0008009C" w:rsidRDefault="00936FDF">
            <w:pPr>
              <w:ind w:hanging="180"/>
              <w:textAlignment w:val="top"/>
            </w:pPr>
            <w:r>
              <w:rPr>
                <w:rFonts w:ascii="Arial" w:eastAsia="宋体" w:hAnsi="Arial" w:cs="Arial"/>
                <w:color w:val="262626"/>
                <w:sz w:val="18"/>
                <w:szCs w:val="18"/>
              </w:rPr>
              <w:t>Provision for taxes</w:t>
            </w:r>
          </w:p>
        </w:tc>
        <w:tc>
          <w:tcPr>
            <w:tcW w:w="0" w:type="auto"/>
            <w:gridSpan w:val="3"/>
            <w:shd w:val="clear" w:color="auto" w:fill="auto"/>
            <w:tcMar>
              <w:top w:w="0" w:type="dxa"/>
              <w:left w:w="20" w:type="dxa"/>
              <w:bottom w:w="0" w:type="dxa"/>
              <w:right w:w="20" w:type="dxa"/>
            </w:tcMar>
          </w:tcPr>
          <w:p w14:paraId="5C7C752E"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752F" w14:textId="77777777" w:rsidR="0008009C" w:rsidRDefault="00936FDF">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5C7C7530" w14:textId="77777777" w:rsidR="0008009C" w:rsidRDefault="00936FDF">
            <w:pPr>
              <w:jc w:val="right"/>
              <w:textAlignment w:val="bottom"/>
            </w:pPr>
            <w:r>
              <w:rPr>
                <w:rFonts w:ascii="Arial" w:eastAsia="宋体" w:hAnsi="Arial" w:cs="Arial"/>
                <w:color w:val="0068B5"/>
                <w:sz w:val="18"/>
                <w:szCs w:val="18"/>
              </w:rPr>
              <w:t>545 </w:t>
            </w:r>
          </w:p>
        </w:tc>
        <w:tc>
          <w:tcPr>
            <w:tcW w:w="0" w:type="auto"/>
            <w:shd w:val="clear" w:color="auto" w:fill="auto"/>
            <w:tcMar>
              <w:top w:w="40" w:type="dxa"/>
              <w:left w:w="0" w:type="dxa"/>
              <w:bottom w:w="40" w:type="dxa"/>
              <w:right w:w="20" w:type="dxa"/>
            </w:tcMar>
            <w:vAlign w:val="bottom"/>
          </w:tcPr>
          <w:p w14:paraId="5C7C753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532"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7533" w14:textId="77777777" w:rsidR="0008009C" w:rsidRDefault="00936FDF">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5C7C7534" w14:textId="77777777" w:rsidR="0008009C" w:rsidRDefault="00936FDF">
            <w:pPr>
              <w:jc w:val="right"/>
              <w:textAlignment w:val="bottom"/>
            </w:pPr>
            <w:r>
              <w:rPr>
                <w:rFonts w:ascii="Arial" w:eastAsia="宋体" w:hAnsi="Arial" w:cs="Arial"/>
                <w:color w:val="262626"/>
                <w:sz w:val="18"/>
                <w:szCs w:val="18"/>
              </w:rPr>
              <w:t>953 </w:t>
            </w:r>
          </w:p>
        </w:tc>
        <w:tc>
          <w:tcPr>
            <w:tcW w:w="0" w:type="auto"/>
            <w:shd w:val="clear" w:color="auto" w:fill="auto"/>
            <w:tcMar>
              <w:top w:w="40" w:type="dxa"/>
              <w:left w:w="0" w:type="dxa"/>
              <w:bottom w:w="40" w:type="dxa"/>
              <w:right w:w="20" w:type="dxa"/>
            </w:tcMar>
            <w:vAlign w:val="bottom"/>
          </w:tcPr>
          <w:p w14:paraId="5C7C7535" w14:textId="77777777" w:rsidR="0008009C" w:rsidRDefault="0008009C">
            <w:pPr>
              <w:jc w:val="right"/>
              <w:rPr>
                <w:rFonts w:ascii="宋体"/>
              </w:rPr>
            </w:pPr>
          </w:p>
        </w:tc>
        <w:tc>
          <w:tcPr>
            <w:tcW w:w="0" w:type="auto"/>
            <w:shd w:val="clear" w:color="auto" w:fill="auto"/>
          </w:tcPr>
          <w:p w14:paraId="5C7C7536" w14:textId="77777777" w:rsidR="0008009C" w:rsidRDefault="0008009C">
            <w:pPr>
              <w:rPr>
                <w:rFonts w:ascii="宋体"/>
                <w:vanish/>
              </w:rPr>
            </w:pPr>
          </w:p>
        </w:tc>
        <w:tc>
          <w:tcPr>
            <w:tcW w:w="0" w:type="auto"/>
            <w:shd w:val="clear" w:color="auto" w:fill="auto"/>
          </w:tcPr>
          <w:p w14:paraId="5C7C7537" w14:textId="77777777" w:rsidR="0008009C" w:rsidRDefault="0008009C">
            <w:pPr>
              <w:rPr>
                <w:rFonts w:ascii="宋体"/>
                <w:vanish/>
              </w:rPr>
            </w:pPr>
          </w:p>
        </w:tc>
        <w:tc>
          <w:tcPr>
            <w:tcW w:w="0" w:type="auto"/>
            <w:shd w:val="clear" w:color="auto" w:fill="auto"/>
          </w:tcPr>
          <w:p w14:paraId="5C7C7538" w14:textId="77777777" w:rsidR="0008009C" w:rsidRDefault="0008009C">
            <w:pPr>
              <w:rPr>
                <w:rFonts w:ascii="宋体"/>
                <w:vanish/>
              </w:rPr>
            </w:pPr>
          </w:p>
        </w:tc>
        <w:tc>
          <w:tcPr>
            <w:tcW w:w="0" w:type="auto"/>
            <w:shd w:val="clear" w:color="auto" w:fill="auto"/>
          </w:tcPr>
          <w:p w14:paraId="5C7C7539" w14:textId="77777777" w:rsidR="0008009C" w:rsidRDefault="0008009C">
            <w:pPr>
              <w:rPr>
                <w:rFonts w:ascii="宋体"/>
                <w:vanish/>
              </w:rPr>
            </w:pPr>
          </w:p>
        </w:tc>
      </w:tr>
      <w:tr w:rsidR="0008009C" w14:paraId="5C7C7546" w14:textId="77777777">
        <w:tc>
          <w:tcPr>
            <w:tcW w:w="0" w:type="auto"/>
            <w:gridSpan w:val="3"/>
            <w:shd w:val="clear" w:color="auto" w:fill="auto"/>
            <w:tcMar>
              <w:top w:w="40" w:type="dxa"/>
              <w:left w:w="20" w:type="dxa"/>
              <w:bottom w:w="40" w:type="dxa"/>
              <w:right w:w="20" w:type="dxa"/>
            </w:tcMar>
          </w:tcPr>
          <w:p w14:paraId="5C7C753B" w14:textId="77777777" w:rsidR="0008009C" w:rsidRDefault="00936FDF">
            <w:pPr>
              <w:ind w:hanging="180"/>
              <w:textAlignment w:val="top"/>
            </w:pPr>
            <w:r>
              <w:rPr>
                <w:rFonts w:ascii="Arial" w:eastAsia="宋体" w:hAnsi="Arial" w:cs="Arial"/>
                <w:color w:val="262626"/>
                <w:sz w:val="18"/>
                <w:szCs w:val="18"/>
              </w:rPr>
              <w:t>Effective tax rate</w:t>
            </w:r>
          </w:p>
        </w:tc>
        <w:tc>
          <w:tcPr>
            <w:tcW w:w="0" w:type="auto"/>
            <w:gridSpan w:val="3"/>
            <w:shd w:val="clear" w:color="auto" w:fill="auto"/>
            <w:tcMar>
              <w:top w:w="0" w:type="dxa"/>
              <w:left w:w="20" w:type="dxa"/>
              <w:bottom w:w="0" w:type="dxa"/>
              <w:right w:w="20" w:type="dxa"/>
            </w:tcMar>
          </w:tcPr>
          <w:p w14:paraId="5C7C753C"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53D" w14:textId="77777777" w:rsidR="0008009C" w:rsidRDefault="00936FDF">
            <w:pPr>
              <w:jc w:val="right"/>
              <w:textAlignment w:val="bottom"/>
            </w:pPr>
            <w:r>
              <w:rPr>
                <w:rFonts w:ascii="Arial" w:eastAsia="宋体" w:hAnsi="Arial" w:cs="Arial"/>
                <w:color w:val="0068B5"/>
                <w:sz w:val="18"/>
                <w:szCs w:val="18"/>
              </w:rPr>
              <w:t>14.0 </w:t>
            </w:r>
          </w:p>
        </w:tc>
        <w:tc>
          <w:tcPr>
            <w:tcW w:w="0" w:type="auto"/>
            <w:shd w:val="clear" w:color="auto" w:fill="auto"/>
            <w:tcMar>
              <w:top w:w="40" w:type="dxa"/>
              <w:left w:w="0" w:type="dxa"/>
              <w:bottom w:w="40" w:type="dxa"/>
              <w:right w:w="20" w:type="dxa"/>
            </w:tcMar>
            <w:vAlign w:val="bottom"/>
          </w:tcPr>
          <w:p w14:paraId="5C7C753E" w14:textId="77777777" w:rsidR="0008009C" w:rsidRDefault="00936FDF">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5C7C753F"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540" w14:textId="77777777" w:rsidR="0008009C" w:rsidRDefault="00936FDF">
            <w:pPr>
              <w:jc w:val="right"/>
              <w:textAlignment w:val="bottom"/>
            </w:pPr>
            <w:r>
              <w:rPr>
                <w:rFonts w:ascii="Arial" w:eastAsia="宋体" w:hAnsi="Arial" w:cs="Arial"/>
                <w:color w:val="262626"/>
                <w:sz w:val="18"/>
                <w:szCs w:val="18"/>
              </w:rPr>
              <w:t>14.4 </w:t>
            </w:r>
          </w:p>
        </w:tc>
        <w:tc>
          <w:tcPr>
            <w:tcW w:w="0" w:type="auto"/>
            <w:shd w:val="clear" w:color="auto" w:fill="auto"/>
            <w:tcMar>
              <w:top w:w="40" w:type="dxa"/>
              <w:left w:w="0" w:type="dxa"/>
              <w:bottom w:w="40" w:type="dxa"/>
              <w:right w:w="20" w:type="dxa"/>
            </w:tcMar>
            <w:vAlign w:val="bottom"/>
          </w:tcPr>
          <w:p w14:paraId="5C7C7541" w14:textId="77777777" w:rsidR="0008009C" w:rsidRDefault="00936FDF">
            <w:pPr>
              <w:jc w:val="right"/>
              <w:textAlignment w:val="bottom"/>
            </w:pPr>
            <w:r>
              <w:rPr>
                <w:rFonts w:ascii="Arial" w:eastAsia="宋体" w:hAnsi="Arial" w:cs="Arial"/>
                <w:color w:val="262626"/>
                <w:sz w:val="18"/>
                <w:szCs w:val="18"/>
              </w:rPr>
              <w:t>%</w:t>
            </w:r>
          </w:p>
        </w:tc>
        <w:tc>
          <w:tcPr>
            <w:tcW w:w="0" w:type="auto"/>
            <w:shd w:val="clear" w:color="auto" w:fill="auto"/>
          </w:tcPr>
          <w:p w14:paraId="5C7C7542" w14:textId="77777777" w:rsidR="0008009C" w:rsidRDefault="0008009C">
            <w:pPr>
              <w:rPr>
                <w:rFonts w:ascii="宋体"/>
                <w:vanish/>
              </w:rPr>
            </w:pPr>
          </w:p>
        </w:tc>
        <w:tc>
          <w:tcPr>
            <w:tcW w:w="0" w:type="auto"/>
            <w:shd w:val="clear" w:color="auto" w:fill="auto"/>
          </w:tcPr>
          <w:p w14:paraId="5C7C7543" w14:textId="77777777" w:rsidR="0008009C" w:rsidRDefault="0008009C">
            <w:pPr>
              <w:rPr>
                <w:rFonts w:ascii="宋体"/>
                <w:vanish/>
              </w:rPr>
            </w:pPr>
          </w:p>
        </w:tc>
        <w:tc>
          <w:tcPr>
            <w:tcW w:w="0" w:type="auto"/>
            <w:shd w:val="clear" w:color="auto" w:fill="auto"/>
          </w:tcPr>
          <w:p w14:paraId="5C7C7544" w14:textId="77777777" w:rsidR="0008009C" w:rsidRDefault="0008009C">
            <w:pPr>
              <w:rPr>
                <w:rFonts w:ascii="宋体"/>
                <w:vanish/>
              </w:rPr>
            </w:pPr>
          </w:p>
        </w:tc>
        <w:tc>
          <w:tcPr>
            <w:tcW w:w="0" w:type="auto"/>
            <w:shd w:val="clear" w:color="auto" w:fill="auto"/>
          </w:tcPr>
          <w:p w14:paraId="5C7C7545" w14:textId="77777777" w:rsidR="0008009C" w:rsidRDefault="0008009C">
            <w:pPr>
              <w:rPr>
                <w:rFonts w:ascii="宋体"/>
                <w:vanish/>
              </w:rPr>
            </w:pPr>
          </w:p>
        </w:tc>
      </w:tr>
    </w:tbl>
    <w:p w14:paraId="5C7C7547" w14:textId="77777777" w:rsidR="0008009C" w:rsidRDefault="00936FDF">
      <w:pPr>
        <w:spacing w:before="180" w:after="180"/>
      </w:pPr>
      <w:r>
        <w:rPr>
          <w:rFonts w:ascii="Arial" w:eastAsia="宋体" w:hAnsi="Arial" w:cs="Arial"/>
          <w:color w:val="262626"/>
          <w:sz w:val="18"/>
          <w:szCs w:val="18"/>
        </w:rPr>
        <w:t xml:space="preserve">The decrease in the effective tax rate was primarily due to a non-recurring tax expense booked in the first quarter of 2020 related to foreign net operating </w:t>
      </w:r>
      <w:r>
        <w:rPr>
          <w:rFonts w:ascii="Arial" w:eastAsia="宋体" w:hAnsi="Arial" w:cs="Arial"/>
          <w:color w:val="262626"/>
          <w:sz w:val="18"/>
          <w:szCs w:val="18"/>
        </w:rPr>
        <w:t>losses.</w:t>
      </w:r>
    </w:p>
    <w:p w14:paraId="5C7C7548" w14:textId="77777777" w:rsidR="0008009C" w:rsidRDefault="0008009C">
      <w:pPr>
        <w:spacing w:after="180"/>
      </w:pPr>
    </w:p>
    <w:p w14:paraId="5C7C7549" w14:textId="77777777" w:rsidR="0008009C" w:rsidRDefault="0008009C">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08009C" w14:paraId="5C7C7553" w14:textId="77777777">
        <w:tc>
          <w:tcPr>
            <w:tcW w:w="50" w:type="pct"/>
            <w:shd w:val="clear" w:color="auto" w:fill="auto"/>
            <w:vAlign w:val="bottom"/>
          </w:tcPr>
          <w:p w14:paraId="5C7C754A" w14:textId="77777777" w:rsidR="0008009C" w:rsidRDefault="0008009C">
            <w:pPr>
              <w:rPr>
                <w:rFonts w:ascii="宋体"/>
              </w:rPr>
            </w:pPr>
          </w:p>
        </w:tc>
        <w:tc>
          <w:tcPr>
            <w:tcW w:w="212" w:type="pct"/>
            <w:shd w:val="clear" w:color="auto" w:fill="auto"/>
            <w:vAlign w:val="bottom"/>
          </w:tcPr>
          <w:p w14:paraId="5C7C754B" w14:textId="77777777" w:rsidR="0008009C" w:rsidRDefault="0008009C">
            <w:pPr>
              <w:rPr>
                <w:rFonts w:ascii="宋体"/>
              </w:rPr>
            </w:pPr>
          </w:p>
        </w:tc>
        <w:tc>
          <w:tcPr>
            <w:tcW w:w="5" w:type="pct"/>
            <w:shd w:val="clear" w:color="auto" w:fill="auto"/>
            <w:vAlign w:val="bottom"/>
          </w:tcPr>
          <w:p w14:paraId="5C7C754C" w14:textId="77777777" w:rsidR="0008009C" w:rsidRDefault="0008009C">
            <w:pPr>
              <w:rPr>
                <w:rFonts w:ascii="宋体"/>
              </w:rPr>
            </w:pPr>
          </w:p>
        </w:tc>
        <w:tc>
          <w:tcPr>
            <w:tcW w:w="50" w:type="pct"/>
            <w:shd w:val="clear" w:color="auto" w:fill="auto"/>
            <w:vAlign w:val="bottom"/>
          </w:tcPr>
          <w:p w14:paraId="5C7C754D" w14:textId="77777777" w:rsidR="0008009C" w:rsidRDefault="0008009C">
            <w:pPr>
              <w:rPr>
                <w:rFonts w:ascii="宋体"/>
              </w:rPr>
            </w:pPr>
          </w:p>
        </w:tc>
        <w:tc>
          <w:tcPr>
            <w:tcW w:w="2499" w:type="pct"/>
            <w:shd w:val="clear" w:color="auto" w:fill="auto"/>
            <w:vAlign w:val="bottom"/>
          </w:tcPr>
          <w:p w14:paraId="5C7C754E" w14:textId="77777777" w:rsidR="0008009C" w:rsidRDefault="0008009C">
            <w:pPr>
              <w:rPr>
                <w:rFonts w:ascii="宋体"/>
              </w:rPr>
            </w:pPr>
          </w:p>
        </w:tc>
        <w:tc>
          <w:tcPr>
            <w:tcW w:w="5" w:type="pct"/>
            <w:shd w:val="clear" w:color="auto" w:fill="auto"/>
            <w:vAlign w:val="bottom"/>
          </w:tcPr>
          <w:p w14:paraId="5C7C754F" w14:textId="77777777" w:rsidR="0008009C" w:rsidRDefault="0008009C">
            <w:pPr>
              <w:rPr>
                <w:rFonts w:ascii="宋体"/>
              </w:rPr>
            </w:pPr>
          </w:p>
        </w:tc>
        <w:tc>
          <w:tcPr>
            <w:tcW w:w="50" w:type="pct"/>
            <w:shd w:val="clear" w:color="auto" w:fill="auto"/>
            <w:vAlign w:val="bottom"/>
          </w:tcPr>
          <w:p w14:paraId="5C7C7550" w14:textId="77777777" w:rsidR="0008009C" w:rsidRDefault="0008009C">
            <w:pPr>
              <w:rPr>
                <w:rFonts w:ascii="宋体"/>
              </w:rPr>
            </w:pPr>
          </w:p>
        </w:tc>
        <w:tc>
          <w:tcPr>
            <w:tcW w:w="2122" w:type="pct"/>
            <w:shd w:val="clear" w:color="auto" w:fill="auto"/>
            <w:vAlign w:val="bottom"/>
          </w:tcPr>
          <w:p w14:paraId="5C7C7551" w14:textId="77777777" w:rsidR="0008009C" w:rsidRDefault="0008009C">
            <w:pPr>
              <w:rPr>
                <w:rFonts w:ascii="宋体"/>
              </w:rPr>
            </w:pPr>
          </w:p>
        </w:tc>
        <w:tc>
          <w:tcPr>
            <w:tcW w:w="5" w:type="pct"/>
            <w:shd w:val="clear" w:color="auto" w:fill="auto"/>
            <w:vAlign w:val="bottom"/>
          </w:tcPr>
          <w:p w14:paraId="5C7C7552" w14:textId="77777777" w:rsidR="0008009C" w:rsidRDefault="0008009C">
            <w:pPr>
              <w:rPr>
                <w:rFonts w:ascii="宋体"/>
              </w:rPr>
            </w:pPr>
          </w:p>
        </w:tc>
      </w:tr>
      <w:tr w:rsidR="0008009C" w14:paraId="5C7C7557"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7554"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63" wp14:editId="5C7C7D64">
                  <wp:extent cx="304800" cy="304800"/>
                  <wp:effectExtent l="0" t="0" r="0" b="0"/>
                  <wp:docPr id="80" name="图片 115"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15"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555" w14:textId="77777777" w:rsidR="0008009C" w:rsidRDefault="00936FDF">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556" w14:textId="77777777" w:rsidR="0008009C" w:rsidRDefault="00936FDF">
            <w:pPr>
              <w:jc w:val="right"/>
              <w:textAlignment w:val="center"/>
            </w:pPr>
            <w:r>
              <w:rPr>
                <w:rFonts w:ascii="Arial" w:eastAsia="宋体" w:hAnsi="Arial" w:cs="Arial"/>
                <w:color w:val="262626"/>
                <w:sz w:val="16"/>
                <w:szCs w:val="16"/>
              </w:rPr>
              <w:t>31</w:t>
            </w:r>
          </w:p>
        </w:tc>
      </w:tr>
    </w:tbl>
    <w:p w14:paraId="5C7C7558" w14:textId="77777777" w:rsidR="0008009C" w:rsidRDefault="00936FDF">
      <w:r>
        <w:pict w14:anchorId="5C7C7D65">
          <v:rect id="_x0000_i1057" style="width:415.3pt;height:1.5pt" o:hralign="center" o:hrstd="t" o:hr="t" fillcolor="#a0a0a0" stroked="f"/>
        </w:pict>
      </w:r>
    </w:p>
    <w:p w14:paraId="5C7C7559" w14:textId="77777777" w:rsidR="0008009C" w:rsidRDefault="00936FDF">
      <w:pPr>
        <w:spacing w:after="180"/>
        <w:jc w:val="right"/>
      </w:pPr>
      <w:hyperlink r:id="rId56" w:anchor="i3a00378f6cc84b1c9cfc83239548ad53_7" w:history="1">
        <w:r>
          <w:rPr>
            <w:rStyle w:val="a5"/>
            <w:rFonts w:ascii="Arial" w:eastAsia="宋体" w:hAnsi="Arial" w:cs="Arial"/>
            <w:b/>
            <w:bCs/>
            <w:sz w:val="16"/>
            <w:szCs w:val="16"/>
          </w:rPr>
          <w:t>Table of Contents</w:t>
        </w:r>
      </w:hyperlink>
    </w:p>
    <w:p w14:paraId="5C7C755A" w14:textId="77777777" w:rsidR="0008009C" w:rsidRDefault="0008009C">
      <w:pPr>
        <w:spacing w:after="180"/>
        <w:jc w:val="right"/>
      </w:pPr>
    </w:p>
    <w:p w14:paraId="5C7C755B" w14:textId="77777777" w:rsidR="0008009C" w:rsidRDefault="00936FDF">
      <w:pPr>
        <w:spacing w:after="180"/>
      </w:pPr>
      <w:r>
        <w:rPr>
          <w:rFonts w:ascii="Arial" w:eastAsia="宋体" w:hAnsi="Arial" w:cs="Arial"/>
          <w:color w:val="0068B5"/>
          <w:sz w:val="28"/>
          <w:szCs w:val="28"/>
        </w:rPr>
        <w:t>Liquidity and Capital Resources</w:t>
      </w:r>
    </w:p>
    <w:p w14:paraId="5C7C755C" w14:textId="77777777" w:rsidR="0008009C" w:rsidRDefault="00936FDF">
      <w:pPr>
        <w:spacing w:after="120"/>
      </w:pPr>
      <w:r>
        <w:rPr>
          <w:rFonts w:ascii="Arial" w:eastAsia="宋体" w:hAnsi="Arial" w:cs="Arial"/>
          <w:color w:val="262626"/>
          <w:sz w:val="18"/>
          <w:szCs w:val="18"/>
        </w:rPr>
        <w:t>We consider the following when assessing our liquidi</w:t>
      </w:r>
      <w:r>
        <w:rPr>
          <w:rFonts w:ascii="Arial" w:eastAsia="宋体" w:hAnsi="Arial" w:cs="Arial"/>
          <w:color w:val="262626"/>
          <w:sz w:val="18"/>
          <w:szCs w:val="18"/>
        </w:rPr>
        <w:t>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08009C" w14:paraId="5C7C756C" w14:textId="77777777">
        <w:tc>
          <w:tcPr>
            <w:tcW w:w="50" w:type="pct"/>
            <w:shd w:val="clear" w:color="auto" w:fill="auto"/>
          </w:tcPr>
          <w:p w14:paraId="5C7C755D" w14:textId="77777777" w:rsidR="0008009C" w:rsidRDefault="0008009C">
            <w:pPr>
              <w:rPr>
                <w:rFonts w:ascii="宋体"/>
              </w:rPr>
            </w:pPr>
          </w:p>
        </w:tc>
        <w:tc>
          <w:tcPr>
            <w:tcW w:w="3688" w:type="pct"/>
            <w:shd w:val="clear" w:color="auto" w:fill="auto"/>
          </w:tcPr>
          <w:p w14:paraId="5C7C755E" w14:textId="77777777" w:rsidR="0008009C" w:rsidRDefault="0008009C">
            <w:pPr>
              <w:rPr>
                <w:rFonts w:ascii="宋体"/>
              </w:rPr>
            </w:pPr>
          </w:p>
        </w:tc>
        <w:tc>
          <w:tcPr>
            <w:tcW w:w="5" w:type="pct"/>
            <w:shd w:val="clear" w:color="auto" w:fill="auto"/>
          </w:tcPr>
          <w:p w14:paraId="5C7C755F" w14:textId="77777777" w:rsidR="0008009C" w:rsidRDefault="0008009C">
            <w:pPr>
              <w:rPr>
                <w:rFonts w:ascii="宋体"/>
              </w:rPr>
            </w:pPr>
          </w:p>
        </w:tc>
        <w:tc>
          <w:tcPr>
            <w:tcW w:w="5" w:type="pct"/>
            <w:shd w:val="clear" w:color="auto" w:fill="auto"/>
          </w:tcPr>
          <w:p w14:paraId="5C7C7560" w14:textId="77777777" w:rsidR="0008009C" w:rsidRDefault="0008009C">
            <w:pPr>
              <w:rPr>
                <w:rFonts w:ascii="宋体"/>
              </w:rPr>
            </w:pPr>
          </w:p>
        </w:tc>
        <w:tc>
          <w:tcPr>
            <w:tcW w:w="24" w:type="pct"/>
            <w:shd w:val="clear" w:color="auto" w:fill="auto"/>
          </w:tcPr>
          <w:p w14:paraId="5C7C7561" w14:textId="77777777" w:rsidR="0008009C" w:rsidRDefault="0008009C">
            <w:pPr>
              <w:rPr>
                <w:rFonts w:ascii="宋体"/>
              </w:rPr>
            </w:pPr>
          </w:p>
        </w:tc>
        <w:tc>
          <w:tcPr>
            <w:tcW w:w="5" w:type="pct"/>
            <w:shd w:val="clear" w:color="auto" w:fill="auto"/>
          </w:tcPr>
          <w:p w14:paraId="5C7C7562" w14:textId="77777777" w:rsidR="0008009C" w:rsidRDefault="0008009C">
            <w:pPr>
              <w:rPr>
                <w:rFonts w:ascii="宋体"/>
              </w:rPr>
            </w:pPr>
          </w:p>
        </w:tc>
        <w:tc>
          <w:tcPr>
            <w:tcW w:w="50" w:type="pct"/>
            <w:shd w:val="clear" w:color="auto" w:fill="auto"/>
          </w:tcPr>
          <w:p w14:paraId="5C7C7563" w14:textId="77777777" w:rsidR="0008009C" w:rsidRDefault="0008009C">
            <w:pPr>
              <w:rPr>
                <w:rFonts w:ascii="宋体"/>
              </w:rPr>
            </w:pPr>
          </w:p>
        </w:tc>
        <w:tc>
          <w:tcPr>
            <w:tcW w:w="539" w:type="pct"/>
            <w:shd w:val="clear" w:color="auto" w:fill="auto"/>
          </w:tcPr>
          <w:p w14:paraId="5C7C7564" w14:textId="77777777" w:rsidR="0008009C" w:rsidRDefault="0008009C">
            <w:pPr>
              <w:rPr>
                <w:rFonts w:ascii="宋体"/>
              </w:rPr>
            </w:pPr>
          </w:p>
        </w:tc>
        <w:tc>
          <w:tcPr>
            <w:tcW w:w="5" w:type="pct"/>
            <w:shd w:val="clear" w:color="auto" w:fill="auto"/>
          </w:tcPr>
          <w:p w14:paraId="5C7C7565" w14:textId="77777777" w:rsidR="0008009C" w:rsidRDefault="0008009C">
            <w:pPr>
              <w:rPr>
                <w:rFonts w:ascii="宋体"/>
              </w:rPr>
            </w:pPr>
          </w:p>
        </w:tc>
        <w:tc>
          <w:tcPr>
            <w:tcW w:w="5" w:type="pct"/>
            <w:shd w:val="clear" w:color="auto" w:fill="auto"/>
          </w:tcPr>
          <w:p w14:paraId="5C7C7566" w14:textId="77777777" w:rsidR="0008009C" w:rsidRDefault="0008009C">
            <w:pPr>
              <w:rPr>
                <w:rFonts w:ascii="宋体"/>
              </w:rPr>
            </w:pPr>
          </w:p>
        </w:tc>
        <w:tc>
          <w:tcPr>
            <w:tcW w:w="24" w:type="pct"/>
            <w:shd w:val="clear" w:color="auto" w:fill="auto"/>
          </w:tcPr>
          <w:p w14:paraId="5C7C7567" w14:textId="77777777" w:rsidR="0008009C" w:rsidRDefault="0008009C">
            <w:pPr>
              <w:rPr>
                <w:rFonts w:ascii="宋体"/>
              </w:rPr>
            </w:pPr>
          </w:p>
        </w:tc>
        <w:tc>
          <w:tcPr>
            <w:tcW w:w="5" w:type="pct"/>
            <w:shd w:val="clear" w:color="auto" w:fill="auto"/>
          </w:tcPr>
          <w:p w14:paraId="5C7C7568" w14:textId="77777777" w:rsidR="0008009C" w:rsidRDefault="0008009C">
            <w:pPr>
              <w:rPr>
                <w:rFonts w:ascii="宋体"/>
              </w:rPr>
            </w:pPr>
          </w:p>
        </w:tc>
        <w:tc>
          <w:tcPr>
            <w:tcW w:w="50" w:type="pct"/>
            <w:shd w:val="clear" w:color="auto" w:fill="auto"/>
          </w:tcPr>
          <w:p w14:paraId="5C7C7569" w14:textId="77777777" w:rsidR="0008009C" w:rsidRDefault="0008009C">
            <w:pPr>
              <w:rPr>
                <w:rFonts w:ascii="宋体"/>
              </w:rPr>
            </w:pPr>
          </w:p>
        </w:tc>
        <w:tc>
          <w:tcPr>
            <w:tcW w:w="539" w:type="pct"/>
            <w:shd w:val="clear" w:color="auto" w:fill="auto"/>
          </w:tcPr>
          <w:p w14:paraId="5C7C756A" w14:textId="77777777" w:rsidR="0008009C" w:rsidRDefault="0008009C">
            <w:pPr>
              <w:rPr>
                <w:rFonts w:ascii="宋体"/>
              </w:rPr>
            </w:pPr>
          </w:p>
        </w:tc>
        <w:tc>
          <w:tcPr>
            <w:tcW w:w="5" w:type="pct"/>
            <w:shd w:val="clear" w:color="auto" w:fill="auto"/>
          </w:tcPr>
          <w:p w14:paraId="5C7C756B" w14:textId="77777777" w:rsidR="0008009C" w:rsidRDefault="0008009C">
            <w:pPr>
              <w:rPr>
                <w:rFonts w:ascii="宋体"/>
              </w:rPr>
            </w:pPr>
          </w:p>
        </w:tc>
      </w:tr>
      <w:tr w:rsidR="0008009C" w14:paraId="5C7C7572" w14:textId="77777777">
        <w:tc>
          <w:tcPr>
            <w:tcW w:w="0" w:type="auto"/>
            <w:gridSpan w:val="3"/>
            <w:shd w:val="clear" w:color="auto" w:fill="auto"/>
            <w:tcMar>
              <w:top w:w="40" w:type="dxa"/>
              <w:left w:w="20" w:type="dxa"/>
              <w:bottom w:w="40" w:type="dxa"/>
              <w:right w:w="20" w:type="dxa"/>
            </w:tcMar>
            <w:vAlign w:val="bottom"/>
          </w:tcPr>
          <w:p w14:paraId="5C7C756D"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756E"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56F"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shd w:val="clear" w:color="auto" w:fill="auto"/>
            <w:tcMar>
              <w:top w:w="0" w:type="dxa"/>
              <w:left w:w="20" w:type="dxa"/>
              <w:bottom w:w="0" w:type="dxa"/>
              <w:right w:w="20" w:type="dxa"/>
            </w:tcMar>
          </w:tcPr>
          <w:p w14:paraId="5C7C7570"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571" w14:textId="77777777" w:rsidR="0008009C" w:rsidRDefault="00936FDF">
            <w:pPr>
              <w:jc w:val="center"/>
              <w:textAlignment w:val="bottom"/>
            </w:pPr>
            <w:r>
              <w:rPr>
                <w:rFonts w:ascii="Arial" w:eastAsia="宋体" w:hAnsi="Arial" w:cs="Arial"/>
                <w:b/>
                <w:bCs/>
                <w:color w:val="262626"/>
                <w:sz w:val="18"/>
                <w:szCs w:val="18"/>
              </w:rPr>
              <w:t>Dec 26, 2020</w:t>
            </w:r>
          </w:p>
        </w:tc>
      </w:tr>
      <w:tr w:rsidR="0008009C" w14:paraId="5C7C757C"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7573" w14:textId="77777777" w:rsidR="0008009C" w:rsidRDefault="00936FDF">
            <w:pPr>
              <w:ind w:hanging="180"/>
              <w:textAlignment w:val="top"/>
            </w:pPr>
            <w:r>
              <w:rPr>
                <w:rFonts w:ascii="Arial" w:eastAsia="宋体" w:hAnsi="Arial" w:cs="Arial"/>
                <w:b/>
                <w:bCs/>
                <w:color w:val="262626"/>
                <w:sz w:val="18"/>
                <w:szCs w:val="18"/>
              </w:rPr>
              <w:t>Cash and cash equivalents</w:t>
            </w:r>
          </w:p>
        </w:tc>
        <w:tc>
          <w:tcPr>
            <w:tcW w:w="0" w:type="auto"/>
            <w:gridSpan w:val="3"/>
            <w:shd w:val="clear" w:color="auto" w:fill="auto"/>
            <w:tcMar>
              <w:top w:w="0" w:type="dxa"/>
              <w:left w:w="20" w:type="dxa"/>
              <w:bottom w:w="0" w:type="dxa"/>
              <w:right w:w="20" w:type="dxa"/>
            </w:tcMar>
          </w:tcPr>
          <w:p w14:paraId="5C7C7574"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7575"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576" w14:textId="77777777" w:rsidR="0008009C" w:rsidRDefault="00936FDF">
            <w:pPr>
              <w:jc w:val="right"/>
              <w:textAlignment w:val="bottom"/>
            </w:pPr>
            <w:r>
              <w:rPr>
                <w:rFonts w:ascii="Arial" w:eastAsia="宋体" w:hAnsi="Arial" w:cs="Arial"/>
                <w:b/>
                <w:bCs/>
                <w:color w:val="0068B5"/>
                <w:sz w:val="18"/>
                <w:szCs w:val="18"/>
              </w:rPr>
              <w:t>5,192</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57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578"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7579"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57A" w14:textId="77777777" w:rsidR="0008009C" w:rsidRDefault="00936FDF">
            <w:pPr>
              <w:jc w:val="right"/>
              <w:textAlignment w:val="bottom"/>
            </w:pPr>
            <w:r>
              <w:rPr>
                <w:rFonts w:ascii="Arial" w:eastAsia="宋体" w:hAnsi="Arial" w:cs="Arial"/>
                <w:b/>
                <w:bCs/>
                <w:color w:val="262626"/>
                <w:sz w:val="18"/>
                <w:szCs w:val="18"/>
              </w:rPr>
              <w:t>5,865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57B" w14:textId="77777777" w:rsidR="0008009C" w:rsidRDefault="0008009C">
            <w:pPr>
              <w:jc w:val="right"/>
              <w:rPr>
                <w:rFonts w:ascii="宋体"/>
              </w:rPr>
            </w:pPr>
          </w:p>
        </w:tc>
      </w:tr>
      <w:tr w:rsidR="0008009C" w14:paraId="5C7C7584" w14:textId="77777777">
        <w:tc>
          <w:tcPr>
            <w:tcW w:w="0" w:type="auto"/>
            <w:gridSpan w:val="3"/>
            <w:shd w:val="clear" w:color="auto" w:fill="auto"/>
            <w:tcMar>
              <w:top w:w="40" w:type="dxa"/>
              <w:left w:w="140" w:type="dxa"/>
              <w:bottom w:w="40" w:type="dxa"/>
              <w:right w:w="20" w:type="dxa"/>
            </w:tcMar>
          </w:tcPr>
          <w:p w14:paraId="5C7C757D" w14:textId="77777777" w:rsidR="0008009C" w:rsidRDefault="00936FDF">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tcPr>
          <w:p w14:paraId="5C7C757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57F" w14:textId="77777777" w:rsidR="0008009C" w:rsidRDefault="00936FDF">
            <w:pPr>
              <w:jc w:val="right"/>
              <w:textAlignment w:val="bottom"/>
            </w:pPr>
            <w:r>
              <w:rPr>
                <w:rFonts w:ascii="Arial" w:eastAsia="宋体" w:hAnsi="Arial" w:cs="Arial"/>
                <w:color w:val="0068B5"/>
                <w:sz w:val="18"/>
                <w:szCs w:val="18"/>
              </w:rPr>
              <w:t>2,417 </w:t>
            </w:r>
          </w:p>
        </w:tc>
        <w:tc>
          <w:tcPr>
            <w:tcW w:w="0" w:type="auto"/>
            <w:shd w:val="clear" w:color="auto" w:fill="auto"/>
            <w:tcMar>
              <w:top w:w="40" w:type="dxa"/>
              <w:left w:w="0" w:type="dxa"/>
              <w:bottom w:w="40" w:type="dxa"/>
              <w:right w:w="20" w:type="dxa"/>
            </w:tcMar>
            <w:vAlign w:val="bottom"/>
          </w:tcPr>
          <w:p w14:paraId="5C7C758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58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582" w14:textId="77777777" w:rsidR="0008009C" w:rsidRDefault="00936FDF">
            <w:pPr>
              <w:jc w:val="right"/>
              <w:textAlignment w:val="bottom"/>
            </w:pPr>
            <w:r>
              <w:rPr>
                <w:rFonts w:ascii="Arial" w:eastAsia="宋体" w:hAnsi="Arial" w:cs="Arial"/>
                <w:color w:val="262626"/>
                <w:sz w:val="18"/>
                <w:szCs w:val="18"/>
              </w:rPr>
              <w:t>2,292 </w:t>
            </w:r>
          </w:p>
        </w:tc>
        <w:tc>
          <w:tcPr>
            <w:tcW w:w="0" w:type="auto"/>
            <w:shd w:val="clear" w:color="auto" w:fill="auto"/>
            <w:tcMar>
              <w:top w:w="40" w:type="dxa"/>
              <w:left w:w="0" w:type="dxa"/>
              <w:bottom w:w="40" w:type="dxa"/>
              <w:right w:w="20" w:type="dxa"/>
            </w:tcMar>
            <w:vAlign w:val="bottom"/>
          </w:tcPr>
          <w:p w14:paraId="5C7C7583" w14:textId="77777777" w:rsidR="0008009C" w:rsidRDefault="0008009C">
            <w:pPr>
              <w:jc w:val="right"/>
              <w:rPr>
                <w:rFonts w:ascii="宋体"/>
              </w:rPr>
            </w:pPr>
          </w:p>
        </w:tc>
      </w:tr>
      <w:tr w:rsidR="0008009C" w14:paraId="5C7C758C" w14:textId="77777777">
        <w:tc>
          <w:tcPr>
            <w:tcW w:w="0" w:type="auto"/>
            <w:gridSpan w:val="3"/>
            <w:shd w:val="clear" w:color="auto" w:fill="auto"/>
            <w:tcMar>
              <w:top w:w="40" w:type="dxa"/>
              <w:left w:w="140" w:type="dxa"/>
              <w:bottom w:w="40" w:type="dxa"/>
              <w:right w:w="20" w:type="dxa"/>
            </w:tcMar>
          </w:tcPr>
          <w:p w14:paraId="5C7C7585" w14:textId="77777777" w:rsidR="0008009C" w:rsidRDefault="00936FDF">
            <w:pPr>
              <w:textAlignment w:val="top"/>
            </w:pPr>
            <w:r>
              <w:rPr>
                <w:rFonts w:ascii="Arial" w:eastAsia="宋体" w:hAnsi="Arial" w:cs="Arial"/>
                <w:color w:val="262626"/>
                <w:sz w:val="18"/>
                <w:szCs w:val="18"/>
              </w:rPr>
              <w:t>Trading assets</w:t>
            </w:r>
          </w:p>
        </w:tc>
        <w:tc>
          <w:tcPr>
            <w:tcW w:w="0" w:type="auto"/>
            <w:gridSpan w:val="3"/>
            <w:shd w:val="clear" w:color="auto" w:fill="auto"/>
            <w:tcMar>
              <w:top w:w="0" w:type="dxa"/>
              <w:left w:w="20" w:type="dxa"/>
              <w:bottom w:w="0" w:type="dxa"/>
              <w:right w:w="20" w:type="dxa"/>
            </w:tcMar>
          </w:tcPr>
          <w:p w14:paraId="5C7C758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587" w14:textId="77777777" w:rsidR="0008009C" w:rsidRDefault="00936FDF">
            <w:pPr>
              <w:jc w:val="right"/>
              <w:textAlignment w:val="bottom"/>
            </w:pPr>
            <w:r>
              <w:rPr>
                <w:rFonts w:ascii="Arial" w:eastAsia="宋体" w:hAnsi="Arial" w:cs="Arial"/>
                <w:color w:val="0068B5"/>
                <w:sz w:val="18"/>
                <w:szCs w:val="18"/>
              </w:rPr>
              <w:t>14,788 </w:t>
            </w:r>
          </w:p>
        </w:tc>
        <w:tc>
          <w:tcPr>
            <w:tcW w:w="0" w:type="auto"/>
            <w:shd w:val="clear" w:color="auto" w:fill="auto"/>
            <w:tcMar>
              <w:top w:w="40" w:type="dxa"/>
              <w:left w:w="0" w:type="dxa"/>
              <w:bottom w:w="40" w:type="dxa"/>
              <w:right w:w="20" w:type="dxa"/>
            </w:tcMar>
            <w:vAlign w:val="bottom"/>
          </w:tcPr>
          <w:p w14:paraId="5C7C758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58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58A" w14:textId="77777777" w:rsidR="0008009C" w:rsidRDefault="00936FDF">
            <w:pPr>
              <w:jc w:val="right"/>
              <w:textAlignment w:val="bottom"/>
            </w:pPr>
            <w:r>
              <w:rPr>
                <w:rFonts w:ascii="Arial" w:eastAsia="宋体" w:hAnsi="Arial" w:cs="Arial"/>
                <w:color w:val="262626"/>
                <w:sz w:val="18"/>
                <w:szCs w:val="18"/>
              </w:rPr>
              <w:t>15,738 </w:t>
            </w:r>
          </w:p>
        </w:tc>
        <w:tc>
          <w:tcPr>
            <w:tcW w:w="0" w:type="auto"/>
            <w:shd w:val="clear" w:color="auto" w:fill="auto"/>
            <w:tcMar>
              <w:top w:w="40" w:type="dxa"/>
              <w:left w:w="0" w:type="dxa"/>
              <w:bottom w:w="40" w:type="dxa"/>
              <w:right w:w="20" w:type="dxa"/>
            </w:tcMar>
            <w:vAlign w:val="bottom"/>
          </w:tcPr>
          <w:p w14:paraId="5C7C758B" w14:textId="77777777" w:rsidR="0008009C" w:rsidRDefault="0008009C">
            <w:pPr>
              <w:jc w:val="right"/>
              <w:rPr>
                <w:rFonts w:ascii="宋体"/>
              </w:rPr>
            </w:pPr>
          </w:p>
        </w:tc>
      </w:tr>
      <w:tr w:rsidR="0008009C" w14:paraId="5C7C7594" w14:textId="77777777">
        <w:tc>
          <w:tcPr>
            <w:tcW w:w="0" w:type="auto"/>
            <w:gridSpan w:val="3"/>
            <w:shd w:val="clear" w:color="auto" w:fill="auto"/>
            <w:tcMar>
              <w:top w:w="40" w:type="dxa"/>
              <w:left w:w="140" w:type="dxa"/>
              <w:bottom w:w="40" w:type="dxa"/>
              <w:right w:w="20" w:type="dxa"/>
            </w:tcMar>
          </w:tcPr>
          <w:p w14:paraId="5C7C758D" w14:textId="77777777" w:rsidR="0008009C" w:rsidRDefault="00936FDF">
            <w:pPr>
              <w:textAlignment w:val="top"/>
            </w:pPr>
            <w:r>
              <w:rPr>
                <w:rFonts w:ascii="Arial" w:eastAsia="宋体" w:hAnsi="Arial" w:cs="Arial"/>
                <w:color w:val="262626"/>
                <w:sz w:val="18"/>
                <w:szCs w:val="18"/>
              </w:rPr>
              <w:t>Other long-term investments</w:t>
            </w:r>
          </w:p>
        </w:tc>
        <w:tc>
          <w:tcPr>
            <w:tcW w:w="0" w:type="auto"/>
            <w:gridSpan w:val="3"/>
            <w:shd w:val="clear" w:color="auto" w:fill="auto"/>
            <w:tcMar>
              <w:top w:w="0" w:type="dxa"/>
              <w:left w:w="20" w:type="dxa"/>
              <w:bottom w:w="0" w:type="dxa"/>
              <w:right w:w="20" w:type="dxa"/>
            </w:tcMar>
          </w:tcPr>
          <w:p w14:paraId="5C7C758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58F" w14:textId="77777777" w:rsidR="0008009C" w:rsidRDefault="00936FDF">
            <w:pPr>
              <w:jc w:val="right"/>
              <w:textAlignment w:val="bottom"/>
            </w:pPr>
            <w:r>
              <w:rPr>
                <w:rFonts w:ascii="Arial" w:eastAsia="宋体" w:hAnsi="Arial" w:cs="Arial"/>
                <w:color w:val="0068B5"/>
                <w:sz w:val="18"/>
                <w:szCs w:val="18"/>
              </w:rPr>
              <w:t>1,409 </w:t>
            </w:r>
          </w:p>
        </w:tc>
        <w:tc>
          <w:tcPr>
            <w:tcW w:w="0" w:type="auto"/>
            <w:shd w:val="clear" w:color="auto" w:fill="auto"/>
            <w:tcMar>
              <w:top w:w="40" w:type="dxa"/>
              <w:left w:w="0" w:type="dxa"/>
              <w:bottom w:w="40" w:type="dxa"/>
              <w:right w:w="20" w:type="dxa"/>
            </w:tcMar>
            <w:vAlign w:val="bottom"/>
          </w:tcPr>
          <w:p w14:paraId="5C7C759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591"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592" w14:textId="77777777" w:rsidR="0008009C" w:rsidRDefault="00936FDF">
            <w:pPr>
              <w:jc w:val="right"/>
              <w:textAlignment w:val="bottom"/>
            </w:pPr>
            <w:r>
              <w:rPr>
                <w:rFonts w:ascii="Arial" w:eastAsia="宋体" w:hAnsi="Arial" w:cs="Arial"/>
                <w:color w:val="262626"/>
                <w:sz w:val="18"/>
                <w:szCs w:val="18"/>
              </w:rPr>
              <w:t>2,192 </w:t>
            </w:r>
          </w:p>
        </w:tc>
        <w:tc>
          <w:tcPr>
            <w:tcW w:w="0" w:type="auto"/>
            <w:shd w:val="clear" w:color="auto" w:fill="auto"/>
            <w:tcMar>
              <w:top w:w="40" w:type="dxa"/>
              <w:left w:w="0" w:type="dxa"/>
              <w:bottom w:w="40" w:type="dxa"/>
              <w:right w:w="20" w:type="dxa"/>
            </w:tcMar>
            <w:vAlign w:val="bottom"/>
          </w:tcPr>
          <w:p w14:paraId="5C7C7593" w14:textId="77777777" w:rsidR="0008009C" w:rsidRDefault="0008009C">
            <w:pPr>
              <w:jc w:val="right"/>
              <w:rPr>
                <w:rFonts w:ascii="宋体"/>
              </w:rPr>
            </w:pPr>
          </w:p>
        </w:tc>
      </w:tr>
      <w:tr w:rsidR="0008009C" w14:paraId="5C7C759C" w14:textId="77777777">
        <w:tc>
          <w:tcPr>
            <w:tcW w:w="0" w:type="auto"/>
            <w:gridSpan w:val="3"/>
            <w:shd w:val="clear" w:color="auto" w:fill="auto"/>
            <w:tcMar>
              <w:top w:w="40" w:type="dxa"/>
              <w:left w:w="140" w:type="dxa"/>
              <w:bottom w:w="40" w:type="dxa"/>
              <w:right w:w="20" w:type="dxa"/>
            </w:tcMar>
          </w:tcPr>
          <w:p w14:paraId="5C7C7595" w14:textId="77777777" w:rsidR="0008009C" w:rsidRDefault="00936FDF">
            <w:pPr>
              <w:textAlignment w:val="top"/>
            </w:pPr>
            <w:r>
              <w:rPr>
                <w:rFonts w:ascii="Arial" w:eastAsia="宋体" w:hAnsi="Arial" w:cs="Arial"/>
                <w:color w:val="262626"/>
                <w:sz w:val="18"/>
                <w:szCs w:val="18"/>
              </w:rPr>
              <w:t>Loans receivable and other</w:t>
            </w:r>
          </w:p>
        </w:tc>
        <w:tc>
          <w:tcPr>
            <w:tcW w:w="0" w:type="auto"/>
            <w:gridSpan w:val="3"/>
            <w:shd w:val="clear" w:color="auto" w:fill="auto"/>
            <w:tcMar>
              <w:top w:w="0" w:type="dxa"/>
              <w:left w:w="20" w:type="dxa"/>
              <w:bottom w:w="0" w:type="dxa"/>
              <w:right w:w="20" w:type="dxa"/>
            </w:tcMar>
          </w:tcPr>
          <w:p w14:paraId="5C7C759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597" w14:textId="77777777" w:rsidR="0008009C" w:rsidRDefault="00936FDF">
            <w:pPr>
              <w:jc w:val="right"/>
              <w:textAlignment w:val="bottom"/>
            </w:pPr>
            <w:r>
              <w:rPr>
                <w:rFonts w:ascii="Arial" w:eastAsia="宋体" w:hAnsi="Arial" w:cs="Arial"/>
                <w:color w:val="0068B5"/>
                <w:sz w:val="18"/>
                <w:szCs w:val="18"/>
              </w:rPr>
              <w:t>377 </w:t>
            </w:r>
          </w:p>
        </w:tc>
        <w:tc>
          <w:tcPr>
            <w:tcW w:w="0" w:type="auto"/>
            <w:shd w:val="clear" w:color="auto" w:fill="auto"/>
            <w:tcMar>
              <w:top w:w="40" w:type="dxa"/>
              <w:left w:w="0" w:type="dxa"/>
              <w:bottom w:w="40" w:type="dxa"/>
              <w:right w:w="20" w:type="dxa"/>
            </w:tcMar>
            <w:vAlign w:val="bottom"/>
          </w:tcPr>
          <w:p w14:paraId="5C7C759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59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59A" w14:textId="77777777" w:rsidR="0008009C" w:rsidRDefault="00936FDF">
            <w:pPr>
              <w:jc w:val="right"/>
              <w:textAlignment w:val="bottom"/>
            </w:pPr>
            <w:r>
              <w:rPr>
                <w:rFonts w:ascii="Arial" w:eastAsia="宋体" w:hAnsi="Arial" w:cs="Arial"/>
                <w:color w:val="262626"/>
                <w:sz w:val="18"/>
                <w:szCs w:val="18"/>
              </w:rPr>
              <w:t>947 </w:t>
            </w:r>
          </w:p>
        </w:tc>
        <w:tc>
          <w:tcPr>
            <w:tcW w:w="0" w:type="auto"/>
            <w:shd w:val="clear" w:color="auto" w:fill="auto"/>
            <w:tcMar>
              <w:top w:w="40" w:type="dxa"/>
              <w:left w:w="0" w:type="dxa"/>
              <w:bottom w:w="40" w:type="dxa"/>
              <w:right w:w="20" w:type="dxa"/>
            </w:tcMar>
            <w:vAlign w:val="bottom"/>
          </w:tcPr>
          <w:p w14:paraId="5C7C759B" w14:textId="77777777" w:rsidR="0008009C" w:rsidRDefault="0008009C">
            <w:pPr>
              <w:jc w:val="right"/>
              <w:rPr>
                <w:rFonts w:ascii="宋体"/>
              </w:rPr>
            </w:pPr>
          </w:p>
        </w:tc>
      </w:tr>
      <w:tr w:rsidR="0008009C" w14:paraId="5C7C75A6" w14:textId="77777777">
        <w:tc>
          <w:tcPr>
            <w:tcW w:w="0" w:type="auto"/>
            <w:gridSpan w:val="3"/>
            <w:shd w:val="clear" w:color="auto" w:fill="auto"/>
            <w:tcMar>
              <w:top w:w="40" w:type="dxa"/>
              <w:left w:w="20" w:type="dxa"/>
              <w:bottom w:w="40" w:type="dxa"/>
              <w:right w:w="20" w:type="dxa"/>
            </w:tcMar>
            <w:vAlign w:val="bottom"/>
          </w:tcPr>
          <w:p w14:paraId="5C7C759D" w14:textId="77777777" w:rsidR="0008009C" w:rsidRDefault="00936FDF">
            <w:pPr>
              <w:spacing w:after="180"/>
              <w:textAlignment w:val="bottom"/>
            </w:pPr>
            <w:r>
              <w:rPr>
                <w:rFonts w:ascii="Arial" w:eastAsia="宋体" w:hAnsi="Arial" w:cs="Arial"/>
                <w:b/>
                <w:bCs/>
                <w:color w:val="262626"/>
                <w:sz w:val="18"/>
                <w:szCs w:val="18"/>
              </w:rPr>
              <w:t>Total cash and investments</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tcPr>
          <w:p w14:paraId="5C7C759E"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759F"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75A0" w14:textId="77777777" w:rsidR="0008009C" w:rsidRDefault="00936FDF">
            <w:pPr>
              <w:jc w:val="right"/>
              <w:textAlignment w:val="bottom"/>
            </w:pPr>
            <w:r>
              <w:rPr>
                <w:rFonts w:ascii="Arial" w:eastAsia="宋体" w:hAnsi="Arial" w:cs="Arial"/>
                <w:b/>
                <w:bCs/>
                <w:color w:val="0068B5"/>
                <w:sz w:val="18"/>
                <w:szCs w:val="18"/>
              </w:rPr>
              <w:t>24,183</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5A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5A2"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75A3"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75A4" w14:textId="77777777" w:rsidR="0008009C" w:rsidRDefault="00936FDF">
            <w:pPr>
              <w:jc w:val="right"/>
              <w:textAlignment w:val="bottom"/>
            </w:pPr>
            <w:r>
              <w:rPr>
                <w:rFonts w:ascii="Arial" w:eastAsia="宋体" w:hAnsi="Arial" w:cs="Arial"/>
                <w:b/>
                <w:bCs/>
                <w:color w:val="262626"/>
                <w:sz w:val="18"/>
                <w:szCs w:val="18"/>
              </w:rPr>
              <w:t>27,034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5A5" w14:textId="77777777" w:rsidR="0008009C" w:rsidRDefault="0008009C">
            <w:pPr>
              <w:jc w:val="right"/>
              <w:rPr>
                <w:rFonts w:ascii="宋体"/>
              </w:rPr>
            </w:pPr>
          </w:p>
        </w:tc>
      </w:tr>
      <w:tr w:rsidR="0008009C" w14:paraId="5C7C75AC" w14:textId="77777777">
        <w:trPr>
          <w:hidden/>
        </w:trPr>
        <w:tc>
          <w:tcPr>
            <w:tcW w:w="0" w:type="auto"/>
            <w:gridSpan w:val="3"/>
            <w:shd w:val="clear" w:color="auto" w:fill="auto"/>
          </w:tcPr>
          <w:p w14:paraId="5C7C75A7" w14:textId="77777777" w:rsidR="0008009C" w:rsidRDefault="0008009C">
            <w:pPr>
              <w:rPr>
                <w:rFonts w:ascii="宋体"/>
                <w:vanish/>
              </w:rPr>
            </w:pPr>
          </w:p>
        </w:tc>
        <w:tc>
          <w:tcPr>
            <w:tcW w:w="0" w:type="auto"/>
            <w:gridSpan w:val="3"/>
            <w:shd w:val="clear" w:color="auto" w:fill="auto"/>
          </w:tcPr>
          <w:p w14:paraId="5C7C75A8" w14:textId="77777777" w:rsidR="0008009C" w:rsidRDefault="0008009C">
            <w:pPr>
              <w:rPr>
                <w:rFonts w:ascii="宋体"/>
                <w:vanish/>
              </w:rPr>
            </w:pPr>
          </w:p>
        </w:tc>
        <w:tc>
          <w:tcPr>
            <w:tcW w:w="0" w:type="auto"/>
            <w:gridSpan w:val="3"/>
            <w:shd w:val="clear" w:color="auto" w:fill="auto"/>
          </w:tcPr>
          <w:p w14:paraId="5C7C75A9" w14:textId="77777777" w:rsidR="0008009C" w:rsidRDefault="0008009C">
            <w:pPr>
              <w:rPr>
                <w:rFonts w:ascii="宋体"/>
                <w:vanish/>
              </w:rPr>
            </w:pPr>
          </w:p>
        </w:tc>
        <w:tc>
          <w:tcPr>
            <w:tcW w:w="0" w:type="auto"/>
            <w:gridSpan w:val="3"/>
            <w:shd w:val="clear" w:color="auto" w:fill="auto"/>
          </w:tcPr>
          <w:p w14:paraId="5C7C75AA" w14:textId="77777777" w:rsidR="0008009C" w:rsidRDefault="0008009C">
            <w:pPr>
              <w:rPr>
                <w:rFonts w:ascii="宋体"/>
                <w:vanish/>
              </w:rPr>
            </w:pPr>
          </w:p>
        </w:tc>
        <w:tc>
          <w:tcPr>
            <w:tcW w:w="0" w:type="auto"/>
            <w:gridSpan w:val="3"/>
            <w:shd w:val="clear" w:color="auto" w:fill="auto"/>
          </w:tcPr>
          <w:p w14:paraId="5C7C75AB" w14:textId="77777777" w:rsidR="0008009C" w:rsidRDefault="0008009C">
            <w:pPr>
              <w:rPr>
                <w:rFonts w:ascii="宋体"/>
                <w:vanish/>
              </w:rPr>
            </w:pPr>
          </w:p>
        </w:tc>
      </w:tr>
      <w:tr w:rsidR="0008009C" w14:paraId="5C7C75B2" w14:textId="77777777">
        <w:trPr>
          <w:hidden/>
        </w:trPr>
        <w:tc>
          <w:tcPr>
            <w:tcW w:w="0" w:type="auto"/>
            <w:gridSpan w:val="3"/>
            <w:shd w:val="clear" w:color="auto" w:fill="auto"/>
          </w:tcPr>
          <w:p w14:paraId="5C7C75AD" w14:textId="77777777" w:rsidR="0008009C" w:rsidRDefault="0008009C">
            <w:pPr>
              <w:rPr>
                <w:rFonts w:ascii="宋体"/>
                <w:vanish/>
              </w:rPr>
            </w:pPr>
          </w:p>
        </w:tc>
        <w:tc>
          <w:tcPr>
            <w:tcW w:w="0" w:type="auto"/>
            <w:gridSpan w:val="3"/>
            <w:shd w:val="clear" w:color="auto" w:fill="auto"/>
          </w:tcPr>
          <w:p w14:paraId="5C7C75AE" w14:textId="77777777" w:rsidR="0008009C" w:rsidRDefault="0008009C">
            <w:pPr>
              <w:rPr>
                <w:rFonts w:ascii="宋体"/>
                <w:vanish/>
              </w:rPr>
            </w:pPr>
          </w:p>
        </w:tc>
        <w:tc>
          <w:tcPr>
            <w:tcW w:w="0" w:type="auto"/>
            <w:gridSpan w:val="3"/>
            <w:shd w:val="clear" w:color="auto" w:fill="auto"/>
          </w:tcPr>
          <w:p w14:paraId="5C7C75AF" w14:textId="77777777" w:rsidR="0008009C" w:rsidRDefault="0008009C">
            <w:pPr>
              <w:rPr>
                <w:rFonts w:ascii="宋体"/>
                <w:vanish/>
              </w:rPr>
            </w:pPr>
          </w:p>
        </w:tc>
        <w:tc>
          <w:tcPr>
            <w:tcW w:w="0" w:type="auto"/>
            <w:gridSpan w:val="3"/>
            <w:shd w:val="clear" w:color="auto" w:fill="auto"/>
          </w:tcPr>
          <w:p w14:paraId="5C7C75B0" w14:textId="77777777" w:rsidR="0008009C" w:rsidRDefault="0008009C">
            <w:pPr>
              <w:rPr>
                <w:rFonts w:ascii="宋体"/>
                <w:vanish/>
              </w:rPr>
            </w:pPr>
          </w:p>
        </w:tc>
        <w:tc>
          <w:tcPr>
            <w:tcW w:w="0" w:type="auto"/>
            <w:gridSpan w:val="3"/>
            <w:shd w:val="clear" w:color="auto" w:fill="auto"/>
          </w:tcPr>
          <w:p w14:paraId="5C7C75B1" w14:textId="77777777" w:rsidR="0008009C" w:rsidRDefault="0008009C">
            <w:pPr>
              <w:rPr>
                <w:rFonts w:ascii="宋体"/>
                <w:vanish/>
              </w:rPr>
            </w:pPr>
          </w:p>
        </w:tc>
      </w:tr>
      <w:tr w:rsidR="0008009C" w14:paraId="5C7C75BC" w14:textId="77777777">
        <w:tc>
          <w:tcPr>
            <w:tcW w:w="0" w:type="auto"/>
            <w:gridSpan w:val="3"/>
            <w:shd w:val="clear" w:color="auto" w:fill="auto"/>
            <w:tcMar>
              <w:top w:w="40" w:type="dxa"/>
              <w:left w:w="20" w:type="dxa"/>
              <w:bottom w:w="40" w:type="dxa"/>
              <w:right w:w="20" w:type="dxa"/>
            </w:tcMar>
          </w:tcPr>
          <w:p w14:paraId="5C7C75B3" w14:textId="77777777" w:rsidR="0008009C" w:rsidRDefault="00936FDF">
            <w:pPr>
              <w:textAlignment w:val="top"/>
            </w:pPr>
            <w:r>
              <w:rPr>
                <w:rFonts w:ascii="Arial" w:eastAsia="宋体" w:hAnsi="Arial" w:cs="Arial"/>
                <w:b/>
                <w:bCs/>
                <w:color w:val="262626"/>
                <w:sz w:val="18"/>
                <w:szCs w:val="18"/>
              </w:rPr>
              <w:t>Total debt</w:t>
            </w:r>
          </w:p>
        </w:tc>
        <w:tc>
          <w:tcPr>
            <w:tcW w:w="0" w:type="auto"/>
            <w:gridSpan w:val="3"/>
            <w:shd w:val="clear" w:color="auto" w:fill="auto"/>
            <w:tcMar>
              <w:top w:w="0" w:type="dxa"/>
              <w:left w:w="20" w:type="dxa"/>
              <w:bottom w:w="0" w:type="dxa"/>
              <w:right w:w="20" w:type="dxa"/>
            </w:tcMar>
          </w:tcPr>
          <w:p w14:paraId="5C7C75B4" w14:textId="77777777" w:rsidR="0008009C" w:rsidRDefault="0008009C">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5C7C75B5" w14:textId="77777777" w:rsidR="0008009C" w:rsidRDefault="00936FDF">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5C7C75B6" w14:textId="77777777" w:rsidR="0008009C" w:rsidRDefault="00936FDF">
            <w:pPr>
              <w:jc w:val="right"/>
              <w:textAlignment w:val="bottom"/>
            </w:pPr>
            <w:r>
              <w:rPr>
                <w:rFonts w:ascii="Arial" w:eastAsia="宋体" w:hAnsi="Arial" w:cs="Arial"/>
                <w:b/>
                <w:bCs/>
                <w:color w:val="0068B5"/>
                <w:sz w:val="18"/>
                <w:szCs w:val="18"/>
              </w:rPr>
              <w:t>35,884</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5C7C75B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5B8" w14:textId="77777777" w:rsidR="0008009C" w:rsidRDefault="0008009C">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5C7C75B9" w14:textId="77777777" w:rsidR="0008009C" w:rsidRDefault="00936FDF">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5C7C75BA" w14:textId="77777777" w:rsidR="0008009C" w:rsidRDefault="00936FDF">
            <w:pPr>
              <w:jc w:val="right"/>
              <w:textAlignment w:val="bottom"/>
            </w:pPr>
            <w:r>
              <w:rPr>
                <w:rFonts w:ascii="Arial" w:eastAsia="宋体" w:hAnsi="Arial" w:cs="Arial"/>
                <w:b/>
                <w:bCs/>
                <w:color w:val="262626"/>
                <w:sz w:val="18"/>
                <w:szCs w:val="18"/>
              </w:rPr>
              <w:t>36,401</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5C7C75BB" w14:textId="77777777" w:rsidR="0008009C" w:rsidRDefault="0008009C">
            <w:pPr>
              <w:jc w:val="right"/>
              <w:rPr>
                <w:rFonts w:ascii="宋体"/>
              </w:rPr>
            </w:pPr>
          </w:p>
        </w:tc>
      </w:tr>
    </w:tbl>
    <w:p w14:paraId="5C7C75BD" w14:textId="77777777" w:rsidR="0008009C" w:rsidRDefault="00936FDF">
      <w:pPr>
        <w:spacing w:before="180" w:after="180"/>
      </w:pPr>
      <w:r>
        <w:rPr>
          <w:rFonts w:ascii="Arial" w:eastAsia="宋体" w:hAnsi="Arial" w:cs="Arial"/>
          <w:color w:val="262626"/>
          <w:sz w:val="18"/>
          <w:szCs w:val="18"/>
        </w:rPr>
        <w:t xml:space="preserve">Cash generated by operations is our primary source of liquidity. When assessing our sources of </w:t>
      </w:r>
      <w:r>
        <w:rPr>
          <w:rFonts w:ascii="Arial" w:eastAsia="宋体" w:hAnsi="Arial" w:cs="Arial"/>
          <w:color w:val="262626"/>
          <w:sz w:val="18"/>
          <w:szCs w:val="18"/>
        </w:rPr>
        <w:t>liquidity, we include our total cash and investments</w:t>
      </w:r>
      <w:r>
        <w:rPr>
          <w:rFonts w:ascii="Arial" w:eastAsia="宋体" w:hAnsi="Arial" w:cs="Arial"/>
          <w:color w:val="262626"/>
          <w:sz w:val="11"/>
          <w:szCs w:val="11"/>
        </w:rPr>
        <w:t>1</w:t>
      </w:r>
      <w:r>
        <w:rPr>
          <w:rFonts w:ascii="Arial" w:eastAsia="宋体" w:hAnsi="Arial" w:cs="Arial"/>
          <w:color w:val="262626"/>
          <w:sz w:val="18"/>
          <w:szCs w:val="18"/>
        </w:rPr>
        <w:t xml:space="preserve"> as shown in the preceding table. We maintain a diverse investment portfolio that we continually analyze based on issuer, industry, and country. Substantially all of our investments in debt instruments a</w:t>
      </w:r>
      <w:r>
        <w:rPr>
          <w:rFonts w:ascii="Arial" w:eastAsia="宋体" w:hAnsi="Arial" w:cs="Arial"/>
          <w:color w:val="262626"/>
          <w:sz w:val="18"/>
          <w:szCs w:val="18"/>
        </w:rPr>
        <w:t>nd financing receivables are in investment-grade securities.</w:t>
      </w:r>
    </w:p>
    <w:p w14:paraId="5C7C75BE" w14:textId="77777777" w:rsidR="0008009C" w:rsidRDefault="00936FDF">
      <w:pPr>
        <w:spacing w:after="180"/>
      </w:pPr>
      <w:r>
        <w:rPr>
          <w:rFonts w:ascii="Arial" w:eastAsia="宋体" w:hAnsi="Arial" w:cs="Arial"/>
          <w:color w:val="262626"/>
          <w:sz w:val="18"/>
          <w:szCs w:val="18"/>
        </w:rPr>
        <w:t>In March 2021, we entered into a $5.0 billion variable-rate revolving credit facility which matures in March 2026. Other potential sources of liquidity include our commercial paper program and our automatic shelf registration statement on file with the SEC</w:t>
      </w:r>
      <w:r>
        <w:rPr>
          <w:rFonts w:ascii="Arial" w:eastAsia="宋体" w:hAnsi="Arial" w:cs="Arial"/>
          <w:color w:val="262626"/>
          <w:sz w:val="18"/>
          <w:szCs w:val="18"/>
        </w:rPr>
        <w:t>, pursuant to which we may offer an unspecified amount of debt, equity, and other securities. Under our commercial paper program, we have an ongoing authorization from our Board of Directors to borrow up to $10.0 billion. As of March 27, 2021, we had no ou</w:t>
      </w:r>
      <w:r>
        <w:rPr>
          <w:rFonts w:ascii="Arial" w:eastAsia="宋体" w:hAnsi="Arial" w:cs="Arial"/>
          <w:color w:val="262626"/>
          <w:sz w:val="18"/>
          <w:szCs w:val="18"/>
        </w:rPr>
        <w:t xml:space="preserve">tstanding commercial paper. </w:t>
      </w:r>
    </w:p>
    <w:p w14:paraId="5C7C75BF" w14:textId="77777777" w:rsidR="0008009C" w:rsidRDefault="00936FDF">
      <w:pPr>
        <w:spacing w:after="180"/>
      </w:pPr>
      <w:r>
        <w:rPr>
          <w:rFonts w:ascii="Arial" w:eastAsia="宋体" w:hAnsi="Arial" w:cs="Arial"/>
          <w:color w:val="262626"/>
          <w:sz w:val="18"/>
          <w:szCs w:val="18"/>
        </w:rPr>
        <w:t>In Q1 2021, we repurchased the remaining $2.4 billion in shares of our planned $20.0 billion share repurchases announced in October 2019.</w:t>
      </w:r>
    </w:p>
    <w:p w14:paraId="5C7C75C0" w14:textId="77777777" w:rsidR="0008009C" w:rsidRDefault="00936FDF">
      <w:pPr>
        <w:spacing w:after="180"/>
      </w:pPr>
      <w:r>
        <w:rPr>
          <w:rFonts w:ascii="Arial" w:eastAsia="宋体" w:hAnsi="Arial" w:cs="Arial"/>
          <w:color w:val="262626"/>
          <w:sz w:val="18"/>
          <w:szCs w:val="18"/>
        </w:rPr>
        <w:t xml:space="preserve">We believe we have sufficient sources of funding to meet our business </w:t>
      </w:r>
      <w:r>
        <w:rPr>
          <w:rFonts w:ascii="Arial" w:eastAsia="宋体" w:hAnsi="Arial" w:cs="Arial"/>
          <w:color w:val="262626"/>
          <w:sz w:val="18"/>
          <w:szCs w:val="18"/>
        </w:rPr>
        <w:t>requirements in the next 12 months, including capital expenditures for worldwide manufacturing and assembly and test; working capital requirements; and acquisitions, strategic investments, and dividends.</w:t>
      </w:r>
    </w:p>
    <w:tbl>
      <w:tblPr>
        <w:tblW w:w="10875" w:type="dxa"/>
        <w:tblCellMar>
          <w:top w:w="15" w:type="dxa"/>
          <w:left w:w="15" w:type="dxa"/>
          <w:bottom w:w="15" w:type="dxa"/>
          <w:right w:w="15" w:type="dxa"/>
        </w:tblCellMar>
        <w:tblLook w:val="04A0" w:firstRow="1" w:lastRow="0" w:firstColumn="1" w:lastColumn="0" w:noHBand="0" w:noVBand="1"/>
      </w:tblPr>
      <w:tblGrid>
        <w:gridCol w:w="36"/>
        <w:gridCol w:w="93"/>
        <w:gridCol w:w="36"/>
        <w:gridCol w:w="36"/>
        <w:gridCol w:w="3097"/>
        <w:gridCol w:w="36"/>
        <w:gridCol w:w="36"/>
        <w:gridCol w:w="357"/>
        <w:gridCol w:w="36"/>
        <w:gridCol w:w="36"/>
        <w:gridCol w:w="3321"/>
        <w:gridCol w:w="36"/>
        <w:gridCol w:w="36"/>
        <w:gridCol w:w="313"/>
        <w:gridCol w:w="36"/>
        <w:gridCol w:w="36"/>
        <w:gridCol w:w="3262"/>
        <w:gridCol w:w="36"/>
      </w:tblGrid>
      <w:tr w:rsidR="0008009C" w14:paraId="5C7C75D3" w14:textId="77777777">
        <w:tc>
          <w:tcPr>
            <w:tcW w:w="20" w:type="dxa"/>
            <w:shd w:val="clear" w:color="auto" w:fill="auto"/>
          </w:tcPr>
          <w:p w14:paraId="5C7C75C1" w14:textId="77777777" w:rsidR="0008009C" w:rsidRDefault="0008009C">
            <w:pPr>
              <w:rPr>
                <w:rFonts w:ascii="宋体"/>
              </w:rPr>
            </w:pPr>
          </w:p>
        </w:tc>
        <w:tc>
          <w:tcPr>
            <w:tcW w:w="95" w:type="dxa"/>
            <w:shd w:val="clear" w:color="auto" w:fill="auto"/>
          </w:tcPr>
          <w:p w14:paraId="5C7C75C2" w14:textId="77777777" w:rsidR="0008009C" w:rsidRDefault="0008009C">
            <w:pPr>
              <w:rPr>
                <w:rFonts w:ascii="宋体"/>
              </w:rPr>
            </w:pPr>
          </w:p>
        </w:tc>
        <w:tc>
          <w:tcPr>
            <w:tcW w:w="20" w:type="dxa"/>
            <w:shd w:val="clear" w:color="auto" w:fill="auto"/>
          </w:tcPr>
          <w:p w14:paraId="5C7C75C3" w14:textId="77777777" w:rsidR="0008009C" w:rsidRDefault="0008009C">
            <w:pPr>
              <w:rPr>
                <w:rFonts w:ascii="宋体"/>
              </w:rPr>
            </w:pPr>
          </w:p>
        </w:tc>
        <w:tc>
          <w:tcPr>
            <w:tcW w:w="20" w:type="dxa"/>
            <w:shd w:val="clear" w:color="auto" w:fill="auto"/>
          </w:tcPr>
          <w:p w14:paraId="5C7C75C4" w14:textId="77777777" w:rsidR="0008009C" w:rsidRDefault="0008009C">
            <w:pPr>
              <w:rPr>
                <w:rFonts w:ascii="宋体"/>
              </w:rPr>
            </w:pPr>
          </w:p>
        </w:tc>
        <w:tc>
          <w:tcPr>
            <w:tcW w:w="3155" w:type="dxa"/>
            <w:shd w:val="clear" w:color="auto" w:fill="auto"/>
          </w:tcPr>
          <w:p w14:paraId="5C7C75C5" w14:textId="77777777" w:rsidR="0008009C" w:rsidRDefault="0008009C">
            <w:pPr>
              <w:rPr>
                <w:rFonts w:ascii="宋体"/>
              </w:rPr>
            </w:pPr>
          </w:p>
        </w:tc>
        <w:tc>
          <w:tcPr>
            <w:tcW w:w="20" w:type="dxa"/>
            <w:shd w:val="clear" w:color="auto" w:fill="auto"/>
          </w:tcPr>
          <w:p w14:paraId="5C7C75C6" w14:textId="77777777" w:rsidR="0008009C" w:rsidRDefault="0008009C">
            <w:pPr>
              <w:rPr>
                <w:rFonts w:ascii="宋体"/>
              </w:rPr>
            </w:pPr>
          </w:p>
        </w:tc>
        <w:tc>
          <w:tcPr>
            <w:tcW w:w="20" w:type="dxa"/>
            <w:shd w:val="clear" w:color="auto" w:fill="auto"/>
          </w:tcPr>
          <w:p w14:paraId="5C7C75C7" w14:textId="77777777" w:rsidR="0008009C" w:rsidRDefault="0008009C">
            <w:pPr>
              <w:rPr>
                <w:rFonts w:ascii="宋体"/>
              </w:rPr>
            </w:pPr>
          </w:p>
        </w:tc>
        <w:tc>
          <w:tcPr>
            <w:tcW w:w="365" w:type="dxa"/>
            <w:shd w:val="clear" w:color="auto" w:fill="auto"/>
          </w:tcPr>
          <w:p w14:paraId="5C7C75C8" w14:textId="77777777" w:rsidR="0008009C" w:rsidRDefault="0008009C">
            <w:pPr>
              <w:rPr>
                <w:rFonts w:ascii="宋体"/>
              </w:rPr>
            </w:pPr>
          </w:p>
        </w:tc>
        <w:tc>
          <w:tcPr>
            <w:tcW w:w="20" w:type="dxa"/>
            <w:shd w:val="clear" w:color="auto" w:fill="auto"/>
          </w:tcPr>
          <w:p w14:paraId="5C7C75C9" w14:textId="77777777" w:rsidR="0008009C" w:rsidRDefault="0008009C">
            <w:pPr>
              <w:rPr>
                <w:rFonts w:ascii="宋体"/>
              </w:rPr>
            </w:pPr>
          </w:p>
        </w:tc>
        <w:tc>
          <w:tcPr>
            <w:tcW w:w="20" w:type="dxa"/>
            <w:shd w:val="clear" w:color="auto" w:fill="auto"/>
          </w:tcPr>
          <w:p w14:paraId="5C7C75CA" w14:textId="77777777" w:rsidR="0008009C" w:rsidRDefault="0008009C">
            <w:pPr>
              <w:rPr>
                <w:rFonts w:ascii="宋体"/>
              </w:rPr>
            </w:pPr>
          </w:p>
        </w:tc>
        <w:tc>
          <w:tcPr>
            <w:tcW w:w="3380" w:type="dxa"/>
            <w:shd w:val="clear" w:color="auto" w:fill="auto"/>
          </w:tcPr>
          <w:p w14:paraId="5C7C75CB" w14:textId="77777777" w:rsidR="0008009C" w:rsidRDefault="0008009C">
            <w:pPr>
              <w:rPr>
                <w:rFonts w:ascii="宋体"/>
              </w:rPr>
            </w:pPr>
          </w:p>
        </w:tc>
        <w:tc>
          <w:tcPr>
            <w:tcW w:w="20" w:type="dxa"/>
            <w:shd w:val="clear" w:color="auto" w:fill="auto"/>
          </w:tcPr>
          <w:p w14:paraId="5C7C75CC" w14:textId="77777777" w:rsidR="0008009C" w:rsidRDefault="0008009C">
            <w:pPr>
              <w:rPr>
                <w:rFonts w:ascii="宋体"/>
              </w:rPr>
            </w:pPr>
          </w:p>
        </w:tc>
        <w:tc>
          <w:tcPr>
            <w:tcW w:w="20" w:type="dxa"/>
            <w:shd w:val="clear" w:color="auto" w:fill="auto"/>
          </w:tcPr>
          <w:p w14:paraId="5C7C75CD" w14:textId="77777777" w:rsidR="0008009C" w:rsidRDefault="0008009C">
            <w:pPr>
              <w:rPr>
                <w:rFonts w:ascii="宋体"/>
              </w:rPr>
            </w:pPr>
          </w:p>
        </w:tc>
        <w:tc>
          <w:tcPr>
            <w:tcW w:w="320" w:type="dxa"/>
            <w:shd w:val="clear" w:color="auto" w:fill="auto"/>
          </w:tcPr>
          <w:p w14:paraId="5C7C75CE" w14:textId="77777777" w:rsidR="0008009C" w:rsidRDefault="0008009C">
            <w:pPr>
              <w:rPr>
                <w:rFonts w:ascii="宋体"/>
              </w:rPr>
            </w:pPr>
          </w:p>
        </w:tc>
        <w:tc>
          <w:tcPr>
            <w:tcW w:w="20" w:type="dxa"/>
            <w:shd w:val="clear" w:color="auto" w:fill="auto"/>
          </w:tcPr>
          <w:p w14:paraId="5C7C75CF" w14:textId="77777777" w:rsidR="0008009C" w:rsidRDefault="0008009C">
            <w:pPr>
              <w:rPr>
                <w:rFonts w:ascii="宋体"/>
              </w:rPr>
            </w:pPr>
          </w:p>
        </w:tc>
        <w:tc>
          <w:tcPr>
            <w:tcW w:w="20" w:type="dxa"/>
            <w:shd w:val="clear" w:color="auto" w:fill="auto"/>
          </w:tcPr>
          <w:p w14:paraId="5C7C75D0" w14:textId="77777777" w:rsidR="0008009C" w:rsidRDefault="0008009C">
            <w:pPr>
              <w:rPr>
                <w:rFonts w:ascii="宋体"/>
              </w:rPr>
            </w:pPr>
          </w:p>
        </w:tc>
        <w:tc>
          <w:tcPr>
            <w:tcW w:w="3320" w:type="dxa"/>
            <w:shd w:val="clear" w:color="auto" w:fill="auto"/>
          </w:tcPr>
          <w:p w14:paraId="5C7C75D1" w14:textId="77777777" w:rsidR="0008009C" w:rsidRDefault="0008009C">
            <w:pPr>
              <w:rPr>
                <w:rFonts w:ascii="宋体"/>
              </w:rPr>
            </w:pPr>
          </w:p>
        </w:tc>
        <w:tc>
          <w:tcPr>
            <w:tcW w:w="20" w:type="dxa"/>
            <w:shd w:val="clear" w:color="auto" w:fill="auto"/>
          </w:tcPr>
          <w:p w14:paraId="5C7C75D2" w14:textId="77777777" w:rsidR="0008009C" w:rsidRDefault="0008009C">
            <w:pPr>
              <w:rPr>
                <w:rFonts w:ascii="宋体"/>
              </w:rPr>
            </w:pPr>
          </w:p>
        </w:tc>
      </w:tr>
      <w:tr w:rsidR="0008009C" w14:paraId="5C7C75DA" w14:textId="77777777">
        <w:trPr>
          <w:trHeight w:val="280"/>
        </w:trPr>
        <w:tc>
          <w:tcPr>
            <w:tcW w:w="0" w:type="auto"/>
            <w:gridSpan w:val="3"/>
            <w:shd w:val="clear" w:color="auto" w:fill="auto"/>
            <w:tcMar>
              <w:top w:w="0" w:type="dxa"/>
              <w:left w:w="20" w:type="dxa"/>
              <w:bottom w:w="0" w:type="dxa"/>
              <w:right w:w="20" w:type="dxa"/>
            </w:tcMar>
          </w:tcPr>
          <w:p w14:paraId="5C7C75D4" w14:textId="77777777" w:rsidR="0008009C" w:rsidRDefault="0008009C">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75D5" w14:textId="77777777" w:rsidR="0008009C" w:rsidRDefault="00936FDF">
            <w:pPr>
              <w:jc w:val="center"/>
              <w:textAlignment w:val="bottom"/>
            </w:pPr>
            <w:r>
              <w:rPr>
                <w:rFonts w:ascii="Arial" w:eastAsia="宋体" w:hAnsi="Arial" w:cs="Arial"/>
                <w:color w:val="0068B5"/>
                <w:sz w:val="18"/>
                <w:szCs w:val="18"/>
              </w:rPr>
              <w:t>Cash from Operations $B</w:t>
            </w:r>
          </w:p>
        </w:tc>
        <w:tc>
          <w:tcPr>
            <w:tcW w:w="0" w:type="auto"/>
            <w:gridSpan w:val="3"/>
            <w:shd w:val="clear" w:color="auto" w:fill="auto"/>
            <w:tcMar>
              <w:top w:w="0" w:type="dxa"/>
              <w:left w:w="20" w:type="dxa"/>
              <w:bottom w:w="0" w:type="dxa"/>
              <w:right w:w="20" w:type="dxa"/>
            </w:tcMar>
          </w:tcPr>
          <w:p w14:paraId="5C7C75D6" w14:textId="77777777" w:rsidR="0008009C" w:rsidRDefault="0008009C">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75D7" w14:textId="77777777" w:rsidR="0008009C" w:rsidRDefault="00936FDF">
            <w:pPr>
              <w:jc w:val="center"/>
              <w:textAlignment w:val="bottom"/>
            </w:pPr>
            <w:r>
              <w:rPr>
                <w:rFonts w:ascii="Arial" w:eastAsia="宋体" w:hAnsi="Arial" w:cs="Arial"/>
                <w:color w:val="0068B5"/>
                <w:sz w:val="18"/>
                <w:szCs w:val="18"/>
              </w:rPr>
              <w:t>Capital Expenditures $B</w:t>
            </w:r>
          </w:p>
        </w:tc>
        <w:tc>
          <w:tcPr>
            <w:tcW w:w="0" w:type="auto"/>
            <w:gridSpan w:val="3"/>
            <w:shd w:val="clear" w:color="auto" w:fill="auto"/>
            <w:tcMar>
              <w:top w:w="0" w:type="dxa"/>
              <w:left w:w="20" w:type="dxa"/>
              <w:bottom w:w="0" w:type="dxa"/>
              <w:right w:w="20" w:type="dxa"/>
            </w:tcMar>
          </w:tcPr>
          <w:p w14:paraId="5C7C75D8" w14:textId="77777777" w:rsidR="0008009C" w:rsidRDefault="0008009C">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5C7C75D9" w14:textId="77777777" w:rsidR="0008009C" w:rsidRDefault="00936FDF">
            <w:pPr>
              <w:jc w:val="center"/>
              <w:textAlignment w:val="bottom"/>
            </w:pPr>
            <w:r>
              <w:rPr>
                <w:rFonts w:ascii="Arial" w:eastAsia="宋体" w:hAnsi="Arial" w:cs="Arial"/>
                <w:color w:val="0068B5"/>
                <w:sz w:val="18"/>
                <w:szCs w:val="18"/>
              </w:rPr>
              <w:t>Cash to Stockholders $B</w:t>
            </w:r>
          </w:p>
        </w:tc>
      </w:tr>
    </w:tbl>
    <w:p w14:paraId="5C7C75DB"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66" wp14:editId="5C7C7D67">
            <wp:extent cx="304800" cy="304800"/>
            <wp:effectExtent l="0" t="0" r="0" b="0"/>
            <wp:docPr id="59" name="图片 117"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17" descr="IMG_30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Viewer7_files/intc-20210</w:instrText>
      </w:r>
      <w:r>
        <w:rPr>
          <w:rFonts w:ascii="宋体" w:eastAsia="宋体" w:hAnsi="宋体" w:cs="宋体"/>
        </w:rPr>
        <w:instrText xml:space="preserve">327_g22.jpg"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68" wp14:editId="5C7C7D69">
            <wp:extent cx="304800" cy="304800"/>
            <wp:effectExtent l="0" t="0" r="0" b="0"/>
            <wp:docPr id="60" name="图片 118"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18" descr="IMG_30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6A" wp14:editId="5C7C7D6B">
            <wp:extent cx="304800" cy="304800"/>
            <wp:effectExtent l="0" t="0" r="0" b="0"/>
            <wp:docPr id="61" name="图片 119"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19" descr="IMG_30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95" w:type="dxa"/>
        <w:tblCellMar>
          <w:top w:w="15" w:type="dxa"/>
          <w:left w:w="15" w:type="dxa"/>
          <w:bottom w:w="15" w:type="dxa"/>
          <w:right w:w="15" w:type="dxa"/>
        </w:tblCellMar>
        <w:tblLook w:val="04A0" w:firstRow="1" w:lastRow="0" w:firstColumn="1" w:lastColumn="0" w:noHBand="0" w:noVBand="1"/>
      </w:tblPr>
      <w:tblGrid>
        <w:gridCol w:w="36"/>
        <w:gridCol w:w="3488"/>
        <w:gridCol w:w="36"/>
        <w:gridCol w:w="36"/>
        <w:gridCol w:w="65"/>
        <w:gridCol w:w="36"/>
        <w:gridCol w:w="36"/>
        <w:gridCol w:w="3489"/>
        <w:gridCol w:w="36"/>
        <w:gridCol w:w="36"/>
        <w:gridCol w:w="94"/>
        <w:gridCol w:w="36"/>
        <w:gridCol w:w="36"/>
        <w:gridCol w:w="3499"/>
        <w:gridCol w:w="36"/>
      </w:tblGrid>
      <w:tr w:rsidR="0008009C" w14:paraId="5C7C75EB" w14:textId="77777777">
        <w:tc>
          <w:tcPr>
            <w:tcW w:w="20" w:type="dxa"/>
            <w:shd w:val="clear" w:color="auto" w:fill="auto"/>
          </w:tcPr>
          <w:p w14:paraId="5C7C75DC" w14:textId="77777777" w:rsidR="0008009C" w:rsidRDefault="0008009C">
            <w:pPr>
              <w:rPr>
                <w:rFonts w:ascii="宋体"/>
              </w:rPr>
            </w:pPr>
          </w:p>
        </w:tc>
        <w:tc>
          <w:tcPr>
            <w:tcW w:w="3545" w:type="dxa"/>
            <w:shd w:val="clear" w:color="auto" w:fill="auto"/>
          </w:tcPr>
          <w:p w14:paraId="5C7C75DD" w14:textId="77777777" w:rsidR="0008009C" w:rsidRDefault="0008009C">
            <w:pPr>
              <w:rPr>
                <w:rFonts w:ascii="宋体"/>
              </w:rPr>
            </w:pPr>
          </w:p>
        </w:tc>
        <w:tc>
          <w:tcPr>
            <w:tcW w:w="20" w:type="dxa"/>
            <w:shd w:val="clear" w:color="auto" w:fill="auto"/>
          </w:tcPr>
          <w:p w14:paraId="5C7C75DE" w14:textId="77777777" w:rsidR="0008009C" w:rsidRDefault="0008009C">
            <w:pPr>
              <w:rPr>
                <w:rFonts w:ascii="宋体"/>
              </w:rPr>
            </w:pPr>
          </w:p>
        </w:tc>
        <w:tc>
          <w:tcPr>
            <w:tcW w:w="20" w:type="dxa"/>
            <w:shd w:val="clear" w:color="auto" w:fill="auto"/>
          </w:tcPr>
          <w:p w14:paraId="5C7C75DF" w14:textId="77777777" w:rsidR="0008009C" w:rsidRDefault="0008009C">
            <w:pPr>
              <w:rPr>
                <w:rFonts w:ascii="宋体"/>
              </w:rPr>
            </w:pPr>
          </w:p>
        </w:tc>
        <w:tc>
          <w:tcPr>
            <w:tcW w:w="65" w:type="dxa"/>
            <w:shd w:val="clear" w:color="auto" w:fill="auto"/>
          </w:tcPr>
          <w:p w14:paraId="5C7C75E0" w14:textId="77777777" w:rsidR="0008009C" w:rsidRDefault="0008009C">
            <w:pPr>
              <w:rPr>
                <w:rFonts w:ascii="宋体"/>
              </w:rPr>
            </w:pPr>
          </w:p>
        </w:tc>
        <w:tc>
          <w:tcPr>
            <w:tcW w:w="20" w:type="dxa"/>
            <w:shd w:val="clear" w:color="auto" w:fill="auto"/>
          </w:tcPr>
          <w:p w14:paraId="5C7C75E1" w14:textId="77777777" w:rsidR="0008009C" w:rsidRDefault="0008009C">
            <w:pPr>
              <w:rPr>
                <w:rFonts w:ascii="宋体"/>
              </w:rPr>
            </w:pPr>
          </w:p>
        </w:tc>
        <w:tc>
          <w:tcPr>
            <w:tcW w:w="20" w:type="dxa"/>
            <w:shd w:val="clear" w:color="auto" w:fill="auto"/>
          </w:tcPr>
          <w:p w14:paraId="5C7C75E2" w14:textId="77777777" w:rsidR="0008009C" w:rsidRDefault="0008009C">
            <w:pPr>
              <w:rPr>
                <w:rFonts w:ascii="宋体"/>
              </w:rPr>
            </w:pPr>
          </w:p>
        </w:tc>
        <w:tc>
          <w:tcPr>
            <w:tcW w:w="3545" w:type="dxa"/>
            <w:shd w:val="clear" w:color="auto" w:fill="auto"/>
          </w:tcPr>
          <w:p w14:paraId="5C7C75E3" w14:textId="77777777" w:rsidR="0008009C" w:rsidRDefault="0008009C">
            <w:pPr>
              <w:rPr>
                <w:rFonts w:ascii="宋体"/>
              </w:rPr>
            </w:pPr>
          </w:p>
        </w:tc>
        <w:tc>
          <w:tcPr>
            <w:tcW w:w="20" w:type="dxa"/>
            <w:shd w:val="clear" w:color="auto" w:fill="auto"/>
          </w:tcPr>
          <w:p w14:paraId="5C7C75E4" w14:textId="77777777" w:rsidR="0008009C" w:rsidRDefault="0008009C">
            <w:pPr>
              <w:rPr>
                <w:rFonts w:ascii="宋体"/>
              </w:rPr>
            </w:pPr>
          </w:p>
        </w:tc>
        <w:tc>
          <w:tcPr>
            <w:tcW w:w="20" w:type="dxa"/>
            <w:shd w:val="clear" w:color="auto" w:fill="auto"/>
          </w:tcPr>
          <w:p w14:paraId="5C7C75E5" w14:textId="77777777" w:rsidR="0008009C" w:rsidRDefault="0008009C">
            <w:pPr>
              <w:rPr>
                <w:rFonts w:ascii="宋体"/>
              </w:rPr>
            </w:pPr>
          </w:p>
        </w:tc>
        <w:tc>
          <w:tcPr>
            <w:tcW w:w="95" w:type="dxa"/>
            <w:shd w:val="clear" w:color="auto" w:fill="auto"/>
          </w:tcPr>
          <w:p w14:paraId="5C7C75E6" w14:textId="77777777" w:rsidR="0008009C" w:rsidRDefault="0008009C">
            <w:pPr>
              <w:rPr>
                <w:rFonts w:ascii="宋体"/>
              </w:rPr>
            </w:pPr>
          </w:p>
        </w:tc>
        <w:tc>
          <w:tcPr>
            <w:tcW w:w="20" w:type="dxa"/>
            <w:shd w:val="clear" w:color="auto" w:fill="auto"/>
          </w:tcPr>
          <w:p w14:paraId="5C7C75E7" w14:textId="77777777" w:rsidR="0008009C" w:rsidRDefault="0008009C">
            <w:pPr>
              <w:rPr>
                <w:rFonts w:ascii="宋体"/>
              </w:rPr>
            </w:pPr>
          </w:p>
        </w:tc>
        <w:tc>
          <w:tcPr>
            <w:tcW w:w="20" w:type="dxa"/>
            <w:shd w:val="clear" w:color="auto" w:fill="auto"/>
          </w:tcPr>
          <w:p w14:paraId="5C7C75E8" w14:textId="77777777" w:rsidR="0008009C" w:rsidRDefault="0008009C">
            <w:pPr>
              <w:rPr>
                <w:rFonts w:ascii="宋体"/>
              </w:rPr>
            </w:pPr>
          </w:p>
        </w:tc>
        <w:tc>
          <w:tcPr>
            <w:tcW w:w="3545" w:type="dxa"/>
            <w:shd w:val="clear" w:color="auto" w:fill="auto"/>
          </w:tcPr>
          <w:p w14:paraId="5C7C75E9" w14:textId="77777777" w:rsidR="0008009C" w:rsidRDefault="0008009C">
            <w:pPr>
              <w:rPr>
                <w:rFonts w:ascii="宋体"/>
              </w:rPr>
            </w:pPr>
          </w:p>
        </w:tc>
        <w:tc>
          <w:tcPr>
            <w:tcW w:w="20" w:type="dxa"/>
            <w:shd w:val="clear" w:color="auto" w:fill="auto"/>
          </w:tcPr>
          <w:p w14:paraId="5C7C75EA" w14:textId="77777777" w:rsidR="0008009C" w:rsidRDefault="0008009C">
            <w:pPr>
              <w:rPr>
                <w:rFonts w:ascii="宋体"/>
              </w:rPr>
            </w:pPr>
          </w:p>
        </w:tc>
      </w:tr>
      <w:tr w:rsidR="0008009C" w14:paraId="5C7C75F1" w14:textId="77777777">
        <w:trPr>
          <w:trHeight w:val="240"/>
        </w:trPr>
        <w:tc>
          <w:tcPr>
            <w:tcW w:w="0" w:type="auto"/>
            <w:gridSpan w:val="3"/>
            <w:shd w:val="clear" w:color="auto" w:fill="auto"/>
            <w:tcMar>
              <w:top w:w="0" w:type="dxa"/>
              <w:left w:w="20" w:type="dxa"/>
              <w:bottom w:w="0" w:type="dxa"/>
              <w:right w:w="20" w:type="dxa"/>
            </w:tcMar>
          </w:tcPr>
          <w:p w14:paraId="5C7C75E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5E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5E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5E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center"/>
          </w:tcPr>
          <w:p w14:paraId="5C7C75F0" w14:textId="77777777" w:rsidR="0008009C" w:rsidRDefault="00936FDF">
            <w:pPr>
              <w:jc w:val="center"/>
              <w:textAlignment w:val="center"/>
            </w:pPr>
            <w:r>
              <w:rPr>
                <w:rFonts w:ascii="Arial" w:eastAsia="宋体" w:hAnsi="Arial" w:cs="Arial"/>
                <w:color w:val="004A86"/>
                <w:sz w:val="16"/>
                <w:szCs w:val="16"/>
              </w:rPr>
              <w:t>■</w:t>
            </w:r>
            <w:r>
              <w:rPr>
                <w:rFonts w:ascii="Arial" w:eastAsia="宋体" w:hAnsi="Arial" w:cs="Arial"/>
                <w:color w:val="262626"/>
                <w:sz w:val="16"/>
                <w:szCs w:val="16"/>
              </w:rPr>
              <w:t xml:space="preserve"> Dividends </w:t>
            </w:r>
            <w:r>
              <w:rPr>
                <w:rFonts w:ascii="Arial" w:eastAsia="宋体" w:hAnsi="Arial" w:cs="Arial"/>
                <w:color w:val="00A3F6"/>
                <w:sz w:val="16"/>
                <w:szCs w:val="16"/>
              </w:rPr>
              <w:t>■</w:t>
            </w:r>
            <w:r>
              <w:rPr>
                <w:rFonts w:ascii="Arial" w:eastAsia="宋体" w:hAnsi="Arial" w:cs="Arial"/>
                <w:color w:val="262626"/>
                <w:sz w:val="16"/>
                <w:szCs w:val="16"/>
              </w:rPr>
              <w:t xml:space="preserve"> Buybacks</w:t>
            </w:r>
          </w:p>
        </w:tc>
      </w:tr>
    </w:tbl>
    <w:p w14:paraId="5C7C75F2"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08009C" w14:paraId="5C7C7602" w14:textId="77777777">
        <w:tc>
          <w:tcPr>
            <w:tcW w:w="50" w:type="pct"/>
            <w:shd w:val="clear" w:color="auto" w:fill="auto"/>
          </w:tcPr>
          <w:p w14:paraId="5C7C75F3" w14:textId="77777777" w:rsidR="0008009C" w:rsidRDefault="0008009C">
            <w:pPr>
              <w:rPr>
                <w:rFonts w:ascii="宋体"/>
              </w:rPr>
            </w:pPr>
          </w:p>
        </w:tc>
        <w:tc>
          <w:tcPr>
            <w:tcW w:w="3688" w:type="pct"/>
            <w:shd w:val="clear" w:color="auto" w:fill="auto"/>
          </w:tcPr>
          <w:p w14:paraId="5C7C75F4" w14:textId="77777777" w:rsidR="0008009C" w:rsidRDefault="0008009C">
            <w:pPr>
              <w:rPr>
                <w:rFonts w:ascii="宋体"/>
              </w:rPr>
            </w:pPr>
          </w:p>
        </w:tc>
        <w:tc>
          <w:tcPr>
            <w:tcW w:w="5" w:type="pct"/>
            <w:shd w:val="clear" w:color="auto" w:fill="auto"/>
          </w:tcPr>
          <w:p w14:paraId="5C7C75F5" w14:textId="77777777" w:rsidR="0008009C" w:rsidRDefault="0008009C">
            <w:pPr>
              <w:rPr>
                <w:rFonts w:ascii="宋体"/>
              </w:rPr>
            </w:pPr>
          </w:p>
        </w:tc>
        <w:tc>
          <w:tcPr>
            <w:tcW w:w="5" w:type="pct"/>
            <w:shd w:val="clear" w:color="auto" w:fill="auto"/>
          </w:tcPr>
          <w:p w14:paraId="5C7C75F6" w14:textId="77777777" w:rsidR="0008009C" w:rsidRDefault="0008009C">
            <w:pPr>
              <w:rPr>
                <w:rFonts w:ascii="宋体"/>
              </w:rPr>
            </w:pPr>
          </w:p>
        </w:tc>
        <w:tc>
          <w:tcPr>
            <w:tcW w:w="24" w:type="pct"/>
            <w:shd w:val="clear" w:color="auto" w:fill="auto"/>
          </w:tcPr>
          <w:p w14:paraId="5C7C75F7" w14:textId="77777777" w:rsidR="0008009C" w:rsidRDefault="0008009C">
            <w:pPr>
              <w:rPr>
                <w:rFonts w:ascii="宋体"/>
              </w:rPr>
            </w:pPr>
          </w:p>
        </w:tc>
        <w:tc>
          <w:tcPr>
            <w:tcW w:w="5" w:type="pct"/>
            <w:shd w:val="clear" w:color="auto" w:fill="auto"/>
          </w:tcPr>
          <w:p w14:paraId="5C7C75F8" w14:textId="77777777" w:rsidR="0008009C" w:rsidRDefault="0008009C">
            <w:pPr>
              <w:rPr>
                <w:rFonts w:ascii="宋体"/>
              </w:rPr>
            </w:pPr>
          </w:p>
        </w:tc>
        <w:tc>
          <w:tcPr>
            <w:tcW w:w="50" w:type="pct"/>
            <w:shd w:val="clear" w:color="auto" w:fill="auto"/>
          </w:tcPr>
          <w:p w14:paraId="5C7C75F9" w14:textId="77777777" w:rsidR="0008009C" w:rsidRDefault="0008009C">
            <w:pPr>
              <w:rPr>
                <w:rFonts w:ascii="宋体"/>
              </w:rPr>
            </w:pPr>
          </w:p>
        </w:tc>
        <w:tc>
          <w:tcPr>
            <w:tcW w:w="539" w:type="pct"/>
            <w:shd w:val="clear" w:color="auto" w:fill="auto"/>
          </w:tcPr>
          <w:p w14:paraId="5C7C75FA" w14:textId="77777777" w:rsidR="0008009C" w:rsidRDefault="0008009C">
            <w:pPr>
              <w:rPr>
                <w:rFonts w:ascii="宋体"/>
              </w:rPr>
            </w:pPr>
          </w:p>
        </w:tc>
        <w:tc>
          <w:tcPr>
            <w:tcW w:w="5" w:type="pct"/>
            <w:shd w:val="clear" w:color="auto" w:fill="auto"/>
          </w:tcPr>
          <w:p w14:paraId="5C7C75FB" w14:textId="77777777" w:rsidR="0008009C" w:rsidRDefault="0008009C">
            <w:pPr>
              <w:rPr>
                <w:rFonts w:ascii="宋体"/>
              </w:rPr>
            </w:pPr>
          </w:p>
        </w:tc>
        <w:tc>
          <w:tcPr>
            <w:tcW w:w="5" w:type="pct"/>
            <w:shd w:val="clear" w:color="auto" w:fill="auto"/>
          </w:tcPr>
          <w:p w14:paraId="5C7C75FC" w14:textId="77777777" w:rsidR="0008009C" w:rsidRDefault="0008009C">
            <w:pPr>
              <w:rPr>
                <w:rFonts w:ascii="宋体"/>
              </w:rPr>
            </w:pPr>
          </w:p>
        </w:tc>
        <w:tc>
          <w:tcPr>
            <w:tcW w:w="24" w:type="pct"/>
            <w:shd w:val="clear" w:color="auto" w:fill="auto"/>
          </w:tcPr>
          <w:p w14:paraId="5C7C75FD" w14:textId="77777777" w:rsidR="0008009C" w:rsidRDefault="0008009C">
            <w:pPr>
              <w:rPr>
                <w:rFonts w:ascii="宋体"/>
              </w:rPr>
            </w:pPr>
          </w:p>
        </w:tc>
        <w:tc>
          <w:tcPr>
            <w:tcW w:w="5" w:type="pct"/>
            <w:shd w:val="clear" w:color="auto" w:fill="auto"/>
          </w:tcPr>
          <w:p w14:paraId="5C7C75FE" w14:textId="77777777" w:rsidR="0008009C" w:rsidRDefault="0008009C">
            <w:pPr>
              <w:rPr>
                <w:rFonts w:ascii="宋体"/>
              </w:rPr>
            </w:pPr>
          </w:p>
        </w:tc>
        <w:tc>
          <w:tcPr>
            <w:tcW w:w="50" w:type="pct"/>
            <w:shd w:val="clear" w:color="auto" w:fill="auto"/>
          </w:tcPr>
          <w:p w14:paraId="5C7C75FF" w14:textId="77777777" w:rsidR="0008009C" w:rsidRDefault="0008009C">
            <w:pPr>
              <w:rPr>
                <w:rFonts w:ascii="宋体"/>
              </w:rPr>
            </w:pPr>
          </w:p>
        </w:tc>
        <w:tc>
          <w:tcPr>
            <w:tcW w:w="539" w:type="pct"/>
            <w:shd w:val="clear" w:color="auto" w:fill="auto"/>
          </w:tcPr>
          <w:p w14:paraId="5C7C7600" w14:textId="77777777" w:rsidR="0008009C" w:rsidRDefault="0008009C">
            <w:pPr>
              <w:rPr>
                <w:rFonts w:ascii="宋体"/>
              </w:rPr>
            </w:pPr>
          </w:p>
        </w:tc>
        <w:tc>
          <w:tcPr>
            <w:tcW w:w="5" w:type="pct"/>
            <w:shd w:val="clear" w:color="auto" w:fill="auto"/>
          </w:tcPr>
          <w:p w14:paraId="5C7C7601" w14:textId="77777777" w:rsidR="0008009C" w:rsidRDefault="0008009C">
            <w:pPr>
              <w:rPr>
                <w:rFonts w:ascii="宋体"/>
              </w:rPr>
            </w:pPr>
          </w:p>
        </w:tc>
      </w:tr>
      <w:tr w:rsidR="0008009C" w14:paraId="5C7C7606" w14:textId="77777777">
        <w:tc>
          <w:tcPr>
            <w:tcW w:w="0" w:type="auto"/>
            <w:gridSpan w:val="3"/>
            <w:shd w:val="clear" w:color="auto" w:fill="auto"/>
            <w:tcMar>
              <w:top w:w="0" w:type="dxa"/>
              <w:left w:w="20" w:type="dxa"/>
              <w:bottom w:w="0" w:type="dxa"/>
              <w:right w:w="20" w:type="dxa"/>
            </w:tcMar>
          </w:tcPr>
          <w:p w14:paraId="5C7C760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604"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bottom"/>
          </w:tcPr>
          <w:p w14:paraId="5C7C7605" w14:textId="77777777" w:rsidR="0008009C" w:rsidRDefault="00936FDF">
            <w:pPr>
              <w:jc w:val="center"/>
              <w:textAlignment w:val="bottom"/>
            </w:pPr>
            <w:r>
              <w:rPr>
                <w:rFonts w:ascii="Arial" w:eastAsia="宋体" w:hAnsi="Arial" w:cs="Arial"/>
                <w:b/>
                <w:bCs/>
                <w:color w:val="262626"/>
                <w:sz w:val="18"/>
                <w:szCs w:val="18"/>
              </w:rPr>
              <w:t xml:space="preserve">Three </w:t>
            </w:r>
            <w:r>
              <w:rPr>
                <w:rFonts w:ascii="Arial" w:eastAsia="宋体" w:hAnsi="Arial" w:cs="Arial"/>
                <w:b/>
                <w:bCs/>
                <w:color w:val="262626"/>
                <w:sz w:val="18"/>
                <w:szCs w:val="18"/>
              </w:rPr>
              <w:t>Months Ended</w:t>
            </w:r>
          </w:p>
        </w:tc>
      </w:tr>
      <w:tr w:rsidR="0008009C" w14:paraId="5C7C760C" w14:textId="77777777">
        <w:tc>
          <w:tcPr>
            <w:tcW w:w="0" w:type="auto"/>
            <w:gridSpan w:val="3"/>
            <w:shd w:val="clear" w:color="auto" w:fill="auto"/>
            <w:tcMar>
              <w:top w:w="40" w:type="dxa"/>
              <w:left w:w="20" w:type="dxa"/>
              <w:bottom w:w="40" w:type="dxa"/>
              <w:right w:w="20" w:type="dxa"/>
            </w:tcMar>
            <w:vAlign w:val="bottom"/>
          </w:tcPr>
          <w:p w14:paraId="5C7C7607" w14:textId="77777777" w:rsidR="0008009C" w:rsidRDefault="00936FDF">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7608"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609"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tcBorders>
              <w:top w:val="single" w:sz="8" w:space="0" w:color="0068B5"/>
            </w:tcBorders>
            <w:shd w:val="clear" w:color="auto" w:fill="auto"/>
            <w:tcMar>
              <w:top w:w="0" w:type="dxa"/>
              <w:left w:w="20" w:type="dxa"/>
              <w:bottom w:w="0" w:type="dxa"/>
              <w:right w:w="20" w:type="dxa"/>
            </w:tcMar>
          </w:tcPr>
          <w:p w14:paraId="5C7C760A"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60B" w14:textId="77777777" w:rsidR="0008009C" w:rsidRDefault="00936FDF">
            <w:pPr>
              <w:jc w:val="center"/>
              <w:textAlignment w:val="bottom"/>
            </w:pPr>
            <w:r>
              <w:rPr>
                <w:rFonts w:ascii="Arial" w:eastAsia="宋体" w:hAnsi="Arial" w:cs="Arial"/>
                <w:b/>
                <w:bCs/>
                <w:color w:val="262626"/>
                <w:sz w:val="18"/>
                <w:szCs w:val="18"/>
              </w:rPr>
              <w:t>Mar 28, 2020</w:t>
            </w:r>
          </w:p>
        </w:tc>
      </w:tr>
      <w:tr w:rsidR="0008009C" w14:paraId="5C7C7616"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760D" w14:textId="77777777" w:rsidR="0008009C" w:rsidRDefault="00936FDF">
            <w:pPr>
              <w:textAlignment w:val="top"/>
            </w:pPr>
            <w:r>
              <w:rPr>
                <w:rFonts w:ascii="Arial" w:eastAsia="宋体" w:hAnsi="Arial" w:cs="Arial"/>
                <w:color w:val="262626"/>
                <w:sz w:val="18"/>
                <w:szCs w:val="18"/>
              </w:rPr>
              <w:t>Net cash provided by operating activities</w:t>
            </w:r>
          </w:p>
        </w:tc>
        <w:tc>
          <w:tcPr>
            <w:tcW w:w="0" w:type="auto"/>
            <w:gridSpan w:val="3"/>
            <w:shd w:val="clear" w:color="auto" w:fill="auto"/>
            <w:tcMar>
              <w:top w:w="0" w:type="dxa"/>
              <w:left w:w="20" w:type="dxa"/>
              <w:bottom w:w="0" w:type="dxa"/>
              <w:right w:w="20" w:type="dxa"/>
            </w:tcMar>
          </w:tcPr>
          <w:p w14:paraId="5C7C760E"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760F"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610" w14:textId="77777777" w:rsidR="0008009C" w:rsidRDefault="00936FDF">
            <w:pPr>
              <w:jc w:val="right"/>
              <w:textAlignment w:val="bottom"/>
            </w:pPr>
            <w:r>
              <w:rPr>
                <w:rFonts w:ascii="Arial" w:eastAsia="宋体" w:hAnsi="Arial" w:cs="Arial"/>
                <w:color w:val="0068B5"/>
                <w:sz w:val="18"/>
                <w:szCs w:val="18"/>
              </w:rPr>
              <w:t>5,548 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61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612"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7613" w14:textId="77777777" w:rsidR="0008009C" w:rsidRDefault="00936FDF">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614" w14:textId="77777777" w:rsidR="0008009C" w:rsidRDefault="00936FDF">
            <w:pPr>
              <w:jc w:val="right"/>
              <w:textAlignment w:val="bottom"/>
            </w:pPr>
            <w:r>
              <w:rPr>
                <w:rFonts w:ascii="Arial" w:eastAsia="宋体" w:hAnsi="Arial" w:cs="Arial"/>
                <w:color w:val="262626"/>
                <w:sz w:val="18"/>
                <w:szCs w:val="18"/>
              </w:rPr>
              <w:t>6,158 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615" w14:textId="77777777" w:rsidR="0008009C" w:rsidRDefault="0008009C">
            <w:pPr>
              <w:jc w:val="right"/>
              <w:rPr>
                <w:rFonts w:ascii="宋体"/>
              </w:rPr>
            </w:pPr>
          </w:p>
        </w:tc>
      </w:tr>
      <w:tr w:rsidR="0008009C" w14:paraId="5C7C761E" w14:textId="77777777">
        <w:tc>
          <w:tcPr>
            <w:tcW w:w="0" w:type="auto"/>
            <w:gridSpan w:val="3"/>
            <w:shd w:val="clear" w:color="auto" w:fill="auto"/>
            <w:tcMar>
              <w:top w:w="40" w:type="dxa"/>
              <w:left w:w="20" w:type="dxa"/>
              <w:bottom w:w="40" w:type="dxa"/>
              <w:right w:w="20" w:type="dxa"/>
            </w:tcMar>
          </w:tcPr>
          <w:p w14:paraId="5C7C7617" w14:textId="77777777" w:rsidR="0008009C" w:rsidRDefault="00936FDF">
            <w:pPr>
              <w:ind w:hanging="180"/>
              <w:textAlignment w:val="top"/>
            </w:pPr>
            <w:r>
              <w:rPr>
                <w:rFonts w:ascii="Arial" w:eastAsia="宋体" w:hAnsi="Arial" w:cs="Arial"/>
                <w:color w:val="262626"/>
                <w:sz w:val="18"/>
                <w:szCs w:val="18"/>
              </w:rPr>
              <w:t>Net cash used for investing activities</w:t>
            </w:r>
          </w:p>
        </w:tc>
        <w:tc>
          <w:tcPr>
            <w:tcW w:w="0" w:type="auto"/>
            <w:gridSpan w:val="3"/>
            <w:shd w:val="clear" w:color="auto" w:fill="auto"/>
            <w:tcMar>
              <w:top w:w="0" w:type="dxa"/>
              <w:left w:w="20" w:type="dxa"/>
              <w:bottom w:w="0" w:type="dxa"/>
              <w:right w:w="20" w:type="dxa"/>
            </w:tcMar>
          </w:tcPr>
          <w:p w14:paraId="5C7C761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619" w14:textId="77777777" w:rsidR="0008009C" w:rsidRDefault="00936FDF">
            <w:pPr>
              <w:jc w:val="right"/>
              <w:textAlignment w:val="bottom"/>
            </w:pPr>
            <w:r>
              <w:rPr>
                <w:rFonts w:ascii="Arial" w:eastAsia="宋体" w:hAnsi="Arial" w:cs="Arial"/>
                <w:color w:val="0068B5"/>
                <w:sz w:val="18"/>
                <w:szCs w:val="18"/>
              </w:rPr>
              <w:t>(2,547)</w:t>
            </w:r>
          </w:p>
        </w:tc>
        <w:tc>
          <w:tcPr>
            <w:tcW w:w="0" w:type="auto"/>
            <w:shd w:val="clear" w:color="auto" w:fill="auto"/>
            <w:tcMar>
              <w:top w:w="40" w:type="dxa"/>
              <w:left w:w="0" w:type="dxa"/>
              <w:bottom w:w="40" w:type="dxa"/>
              <w:right w:w="20" w:type="dxa"/>
            </w:tcMar>
            <w:vAlign w:val="bottom"/>
          </w:tcPr>
          <w:p w14:paraId="5C7C761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61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61C" w14:textId="77777777" w:rsidR="0008009C" w:rsidRDefault="00936FDF">
            <w:pPr>
              <w:jc w:val="right"/>
              <w:textAlignment w:val="bottom"/>
            </w:pPr>
            <w:r>
              <w:rPr>
                <w:rFonts w:ascii="Arial" w:eastAsia="宋体" w:hAnsi="Arial" w:cs="Arial"/>
                <w:color w:val="262626"/>
                <w:sz w:val="18"/>
                <w:szCs w:val="18"/>
              </w:rPr>
              <w:t>(3,736)</w:t>
            </w:r>
          </w:p>
        </w:tc>
        <w:tc>
          <w:tcPr>
            <w:tcW w:w="0" w:type="auto"/>
            <w:shd w:val="clear" w:color="auto" w:fill="auto"/>
            <w:tcMar>
              <w:top w:w="40" w:type="dxa"/>
              <w:left w:w="0" w:type="dxa"/>
              <w:bottom w:w="40" w:type="dxa"/>
              <w:right w:w="20" w:type="dxa"/>
            </w:tcMar>
            <w:vAlign w:val="bottom"/>
          </w:tcPr>
          <w:p w14:paraId="5C7C761D" w14:textId="77777777" w:rsidR="0008009C" w:rsidRDefault="0008009C">
            <w:pPr>
              <w:jc w:val="right"/>
              <w:rPr>
                <w:rFonts w:ascii="宋体"/>
              </w:rPr>
            </w:pPr>
          </w:p>
        </w:tc>
      </w:tr>
      <w:tr w:rsidR="0008009C" w14:paraId="5C7C7626" w14:textId="77777777">
        <w:tc>
          <w:tcPr>
            <w:tcW w:w="0" w:type="auto"/>
            <w:gridSpan w:val="3"/>
            <w:shd w:val="clear" w:color="auto" w:fill="auto"/>
            <w:tcMar>
              <w:top w:w="40" w:type="dxa"/>
              <w:left w:w="20" w:type="dxa"/>
              <w:bottom w:w="40" w:type="dxa"/>
              <w:right w:w="20" w:type="dxa"/>
            </w:tcMar>
          </w:tcPr>
          <w:p w14:paraId="5C7C761F" w14:textId="77777777" w:rsidR="0008009C" w:rsidRDefault="00936FDF">
            <w:pPr>
              <w:ind w:hanging="180"/>
              <w:textAlignment w:val="top"/>
            </w:pPr>
            <w:r>
              <w:rPr>
                <w:rFonts w:ascii="Arial" w:eastAsia="宋体" w:hAnsi="Arial" w:cs="Arial"/>
                <w:color w:val="262626"/>
                <w:sz w:val="18"/>
                <w:szCs w:val="18"/>
              </w:rPr>
              <w:t>Net cash provided by (used for) financing activities</w:t>
            </w:r>
          </w:p>
        </w:tc>
        <w:tc>
          <w:tcPr>
            <w:tcW w:w="0" w:type="auto"/>
            <w:gridSpan w:val="3"/>
            <w:shd w:val="clear" w:color="auto" w:fill="auto"/>
            <w:tcMar>
              <w:top w:w="0" w:type="dxa"/>
              <w:left w:w="20" w:type="dxa"/>
              <w:bottom w:w="0" w:type="dxa"/>
              <w:right w:w="20" w:type="dxa"/>
            </w:tcMar>
          </w:tcPr>
          <w:p w14:paraId="5C7C762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621" w14:textId="77777777" w:rsidR="0008009C" w:rsidRDefault="00936FDF">
            <w:pPr>
              <w:jc w:val="right"/>
              <w:textAlignment w:val="bottom"/>
            </w:pPr>
            <w:r>
              <w:rPr>
                <w:rFonts w:ascii="Arial" w:eastAsia="宋体" w:hAnsi="Arial" w:cs="Arial"/>
                <w:color w:val="0068B5"/>
                <w:sz w:val="18"/>
                <w:szCs w:val="18"/>
              </w:rPr>
              <w:t>(3,674)</w:t>
            </w:r>
          </w:p>
        </w:tc>
        <w:tc>
          <w:tcPr>
            <w:tcW w:w="0" w:type="auto"/>
            <w:shd w:val="clear" w:color="auto" w:fill="auto"/>
            <w:tcMar>
              <w:top w:w="40" w:type="dxa"/>
              <w:left w:w="0" w:type="dxa"/>
              <w:bottom w:w="40" w:type="dxa"/>
              <w:right w:w="20" w:type="dxa"/>
            </w:tcMar>
            <w:vAlign w:val="bottom"/>
          </w:tcPr>
          <w:p w14:paraId="5C7C762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62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624" w14:textId="77777777" w:rsidR="0008009C" w:rsidRDefault="00936FDF">
            <w:pPr>
              <w:jc w:val="right"/>
              <w:textAlignment w:val="bottom"/>
            </w:pPr>
            <w:r>
              <w:rPr>
                <w:rFonts w:ascii="Arial" w:eastAsia="宋体" w:hAnsi="Arial" w:cs="Arial"/>
                <w:color w:val="262626"/>
                <w:sz w:val="18"/>
                <w:szCs w:val="18"/>
              </w:rPr>
              <w:t>4,764 </w:t>
            </w:r>
          </w:p>
        </w:tc>
        <w:tc>
          <w:tcPr>
            <w:tcW w:w="0" w:type="auto"/>
            <w:shd w:val="clear" w:color="auto" w:fill="auto"/>
            <w:tcMar>
              <w:top w:w="40" w:type="dxa"/>
              <w:left w:w="0" w:type="dxa"/>
              <w:bottom w:w="40" w:type="dxa"/>
              <w:right w:w="20" w:type="dxa"/>
            </w:tcMar>
            <w:vAlign w:val="bottom"/>
          </w:tcPr>
          <w:p w14:paraId="5C7C7625" w14:textId="77777777" w:rsidR="0008009C" w:rsidRDefault="0008009C">
            <w:pPr>
              <w:jc w:val="right"/>
              <w:rPr>
                <w:rFonts w:ascii="宋体"/>
              </w:rPr>
            </w:pPr>
          </w:p>
        </w:tc>
      </w:tr>
      <w:tr w:rsidR="0008009C" w14:paraId="5C7C762C" w14:textId="77777777">
        <w:trPr>
          <w:hidden/>
        </w:trPr>
        <w:tc>
          <w:tcPr>
            <w:tcW w:w="0" w:type="auto"/>
            <w:gridSpan w:val="3"/>
            <w:shd w:val="clear" w:color="auto" w:fill="auto"/>
          </w:tcPr>
          <w:p w14:paraId="5C7C7627" w14:textId="77777777" w:rsidR="0008009C" w:rsidRDefault="0008009C">
            <w:pPr>
              <w:rPr>
                <w:rFonts w:ascii="宋体"/>
                <w:vanish/>
              </w:rPr>
            </w:pPr>
          </w:p>
        </w:tc>
        <w:tc>
          <w:tcPr>
            <w:tcW w:w="0" w:type="auto"/>
            <w:gridSpan w:val="3"/>
            <w:shd w:val="clear" w:color="auto" w:fill="auto"/>
          </w:tcPr>
          <w:p w14:paraId="5C7C7628" w14:textId="77777777" w:rsidR="0008009C" w:rsidRDefault="0008009C">
            <w:pPr>
              <w:rPr>
                <w:rFonts w:ascii="宋体"/>
                <w:vanish/>
              </w:rPr>
            </w:pPr>
          </w:p>
        </w:tc>
        <w:tc>
          <w:tcPr>
            <w:tcW w:w="0" w:type="auto"/>
            <w:gridSpan w:val="3"/>
            <w:shd w:val="clear" w:color="auto" w:fill="auto"/>
          </w:tcPr>
          <w:p w14:paraId="5C7C7629" w14:textId="77777777" w:rsidR="0008009C" w:rsidRDefault="0008009C">
            <w:pPr>
              <w:rPr>
                <w:rFonts w:ascii="宋体"/>
                <w:vanish/>
              </w:rPr>
            </w:pPr>
          </w:p>
        </w:tc>
        <w:tc>
          <w:tcPr>
            <w:tcW w:w="0" w:type="auto"/>
            <w:gridSpan w:val="3"/>
            <w:shd w:val="clear" w:color="auto" w:fill="auto"/>
          </w:tcPr>
          <w:p w14:paraId="5C7C762A" w14:textId="77777777" w:rsidR="0008009C" w:rsidRDefault="0008009C">
            <w:pPr>
              <w:rPr>
                <w:rFonts w:ascii="宋体"/>
                <w:vanish/>
              </w:rPr>
            </w:pPr>
          </w:p>
        </w:tc>
        <w:tc>
          <w:tcPr>
            <w:tcW w:w="0" w:type="auto"/>
            <w:gridSpan w:val="3"/>
            <w:shd w:val="clear" w:color="auto" w:fill="auto"/>
          </w:tcPr>
          <w:p w14:paraId="5C7C762B" w14:textId="77777777" w:rsidR="0008009C" w:rsidRDefault="0008009C">
            <w:pPr>
              <w:rPr>
                <w:rFonts w:ascii="宋体"/>
                <w:vanish/>
              </w:rPr>
            </w:pPr>
          </w:p>
        </w:tc>
      </w:tr>
      <w:tr w:rsidR="0008009C" w14:paraId="5C7C7636" w14:textId="77777777">
        <w:tc>
          <w:tcPr>
            <w:tcW w:w="0" w:type="auto"/>
            <w:gridSpan w:val="3"/>
            <w:shd w:val="clear" w:color="auto" w:fill="auto"/>
            <w:tcMar>
              <w:top w:w="40" w:type="dxa"/>
              <w:left w:w="20" w:type="dxa"/>
              <w:bottom w:w="40" w:type="dxa"/>
              <w:right w:w="20" w:type="dxa"/>
            </w:tcMar>
          </w:tcPr>
          <w:p w14:paraId="5C7C762D" w14:textId="77777777" w:rsidR="0008009C" w:rsidRDefault="00936FDF">
            <w:pPr>
              <w:textAlignment w:val="top"/>
            </w:pPr>
            <w:r>
              <w:rPr>
                <w:rFonts w:ascii="Arial" w:eastAsia="宋体" w:hAnsi="Arial" w:cs="Arial"/>
                <w:b/>
                <w:bCs/>
                <w:color w:val="262626"/>
                <w:sz w:val="18"/>
                <w:szCs w:val="18"/>
              </w:rPr>
              <w:t>Net increase (decrease) in cash and cash equivalents</w:t>
            </w:r>
          </w:p>
        </w:tc>
        <w:tc>
          <w:tcPr>
            <w:tcW w:w="0" w:type="auto"/>
            <w:gridSpan w:val="3"/>
            <w:shd w:val="clear" w:color="auto" w:fill="auto"/>
            <w:tcMar>
              <w:top w:w="0" w:type="dxa"/>
              <w:left w:w="20" w:type="dxa"/>
              <w:bottom w:w="0" w:type="dxa"/>
              <w:right w:w="20" w:type="dxa"/>
            </w:tcMar>
          </w:tcPr>
          <w:p w14:paraId="5C7C762E"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762F"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7630" w14:textId="77777777" w:rsidR="0008009C" w:rsidRDefault="00936FDF">
            <w:pPr>
              <w:jc w:val="right"/>
              <w:textAlignment w:val="bottom"/>
            </w:pPr>
            <w:r>
              <w:rPr>
                <w:rFonts w:ascii="Arial" w:eastAsia="宋体" w:hAnsi="Arial" w:cs="Arial"/>
                <w:b/>
                <w:bCs/>
                <w:color w:val="0068B5"/>
                <w:sz w:val="18"/>
                <w:szCs w:val="18"/>
              </w:rPr>
              <w:t>(673)</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763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632"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7633"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7634" w14:textId="77777777" w:rsidR="0008009C" w:rsidRDefault="00936FDF">
            <w:pPr>
              <w:jc w:val="right"/>
              <w:textAlignment w:val="bottom"/>
            </w:pPr>
            <w:r>
              <w:rPr>
                <w:rFonts w:ascii="Arial" w:eastAsia="宋体" w:hAnsi="Arial" w:cs="Arial"/>
                <w:b/>
                <w:bCs/>
                <w:color w:val="262626"/>
                <w:sz w:val="18"/>
                <w:szCs w:val="18"/>
              </w:rPr>
              <w:t>7,186</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7635" w14:textId="77777777" w:rsidR="0008009C" w:rsidRDefault="0008009C">
            <w:pPr>
              <w:jc w:val="right"/>
              <w:rPr>
                <w:rFonts w:ascii="宋体"/>
              </w:rPr>
            </w:pPr>
          </w:p>
        </w:tc>
      </w:tr>
    </w:tbl>
    <w:p w14:paraId="5C7C7637" w14:textId="77777777" w:rsidR="0008009C" w:rsidRDefault="00936FDF">
      <w:pPr>
        <w:spacing w:after="120"/>
      </w:pPr>
      <w:r>
        <w:rPr>
          <w:rFonts w:ascii="Arial" w:eastAsia="宋体" w:hAnsi="Arial" w:cs="Arial"/>
          <w:color w:val="0068B5"/>
          <w:sz w:val="20"/>
          <w:szCs w:val="20"/>
        </w:rPr>
        <w:t>Operating Activities</w:t>
      </w:r>
    </w:p>
    <w:p w14:paraId="5C7C7638" w14:textId="77777777" w:rsidR="0008009C" w:rsidRDefault="00936FDF">
      <w:pPr>
        <w:spacing w:after="180"/>
      </w:pPr>
      <w:r>
        <w:rPr>
          <w:rFonts w:ascii="Arial" w:eastAsia="宋体" w:hAnsi="Arial" w:cs="Arial"/>
          <w:color w:val="262626"/>
          <w:sz w:val="18"/>
          <w:szCs w:val="18"/>
        </w:rPr>
        <w:t>Cash provided by operating activities is net income adjusted for certain non-cash items and changes in assets and liabilities.</w:t>
      </w:r>
    </w:p>
    <w:p w14:paraId="5C7C7639" w14:textId="77777777" w:rsidR="0008009C" w:rsidRDefault="00936FDF">
      <w:pPr>
        <w:spacing w:after="180"/>
      </w:pPr>
      <w:r>
        <w:rPr>
          <w:rFonts w:ascii="Arial" w:eastAsia="宋体" w:hAnsi="Arial" w:cs="Arial"/>
          <w:color w:val="262626"/>
          <w:sz w:val="18"/>
          <w:szCs w:val="18"/>
        </w:rPr>
        <w:t xml:space="preserve">For the first </w:t>
      </w:r>
      <w:r>
        <w:rPr>
          <w:rFonts w:ascii="Arial" w:eastAsia="宋体" w:hAnsi="Arial" w:cs="Arial"/>
          <w:color w:val="262626"/>
          <w:sz w:val="18"/>
          <w:szCs w:val="18"/>
        </w:rPr>
        <w:t>three months of 2021 compared to the first three months of 2020, the decrease in cash provided by operations was primarily driven by lower net income, net of non-cash adjustments including the Corporate VLSI charge, and a prepaid supply agreement payment.</w:t>
      </w:r>
    </w:p>
    <w:p w14:paraId="5C7C763A" w14:textId="77777777" w:rsidR="0008009C" w:rsidRDefault="00936FDF">
      <w:pPr>
        <w:spacing w:after="120"/>
      </w:pPr>
      <w:r>
        <w:rPr>
          <w:rFonts w:ascii="Arial" w:eastAsia="宋体" w:hAnsi="Arial" w:cs="Arial"/>
          <w:color w:val="0068B5"/>
          <w:sz w:val="20"/>
          <w:szCs w:val="20"/>
        </w:rPr>
        <w:t>Investing Activities</w:t>
      </w:r>
    </w:p>
    <w:p w14:paraId="5C7C763B" w14:textId="77777777" w:rsidR="0008009C" w:rsidRDefault="00936FDF">
      <w:pPr>
        <w:spacing w:after="300"/>
      </w:pPr>
      <w:r>
        <w:rPr>
          <w:rFonts w:ascii="Arial" w:eastAsia="宋体" w:hAnsi="Arial" w:cs="Arial"/>
          <w:color w:val="262626"/>
          <w:sz w:val="18"/>
          <w:szCs w:val="18"/>
        </w:rPr>
        <w:t xml:space="preserve">Investing cash flows consist primarily of capital expenditures, investment purchases, sales, maturities, and disposals, and proceeds from divestitures and cash used for acquisitions. </w:t>
      </w:r>
    </w:p>
    <w:p w14:paraId="5C7C763C" w14:textId="77777777" w:rsidR="0008009C" w:rsidRDefault="00936FDF">
      <w:pPr>
        <w:spacing w:after="180"/>
      </w:pPr>
      <w:r>
        <w:rPr>
          <w:rFonts w:ascii="Arial" w:eastAsia="宋体" w:hAnsi="Arial" w:cs="Arial"/>
          <w:i/>
          <w:iCs/>
          <w:color w:val="262626"/>
          <w:sz w:val="10"/>
          <w:szCs w:val="10"/>
        </w:rPr>
        <w:t>1</w:t>
      </w:r>
      <w:r>
        <w:rPr>
          <w:rFonts w:ascii="Arial" w:eastAsia="宋体" w:hAnsi="Arial" w:cs="Arial"/>
          <w:i/>
          <w:iCs/>
          <w:color w:val="262626"/>
          <w:sz w:val="16"/>
          <w:szCs w:val="16"/>
        </w:rPr>
        <w:t xml:space="preserve"> See "Non-GAAP financial measures" within MD&amp;A.</w:t>
      </w: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08009C" w14:paraId="5C7C7646" w14:textId="77777777">
        <w:tc>
          <w:tcPr>
            <w:tcW w:w="50" w:type="pct"/>
            <w:shd w:val="clear" w:color="auto" w:fill="auto"/>
            <w:vAlign w:val="bottom"/>
          </w:tcPr>
          <w:p w14:paraId="5C7C763D" w14:textId="77777777" w:rsidR="0008009C" w:rsidRDefault="0008009C">
            <w:pPr>
              <w:rPr>
                <w:rFonts w:ascii="宋体"/>
              </w:rPr>
            </w:pPr>
          </w:p>
        </w:tc>
        <w:tc>
          <w:tcPr>
            <w:tcW w:w="212" w:type="pct"/>
            <w:shd w:val="clear" w:color="auto" w:fill="auto"/>
            <w:vAlign w:val="bottom"/>
          </w:tcPr>
          <w:p w14:paraId="5C7C763E" w14:textId="77777777" w:rsidR="0008009C" w:rsidRDefault="0008009C">
            <w:pPr>
              <w:rPr>
                <w:rFonts w:ascii="宋体"/>
              </w:rPr>
            </w:pPr>
          </w:p>
        </w:tc>
        <w:tc>
          <w:tcPr>
            <w:tcW w:w="5" w:type="pct"/>
            <w:shd w:val="clear" w:color="auto" w:fill="auto"/>
            <w:vAlign w:val="bottom"/>
          </w:tcPr>
          <w:p w14:paraId="5C7C763F" w14:textId="77777777" w:rsidR="0008009C" w:rsidRDefault="0008009C">
            <w:pPr>
              <w:rPr>
                <w:rFonts w:ascii="宋体"/>
              </w:rPr>
            </w:pPr>
          </w:p>
        </w:tc>
        <w:tc>
          <w:tcPr>
            <w:tcW w:w="50" w:type="pct"/>
            <w:shd w:val="clear" w:color="auto" w:fill="auto"/>
            <w:vAlign w:val="bottom"/>
          </w:tcPr>
          <w:p w14:paraId="5C7C7640" w14:textId="77777777" w:rsidR="0008009C" w:rsidRDefault="0008009C">
            <w:pPr>
              <w:rPr>
                <w:rFonts w:ascii="宋体"/>
              </w:rPr>
            </w:pPr>
          </w:p>
        </w:tc>
        <w:tc>
          <w:tcPr>
            <w:tcW w:w="2499" w:type="pct"/>
            <w:shd w:val="clear" w:color="auto" w:fill="auto"/>
            <w:vAlign w:val="bottom"/>
          </w:tcPr>
          <w:p w14:paraId="5C7C7641" w14:textId="77777777" w:rsidR="0008009C" w:rsidRDefault="0008009C">
            <w:pPr>
              <w:rPr>
                <w:rFonts w:ascii="宋体"/>
              </w:rPr>
            </w:pPr>
          </w:p>
        </w:tc>
        <w:tc>
          <w:tcPr>
            <w:tcW w:w="5" w:type="pct"/>
            <w:shd w:val="clear" w:color="auto" w:fill="auto"/>
            <w:vAlign w:val="bottom"/>
          </w:tcPr>
          <w:p w14:paraId="5C7C7642" w14:textId="77777777" w:rsidR="0008009C" w:rsidRDefault="0008009C">
            <w:pPr>
              <w:rPr>
                <w:rFonts w:ascii="宋体"/>
              </w:rPr>
            </w:pPr>
          </w:p>
        </w:tc>
        <w:tc>
          <w:tcPr>
            <w:tcW w:w="50" w:type="pct"/>
            <w:shd w:val="clear" w:color="auto" w:fill="auto"/>
            <w:vAlign w:val="bottom"/>
          </w:tcPr>
          <w:p w14:paraId="5C7C7643" w14:textId="77777777" w:rsidR="0008009C" w:rsidRDefault="0008009C">
            <w:pPr>
              <w:rPr>
                <w:rFonts w:ascii="宋体"/>
              </w:rPr>
            </w:pPr>
          </w:p>
        </w:tc>
        <w:tc>
          <w:tcPr>
            <w:tcW w:w="2122" w:type="pct"/>
            <w:shd w:val="clear" w:color="auto" w:fill="auto"/>
            <w:vAlign w:val="bottom"/>
          </w:tcPr>
          <w:p w14:paraId="5C7C7644" w14:textId="77777777" w:rsidR="0008009C" w:rsidRDefault="0008009C">
            <w:pPr>
              <w:rPr>
                <w:rFonts w:ascii="宋体"/>
              </w:rPr>
            </w:pPr>
          </w:p>
        </w:tc>
        <w:tc>
          <w:tcPr>
            <w:tcW w:w="5" w:type="pct"/>
            <w:shd w:val="clear" w:color="auto" w:fill="auto"/>
            <w:vAlign w:val="bottom"/>
          </w:tcPr>
          <w:p w14:paraId="5C7C7645" w14:textId="77777777" w:rsidR="0008009C" w:rsidRDefault="0008009C">
            <w:pPr>
              <w:rPr>
                <w:rFonts w:ascii="宋体"/>
              </w:rPr>
            </w:pPr>
          </w:p>
        </w:tc>
      </w:tr>
      <w:tr w:rsidR="0008009C" w14:paraId="5C7C764A"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7647"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6C" wp14:editId="5C7C7D6D">
                  <wp:extent cx="304800" cy="304800"/>
                  <wp:effectExtent l="0" t="0" r="0" b="0"/>
                  <wp:docPr id="49" name="图片 120"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0"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648" w14:textId="77777777" w:rsidR="0008009C" w:rsidRDefault="00936FDF">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649" w14:textId="77777777" w:rsidR="0008009C" w:rsidRDefault="00936FDF">
            <w:pPr>
              <w:jc w:val="right"/>
              <w:textAlignment w:val="center"/>
            </w:pPr>
            <w:r>
              <w:rPr>
                <w:rFonts w:ascii="Arial" w:eastAsia="宋体" w:hAnsi="Arial" w:cs="Arial"/>
                <w:color w:val="262626"/>
                <w:sz w:val="16"/>
                <w:szCs w:val="16"/>
              </w:rPr>
              <w:t>32</w:t>
            </w:r>
          </w:p>
        </w:tc>
      </w:tr>
    </w:tbl>
    <w:p w14:paraId="5C7C764B" w14:textId="77777777" w:rsidR="0008009C" w:rsidRDefault="00936FDF">
      <w:r>
        <w:pict w14:anchorId="5C7C7D6E">
          <v:rect id="_x0000_i1058" style="width:415.3pt;height:1.5pt" o:hralign="center" o:hrstd="t" o:hr="t" fillcolor="#a0a0a0" stroked="f"/>
        </w:pict>
      </w:r>
    </w:p>
    <w:p w14:paraId="5C7C764C" w14:textId="77777777" w:rsidR="0008009C" w:rsidRDefault="00936FDF">
      <w:pPr>
        <w:spacing w:after="180"/>
        <w:jc w:val="right"/>
      </w:pPr>
      <w:hyperlink r:id="rId57" w:anchor="i3a00378f6cc84b1c9cfc83239548ad53_7" w:history="1">
        <w:r>
          <w:rPr>
            <w:rStyle w:val="a5"/>
            <w:rFonts w:ascii="Arial" w:eastAsia="宋体" w:hAnsi="Arial" w:cs="Arial"/>
            <w:b/>
            <w:bCs/>
            <w:sz w:val="16"/>
            <w:szCs w:val="16"/>
          </w:rPr>
          <w:t>Table of Contents</w:t>
        </w:r>
      </w:hyperlink>
    </w:p>
    <w:p w14:paraId="5C7C764D" w14:textId="77777777" w:rsidR="0008009C" w:rsidRDefault="0008009C">
      <w:pPr>
        <w:spacing w:after="180"/>
        <w:jc w:val="right"/>
      </w:pPr>
    </w:p>
    <w:p w14:paraId="5C7C764E" w14:textId="77777777" w:rsidR="0008009C" w:rsidRDefault="00936FDF">
      <w:pPr>
        <w:spacing w:after="180"/>
      </w:pPr>
      <w:r>
        <w:rPr>
          <w:rFonts w:ascii="Arial" w:eastAsia="宋体" w:hAnsi="Arial" w:cs="Arial"/>
          <w:color w:val="262626"/>
          <w:sz w:val="18"/>
          <w:szCs w:val="18"/>
        </w:rPr>
        <w:t xml:space="preserve">Cash used for investing activities was lower in the first three months of 2021 </w:t>
      </w:r>
      <w:r>
        <w:rPr>
          <w:rFonts w:ascii="Arial" w:eastAsia="宋体" w:hAnsi="Arial" w:cs="Arial"/>
          <w:color w:val="262626"/>
          <w:sz w:val="18"/>
          <w:szCs w:val="18"/>
        </w:rPr>
        <w:t>compared to the first three months of 2020 primarily driven by an increase in sales and maturities for available-for-sale debt investments and trading assets, partially offset by an increase in purchases of trading assets and increased capital expenditures</w:t>
      </w:r>
      <w:r>
        <w:rPr>
          <w:rFonts w:ascii="Arial" w:eastAsia="宋体" w:hAnsi="Arial" w:cs="Arial"/>
          <w:color w:val="262626"/>
          <w:sz w:val="18"/>
          <w:szCs w:val="18"/>
        </w:rPr>
        <w:t>.</w:t>
      </w:r>
    </w:p>
    <w:p w14:paraId="5C7C764F" w14:textId="77777777" w:rsidR="0008009C" w:rsidRDefault="00936FDF">
      <w:pPr>
        <w:spacing w:after="120"/>
      </w:pPr>
      <w:r>
        <w:rPr>
          <w:rFonts w:ascii="Arial" w:eastAsia="宋体" w:hAnsi="Arial" w:cs="Arial"/>
          <w:color w:val="0068B5"/>
          <w:sz w:val="20"/>
          <w:szCs w:val="20"/>
        </w:rPr>
        <w:t>Financing Activities</w:t>
      </w:r>
    </w:p>
    <w:p w14:paraId="5C7C7650" w14:textId="77777777" w:rsidR="0008009C" w:rsidRDefault="00936FDF">
      <w:pPr>
        <w:spacing w:after="180"/>
      </w:pPr>
      <w:r>
        <w:rPr>
          <w:rFonts w:ascii="Arial" w:eastAsia="宋体" w:hAnsi="Arial" w:cs="Arial"/>
          <w:color w:val="262626"/>
          <w:sz w:val="18"/>
          <w:szCs w:val="18"/>
        </w:rPr>
        <w:t>Financing cash flows consist primarily of repurchases of common stock, payment of dividends to stockholders, issuance and repayment of short-term and long-term debt, and proceeds from the sale of shares of common stock through employ</w:t>
      </w:r>
      <w:r>
        <w:rPr>
          <w:rFonts w:ascii="Arial" w:eastAsia="宋体" w:hAnsi="Arial" w:cs="Arial"/>
          <w:color w:val="262626"/>
          <w:sz w:val="18"/>
          <w:szCs w:val="18"/>
        </w:rPr>
        <w:t>ee equity incentive plans.</w:t>
      </w:r>
    </w:p>
    <w:p w14:paraId="5C7C7651" w14:textId="77777777" w:rsidR="0008009C" w:rsidRDefault="00936FDF">
      <w:pPr>
        <w:spacing w:after="180"/>
      </w:pPr>
      <w:r>
        <w:rPr>
          <w:rFonts w:ascii="Arial" w:eastAsia="宋体" w:hAnsi="Arial" w:cs="Arial"/>
          <w:color w:val="262626"/>
          <w:sz w:val="18"/>
          <w:szCs w:val="18"/>
        </w:rPr>
        <w:t>Cash was used for financing activities in the first three months of 2021 compared to cash provided by financing activities in the first three months of 2020 due to a decrease in cash provided by long-term debt issuances, partiall</w:t>
      </w:r>
      <w:r>
        <w:rPr>
          <w:rFonts w:ascii="Arial" w:eastAsia="宋体" w:hAnsi="Arial" w:cs="Arial"/>
          <w:color w:val="262626"/>
          <w:sz w:val="18"/>
          <w:szCs w:val="18"/>
        </w:rPr>
        <w:t>y offset by a decrease in repurchases of common stock and a decrease in repayment of debt and debt conversion.</w:t>
      </w:r>
    </w:p>
    <w:p w14:paraId="5C7C7652" w14:textId="77777777" w:rsidR="0008009C" w:rsidRDefault="00936FDF">
      <w:pPr>
        <w:spacing w:before="180" w:after="180"/>
      </w:pPr>
      <w:r>
        <w:rPr>
          <w:rFonts w:ascii="Arial" w:eastAsia="宋体" w:hAnsi="Arial" w:cs="Arial"/>
          <w:color w:val="0068B5"/>
          <w:sz w:val="28"/>
          <w:szCs w:val="28"/>
        </w:rPr>
        <w:t>Non-GAAP Financial Measures</w:t>
      </w:r>
    </w:p>
    <w:p w14:paraId="5C7C7653" w14:textId="77777777" w:rsidR="0008009C" w:rsidRDefault="00936FDF">
      <w:pPr>
        <w:spacing w:after="180"/>
      </w:pPr>
      <w:r>
        <w:rPr>
          <w:rFonts w:ascii="Arial" w:eastAsia="宋体" w:hAnsi="Arial" w:cs="Arial"/>
          <w:color w:val="262626"/>
          <w:sz w:val="18"/>
          <w:szCs w:val="18"/>
        </w:rPr>
        <w:t>In addition to disclosing financial results in accordance with U.S. GAAP, this document contains references to the no</w:t>
      </w:r>
      <w:r>
        <w:rPr>
          <w:rFonts w:ascii="Arial" w:eastAsia="宋体" w:hAnsi="Arial" w:cs="Arial"/>
          <w:color w:val="262626"/>
          <w:sz w:val="18"/>
          <w:szCs w:val="18"/>
        </w:rPr>
        <w:t xml:space="preserve">n-GAAP financial measures below. We believe these non-GAAP financial measures provide investors with useful supplemental information about our operating performance, enable comparison of financial trends and results between periods where certain items may </w:t>
      </w:r>
      <w:r>
        <w:rPr>
          <w:rFonts w:ascii="Arial" w:eastAsia="宋体" w:hAnsi="Arial" w:cs="Arial"/>
          <w:color w:val="262626"/>
          <w:sz w:val="18"/>
          <w:szCs w:val="18"/>
        </w:rPr>
        <w:t>vary independent of business performance, and allow for greater transparency with respect to key metrics used by management in operating our business and measuring our performance. Certain of these non-GAAP financial measures are used in our performance-ba</w:t>
      </w:r>
      <w:r>
        <w:rPr>
          <w:rFonts w:ascii="Arial" w:eastAsia="宋体" w:hAnsi="Arial" w:cs="Arial"/>
          <w:color w:val="262626"/>
          <w:sz w:val="18"/>
          <w:szCs w:val="18"/>
        </w:rPr>
        <w:t>sed RSUs and our annual cash bonus plan.</w:t>
      </w:r>
    </w:p>
    <w:p w14:paraId="5C7C7654" w14:textId="77777777" w:rsidR="0008009C" w:rsidRDefault="00936FDF">
      <w:pPr>
        <w:spacing w:after="120"/>
      </w:pPr>
      <w:r>
        <w:rPr>
          <w:rFonts w:ascii="Arial" w:eastAsia="宋体" w:hAnsi="Arial" w:cs="Arial"/>
          <w:color w:val="262626"/>
          <w:sz w:val="18"/>
          <w:szCs w:val="18"/>
        </w:rPr>
        <w:t>Our non-GAAP financial measures reflect adjustments based on one or more of the following items, as well as the related income tax effects where applicable. Income tax effects have been calculated using an appropria</w:t>
      </w:r>
      <w:r>
        <w:rPr>
          <w:rFonts w:ascii="Arial" w:eastAsia="宋体" w:hAnsi="Arial" w:cs="Arial"/>
          <w:color w:val="262626"/>
          <w:sz w:val="18"/>
          <w:szCs w:val="18"/>
        </w:rPr>
        <w:t xml:space="preserve">te tax rate for each adjustment. These non-GAAP financial measures should not be considered a substitute for, or superior to, financial measures calculated in accordance with U.S. GAAP, and the financial results calculated in accordance with U.S. GAAP and </w:t>
      </w:r>
      <w:r>
        <w:rPr>
          <w:rFonts w:ascii="Arial" w:eastAsia="宋体" w:hAnsi="Arial" w:cs="Arial"/>
          <w:color w:val="262626"/>
          <w:sz w:val="18"/>
          <w:szCs w:val="18"/>
        </w:rPr>
        <w:t xml:space="preserve">reconciliations from these results should be carefully evaluated. </w:t>
      </w: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08009C" w14:paraId="5C7C765E" w14:textId="77777777">
        <w:tc>
          <w:tcPr>
            <w:tcW w:w="50" w:type="pct"/>
            <w:shd w:val="clear" w:color="auto" w:fill="auto"/>
            <w:vAlign w:val="bottom"/>
          </w:tcPr>
          <w:p w14:paraId="5C7C7655" w14:textId="77777777" w:rsidR="0008009C" w:rsidRDefault="0008009C">
            <w:pPr>
              <w:rPr>
                <w:rFonts w:ascii="宋体"/>
              </w:rPr>
            </w:pPr>
          </w:p>
        </w:tc>
        <w:tc>
          <w:tcPr>
            <w:tcW w:w="212" w:type="pct"/>
            <w:shd w:val="clear" w:color="auto" w:fill="auto"/>
            <w:vAlign w:val="bottom"/>
          </w:tcPr>
          <w:p w14:paraId="5C7C7656" w14:textId="77777777" w:rsidR="0008009C" w:rsidRDefault="0008009C">
            <w:pPr>
              <w:rPr>
                <w:rFonts w:ascii="宋体"/>
              </w:rPr>
            </w:pPr>
          </w:p>
        </w:tc>
        <w:tc>
          <w:tcPr>
            <w:tcW w:w="5" w:type="pct"/>
            <w:shd w:val="clear" w:color="auto" w:fill="auto"/>
            <w:vAlign w:val="bottom"/>
          </w:tcPr>
          <w:p w14:paraId="5C7C7657" w14:textId="77777777" w:rsidR="0008009C" w:rsidRDefault="0008009C">
            <w:pPr>
              <w:rPr>
                <w:rFonts w:ascii="宋体"/>
              </w:rPr>
            </w:pPr>
          </w:p>
        </w:tc>
        <w:tc>
          <w:tcPr>
            <w:tcW w:w="50" w:type="pct"/>
            <w:shd w:val="clear" w:color="auto" w:fill="auto"/>
            <w:vAlign w:val="bottom"/>
          </w:tcPr>
          <w:p w14:paraId="5C7C7658" w14:textId="77777777" w:rsidR="0008009C" w:rsidRDefault="0008009C">
            <w:pPr>
              <w:rPr>
                <w:rFonts w:ascii="宋体"/>
              </w:rPr>
            </w:pPr>
          </w:p>
        </w:tc>
        <w:tc>
          <w:tcPr>
            <w:tcW w:w="2499" w:type="pct"/>
            <w:shd w:val="clear" w:color="auto" w:fill="auto"/>
            <w:vAlign w:val="bottom"/>
          </w:tcPr>
          <w:p w14:paraId="5C7C7659" w14:textId="77777777" w:rsidR="0008009C" w:rsidRDefault="0008009C">
            <w:pPr>
              <w:rPr>
                <w:rFonts w:ascii="宋体"/>
              </w:rPr>
            </w:pPr>
          </w:p>
        </w:tc>
        <w:tc>
          <w:tcPr>
            <w:tcW w:w="5" w:type="pct"/>
            <w:shd w:val="clear" w:color="auto" w:fill="auto"/>
            <w:vAlign w:val="bottom"/>
          </w:tcPr>
          <w:p w14:paraId="5C7C765A" w14:textId="77777777" w:rsidR="0008009C" w:rsidRDefault="0008009C">
            <w:pPr>
              <w:rPr>
                <w:rFonts w:ascii="宋体"/>
              </w:rPr>
            </w:pPr>
          </w:p>
        </w:tc>
        <w:tc>
          <w:tcPr>
            <w:tcW w:w="50" w:type="pct"/>
            <w:shd w:val="clear" w:color="auto" w:fill="auto"/>
            <w:vAlign w:val="bottom"/>
          </w:tcPr>
          <w:p w14:paraId="5C7C765B" w14:textId="77777777" w:rsidR="0008009C" w:rsidRDefault="0008009C">
            <w:pPr>
              <w:rPr>
                <w:rFonts w:ascii="宋体"/>
              </w:rPr>
            </w:pPr>
          </w:p>
        </w:tc>
        <w:tc>
          <w:tcPr>
            <w:tcW w:w="2122" w:type="pct"/>
            <w:shd w:val="clear" w:color="auto" w:fill="auto"/>
            <w:vAlign w:val="bottom"/>
          </w:tcPr>
          <w:p w14:paraId="5C7C765C" w14:textId="77777777" w:rsidR="0008009C" w:rsidRDefault="0008009C">
            <w:pPr>
              <w:rPr>
                <w:rFonts w:ascii="宋体"/>
              </w:rPr>
            </w:pPr>
          </w:p>
        </w:tc>
        <w:tc>
          <w:tcPr>
            <w:tcW w:w="5" w:type="pct"/>
            <w:shd w:val="clear" w:color="auto" w:fill="auto"/>
            <w:vAlign w:val="bottom"/>
          </w:tcPr>
          <w:p w14:paraId="5C7C765D" w14:textId="77777777" w:rsidR="0008009C" w:rsidRDefault="0008009C">
            <w:pPr>
              <w:rPr>
                <w:rFonts w:ascii="宋体"/>
              </w:rPr>
            </w:pPr>
          </w:p>
        </w:tc>
      </w:tr>
      <w:tr w:rsidR="0008009C" w14:paraId="5C7C7662"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765F"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6F" wp14:editId="5C7C7D70">
                  <wp:extent cx="304800" cy="304800"/>
                  <wp:effectExtent l="0" t="0" r="0" b="0"/>
                  <wp:docPr id="48" name="图片 12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2"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660" w14:textId="77777777" w:rsidR="0008009C" w:rsidRDefault="00936FDF">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661" w14:textId="77777777" w:rsidR="0008009C" w:rsidRDefault="00936FDF">
            <w:pPr>
              <w:jc w:val="right"/>
              <w:textAlignment w:val="center"/>
            </w:pPr>
            <w:r>
              <w:rPr>
                <w:rFonts w:ascii="Arial" w:eastAsia="宋体" w:hAnsi="Arial" w:cs="Arial"/>
                <w:color w:val="262626"/>
                <w:sz w:val="16"/>
                <w:szCs w:val="16"/>
              </w:rPr>
              <w:t>33</w:t>
            </w:r>
          </w:p>
        </w:tc>
      </w:tr>
    </w:tbl>
    <w:p w14:paraId="5C7C7663" w14:textId="77777777" w:rsidR="0008009C" w:rsidRDefault="00936FDF">
      <w:r>
        <w:pict w14:anchorId="5C7C7D71">
          <v:rect id="_x0000_i1059" style="width:415.3pt;height:1.5pt" o:hralign="center" o:hrstd="t" o:hr="t" fillcolor="#a0a0a0" stroked="f"/>
        </w:pict>
      </w:r>
    </w:p>
    <w:p w14:paraId="5C7C7664" w14:textId="77777777" w:rsidR="0008009C" w:rsidRDefault="00936FDF">
      <w:pPr>
        <w:spacing w:after="180"/>
        <w:jc w:val="right"/>
      </w:pPr>
      <w:hyperlink r:id="rId58" w:anchor="i3a00378f6cc84b1c9cfc83239548ad53_7" w:history="1">
        <w:r>
          <w:rPr>
            <w:rStyle w:val="a5"/>
            <w:rFonts w:ascii="Arial" w:eastAsia="宋体" w:hAnsi="Arial" w:cs="Arial"/>
            <w:b/>
            <w:bCs/>
            <w:sz w:val="16"/>
            <w:szCs w:val="16"/>
          </w:rPr>
          <w:t>Table of Contents</w:t>
        </w:r>
      </w:hyperlink>
    </w:p>
    <w:p w14:paraId="5C7C7665" w14:textId="77777777" w:rsidR="0008009C" w:rsidRDefault="0008009C">
      <w:pPr>
        <w:spacing w:after="180"/>
        <w:jc w:val="right"/>
      </w:pPr>
    </w:p>
    <w:tbl>
      <w:tblPr>
        <w:tblW w:w="4993" w:type="pct"/>
        <w:tblCellMar>
          <w:top w:w="15" w:type="dxa"/>
          <w:left w:w="15" w:type="dxa"/>
          <w:bottom w:w="15" w:type="dxa"/>
          <w:right w:w="15" w:type="dxa"/>
        </w:tblCellMar>
        <w:tblLook w:val="04A0" w:firstRow="1" w:lastRow="0" w:firstColumn="1" w:lastColumn="0" w:noHBand="0" w:noVBand="1"/>
      </w:tblPr>
      <w:tblGrid>
        <w:gridCol w:w="82"/>
        <w:gridCol w:w="1441"/>
        <w:gridCol w:w="37"/>
        <w:gridCol w:w="69"/>
        <w:gridCol w:w="3276"/>
        <w:gridCol w:w="37"/>
        <w:gridCol w:w="69"/>
        <w:gridCol w:w="3276"/>
        <w:gridCol w:w="37"/>
      </w:tblGrid>
      <w:tr w:rsidR="0008009C" w14:paraId="5C7C766F" w14:textId="77777777">
        <w:tc>
          <w:tcPr>
            <w:tcW w:w="50" w:type="pct"/>
            <w:shd w:val="clear" w:color="auto" w:fill="auto"/>
          </w:tcPr>
          <w:p w14:paraId="5C7C7666" w14:textId="77777777" w:rsidR="0008009C" w:rsidRDefault="0008009C">
            <w:pPr>
              <w:rPr>
                <w:rFonts w:ascii="宋体"/>
              </w:rPr>
            </w:pPr>
          </w:p>
        </w:tc>
        <w:tc>
          <w:tcPr>
            <w:tcW w:w="882" w:type="pct"/>
            <w:shd w:val="clear" w:color="auto" w:fill="auto"/>
          </w:tcPr>
          <w:p w14:paraId="5C7C7667" w14:textId="77777777" w:rsidR="0008009C" w:rsidRDefault="0008009C">
            <w:pPr>
              <w:rPr>
                <w:rFonts w:ascii="宋体"/>
              </w:rPr>
            </w:pPr>
          </w:p>
        </w:tc>
        <w:tc>
          <w:tcPr>
            <w:tcW w:w="5" w:type="pct"/>
            <w:shd w:val="clear" w:color="auto" w:fill="auto"/>
          </w:tcPr>
          <w:p w14:paraId="5C7C7668" w14:textId="77777777" w:rsidR="0008009C" w:rsidRDefault="0008009C">
            <w:pPr>
              <w:rPr>
                <w:rFonts w:ascii="宋体"/>
              </w:rPr>
            </w:pPr>
          </w:p>
        </w:tc>
        <w:tc>
          <w:tcPr>
            <w:tcW w:w="50" w:type="pct"/>
            <w:shd w:val="clear" w:color="auto" w:fill="auto"/>
          </w:tcPr>
          <w:p w14:paraId="5C7C7669" w14:textId="77777777" w:rsidR="0008009C" w:rsidRDefault="0008009C">
            <w:pPr>
              <w:rPr>
                <w:rFonts w:ascii="宋体"/>
              </w:rPr>
            </w:pPr>
          </w:p>
        </w:tc>
        <w:tc>
          <w:tcPr>
            <w:tcW w:w="1976" w:type="pct"/>
            <w:shd w:val="clear" w:color="auto" w:fill="auto"/>
          </w:tcPr>
          <w:p w14:paraId="5C7C766A" w14:textId="77777777" w:rsidR="0008009C" w:rsidRDefault="0008009C">
            <w:pPr>
              <w:rPr>
                <w:rFonts w:ascii="宋体"/>
              </w:rPr>
            </w:pPr>
          </w:p>
        </w:tc>
        <w:tc>
          <w:tcPr>
            <w:tcW w:w="5" w:type="pct"/>
            <w:shd w:val="clear" w:color="auto" w:fill="auto"/>
          </w:tcPr>
          <w:p w14:paraId="5C7C766B" w14:textId="77777777" w:rsidR="0008009C" w:rsidRDefault="0008009C">
            <w:pPr>
              <w:rPr>
                <w:rFonts w:ascii="宋体"/>
              </w:rPr>
            </w:pPr>
          </w:p>
        </w:tc>
        <w:tc>
          <w:tcPr>
            <w:tcW w:w="50" w:type="pct"/>
            <w:shd w:val="clear" w:color="auto" w:fill="auto"/>
          </w:tcPr>
          <w:p w14:paraId="5C7C766C" w14:textId="77777777" w:rsidR="0008009C" w:rsidRDefault="0008009C">
            <w:pPr>
              <w:rPr>
                <w:rFonts w:ascii="宋体"/>
              </w:rPr>
            </w:pPr>
          </w:p>
        </w:tc>
        <w:tc>
          <w:tcPr>
            <w:tcW w:w="1976" w:type="pct"/>
            <w:shd w:val="clear" w:color="auto" w:fill="auto"/>
          </w:tcPr>
          <w:p w14:paraId="5C7C766D" w14:textId="77777777" w:rsidR="0008009C" w:rsidRDefault="0008009C">
            <w:pPr>
              <w:rPr>
                <w:rFonts w:ascii="宋体"/>
              </w:rPr>
            </w:pPr>
          </w:p>
        </w:tc>
        <w:tc>
          <w:tcPr>
            <w:tcW w:w="5" w:type="pct"/>
            <w:shd w:val="clear" w:color="auto" w:fill="auto"/>
          </w:tcPr>
          <w:p w14:paraId="5C7C766E" w14:textId="77777777" w:rsidR="0008009C" w:rsidRDefault="0008009C">
            <w:pPr>
              <w:rPr>
                <w:rFonts w:ascii="宋体"/>
              </w:rPr>
            </w:pPr>
          </w:p>
        </w:tc>
      </w:tr>
      <w:tr w:rsidR="0008009C" w14:paraId="5C7C7673"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vAlign w:val="bottom"/>
          </w:tcPr>
          <w:p w14:paraId="5C7C7670" w14:textId="77777777" w:rsidR="0008009C" w:rsidRDefault="00936FDF">
            <w:pPr>
              <w:jc w:val="center"/>
              <w:textAlignment w:val="bottom"/>
            </w:pPr>
            <w:r>
              <w:rPr>
                <w:rFonts w:ascii="Arial" w:eastAsia="宋体" w:hAnsi="Arial" w:cs="Arial"/>
                <w:b/>
                <w:bCs/>
                <w:color w:val="262626"/>
                <w:sz w:val="18"/>
                <w:szCs w:val="18"/>
              </w:rPr>
              <w:t>Non-GAAP adjustment or measure</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vAlign w:val="bottom"/>
          </w:tcPr>
          <w:p w14:paraId="5C7C7671" w14:textId="77777777" w:rsidR="0008009C" w:rsidRDefault="00936FDF">
            <w:pPr>
              <w:jc w:val="center"/>
              <w:textAlignment w:val="bottom"/>
            </w:pPr>
            <w:r>
              <w:rPr>
                <w:rFonts w:ascii="Arial" w:eastAsia="宋体" w:hAnsi="Arial" w:cs="Arial"/>
                <w:b/>
                <w:bCs/>
                <w:color w:val="262626"/>
                <w:sz w:val="18"/>
                <w:szCs w:val="18"/>
              </w:rPr>
              <w:t xml:space="preserve">Definition </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vAlign w:val="bottom"/>
          </w:tcPr>
          <w:p w14:paraId="5C7C7672" w14:textId="77777777" w:rsidR="0008009C" w:rsidRDefault="00936FDF">
            <w:pPr>
              <w:jc w:val="center"/>
              <w:textAlignment w:val="bottom"/>
            </w:pPr>
            <w:r>
              <w:rPr>
                <w:rFonts w:ascii="Arial" w:eastAsia="宋体" w:hAnsi="Arial" w:cs="Arial"/>
                <w:b/>
                <w:bCs/>
                <w:color w:val="262626"/>
                <w:sz w:val="18"/>
                <w:szCs w:val="18"/>
              </w:rPr>
              <w:t xml:space="preserve">Usefulness to </w:t>
            </w:r>
            <w:r>
              <w:rPr>
                <w:rFonts w:ascii="Arial" w:eastAsia="宋体" w:hAnsi="Arial" w:cs="Arial"/>
                <w:b/>
                <w:bCs/>
                <w:color w:val="262626"/>
                <w:sz w:val="18"/>
                <w:szCs w:val="18"/>
              </w:rPr>
              <w:t>management and investors</w:t>
            </w:r>
          </w:p>
        </w:tc>
      </w:tr>
      <w:tr w:rsidR="0008009C" w14:paraId="5C7C7677"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5C7C7674" w14:textId="77777777" w:rsidR="0008009C" w:rsidRDefault="00936FDF">
            <w:pPr>
              <w:textAlignment w:val="top"/>
            </w:pPr>
            <w:r>
              <w:rPr>
                <w:rFonts w:ascii="Arial" w:eastAsia="宋体" w:hAnsi="Arial" w:cs="Arial"/>
                <w:color w:val="262626"/>
                <w:sz w:val="18"/>
                <w:szCs w:val="18"/>
              </w:rPr>
              <w:t>NAND memory business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5C7C7675" w14:textId="77777777" w:rsidR="0008009C" w:rsidRDefault="00936FDF">
            <w:pPr>
              <w:textAlignment w:val="top"/>
            </w:pPr>
            <w:r>
              <w:rPr>
                <w:rFonts w:ascii="Arial" w:eastAsia="宋体" w:hAnsi="Arial" w:cs="Arial"/>
                <w:color w:val="262626"/>
                <w:sz w:val="18"/>
                <w:szCs w:val="18"/>
              </w:rPr>
              <w:t>Our NAND memory business is subject to a pending sale to SK hynix, as announced in October 2020.</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5C7C7676" w14:textId="77777777" w:rsidR="0008009C" w:rsidRDefault="00936FDF">
            <w:pPr>
              <w:textAlignment w:val="top"/>
            </w:pPr>
            <w:r>
              <w:rPr>
                <w:rFonts w:ascii="Arial" w:eastAsia="宋体" w:hAnsi="Arial" w:cs="Arial"/>
                <w:color w:val="262626"/>
                <w:sz w:val="18"/>
                <w:szCs w:val="18"/>
              </w:rPr>
              <w:t xml:space="preserve">We exclude the impact of our NAND memory business in certain non-GAAP measures because these </w:t>
            </w:r>
            <w:r>
              <w:rPr>
                <w:rFonts w:ascii="Arial" w:eastAsia="宋体" w:hAnsi="Arial" w:cs="Arial"/>
                <w:color w:val="262626"/>
                <w:sz w:val="18"/>
                <w:szCs w:val="18"/>
              </w:rPr>
              <w:t>adjustments reflect how management currently views the core operations of the company. While the sale of the NAND memory business is still pending and subject to closing conditions, management does not currently view the business as part of the company’s c</w:t>
            </w:r>
            <w:r>
              <w:rPr>
                <w:rFonts w:ascii="Arial" w:eastAsia="宋体" w:hAnsi="Arial" w:cs="Arial"/>
                <w:color w:val="262626"/>
                <w:sz w:val="18"/>
                <w:szCs w:val="18"/>
              </w:rPr>
              <w:t>ore operations or its long-term strategic direction. We believe these adjustments provide investors with a useful view, through the eyes of management, of the company’s core business model and how management currently evaluates core operational performance</w:t>
            </w:r>
            <w:r>
              <w:rPr>
                <w:rFonts w:ascii="Arial" w:eastAsia="宋体" w:hAnsi="Arial" w:cs="Arial"/>
                <w:color w:val="262626"/>
                <w:sz w:val="18"/>
                <w:szCs w:val="18"/>
              </w:rPr>
              <w:t>. We believe they also provide investors with an additional means to understand the potential impact of the divestiture over time. In making these adjustments, we have not made any changes to our methods for measuring and calculating revenue or other finan</w:t>
            </w:r>
            <w:r>
              <w:rPr>
                <w:rFonts w:ascii="Arial" w:eastAsia="宋体" w:hAnsi="Arial" w:cs="Arial"/>
                <w:color w:val="262626"/>
                <w:sz w:val="18"/>
                <w:szCs w:val="18"/>
              </w:rPr>
              <w:t>cial statement amounts.</w:t>
            </w:r>
          </w:p>
        </w:tc>
      </w:tr>
      <w:tr w:rsidR="0008009C" w14:paraId="5C7C767B"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5C7C7678" w14:textId="77777777" w:rsidR="0008009C" w:rsidRDefault="00936FDF">
            <w:pPr>
              <w:textAlignment w:val="top"/>
            </w:pPr>
            <w:r>
              <w:rPr>
                <w:rFonts w:ascii="Arial" w:eastAsia="宋体" w:hAnsi="Arial" w:cs="Arial"/>
                <w:color w:val="262626"/>
                <w:sz w:val="18"/>
                <w:szCs w:val="18"/>
              </w:rPr>
              <w:t>Acquisition-related adjustments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5C7C7679" w14:textId="77777777" w:rsidR="0008009C" w:rsidRDefault="00936FDF">
            <w:pPr>
              <w:textAlignment w:val="top"/>
            </w:pPr>
            <w:r>
              <w:rPr>
                <w:rFonts w:ascii="Arial" w:eastAsia="宋体" w:hAnsi="Arial" w:cs="Arial"/>
                <w:color w:val="262626"/>
                <w:sz w:val="18"/>
                <w:szCs w:val="18"/>
              </w:rPr>
              <w:t>Amortization of acquisition-related intangible assets consists of amortization of intangible assets such as developed technology, brands, and customer relationships acquired in connection with busine</w:t>
            </w:r>
            <w:r>
              <w:rPr>
                <w:rFonts w:ascii="Arial" w:eastAsia="宋体" w:hAnsi="Arial" w:cs="Arial"/>
                <w:color w:val="262626"/>
                <w:sz w:val="18"/>
                <w:szCs w:val="18"/>
              </w:rPr>
              <w:t>ss combinations. Charges related to the amortization of these intangibles are recorded within both cost of sales and MG&amp;A in our U.S. GAAP financial statements. Amortization charges are recorded over the estimated useful life of the related acquired intang</w:t>
            </w:r>
            <w:r>
              <w:rPr>
                <w:rFonts w:ascii="Arial" w:eastAsia="宋体" w:hAnsi="Arial" w:cs="Arial"/>
                <w:color w:val="262626"/>
                <w:sz w:val="18"/>
                <w:szCs w:val="18"/>
              </w:rPr>
              <w:t>ible asset, and thus are generally recorded over multiple years.</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5C7C767A" w14:textId="77777777" w:rsidR="0008009C" w:rsidRDefault="00936FDF">
            <w:pPr>
              <w:textAlignment w:val="top"/>
            </w:pPr>
            <w:r>
              <w:rPr>
                <w:rFonts w:ascii="Arial" w:eastAsia="宋体" w:hAnsi="Arial" w:cs="Arial"/>
                <w:color w:val="262626"/>
                <w:sz w:val="18"/>
                <w:szCs w:val="18"/>
              </w:rPr>
              <w:t xml:space="preserve">We exclude amortization charges for our acquisition-related intangible assets for purposes of calculating certain non-GAAP measures because these charges are inconsistent in size and are </w:t>
            </w:r>
            <w:r>
              <w:rPr>
                <w:rFonts w:ascii="Arial" w:eastAsia="宋体" w:hAnsi="Arial" w:cs="Arial"/>
                <w:color w:val="262626"/>
                <w:sz w:val="18"/>
                <w:szCs w:val="18"/>
              </w:rPr>
              <w:t>significantly impacted by the timing and valuation of our acquisitions. These adjustments facilitate a useful evaluation of our current operating performance and comparison to our past operating performance and provide investors with additional means to ev</w:t>
            </w:r>
            <w:r>
              <w:rPr>
                <w:rFonts w:ascii="Arial" w:eastAsia="宋体" w:hAnsi="Arial" w:cs="Arial"/>
                <w:color w:val="262626"/>
                <w:sz w:val="18"/>
                <w:szCs w:val="18"/>
              </w:rPr>
              <w:t>aluate cost and expense trends.</w:t>
            </w:r>
          </w:p>
        </w:tc>
      </w:tr>
      <w:tr w:rsidR="0008009C" w14:paraId="5C7C767F"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5C7C767C" w14:textId="77777777" w:rsidR="0008009C" w:rsidRDefault="00936FDF">
            <w:pPr>
              <w:textAlignment w:val="top"/>
            </w:pPr>
            <w:r>
              <w:rPr>
                <w:rFonts w:ascii="Arial" w:eastAsia="宋体" w:hAnsi="Arial" w:cs="Arial"/>
                <w:color w:val="262626"/>
                <w:sz w:val="18"/>
                <w:szCs w:val="18"/>
              </w:rPr>
              <w:t>Restructuring and other charges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5C7C767D" w14:textId="77777777" w:rsidR="0008009C" w:rsidRDefault="00936FDF">
            <w:pPr>
              <w:textAlignment w:val="top"/>
            </w:pPr>
            <w:r>
              <w:rPr>
                <w:rFonts w:ascii="Arial" w:eastAsia="宋体" w:hAnsi="Arial" w:cs="Arial"/>
                <w:color w:val="262626"/>
                <w:sz w:val="18"/>
                <w:szCs w:val="18"/>
              </w:rPr>
              <w:t>Restructuring charges are costs associated with a formal restructuring plan and are primarily related to employee severance and benefit arrangements. Other charges include a charge related to</w:t>
            </w:r>
            <w:r>
              <w:rPr>
                <w:rFonts w:ascii="Arial" w:eastAsia="宋体" w:hAnsi="Arial" w:cs="Arial"/>
                <w:color w:val="262626"/>
                <w:sz w:val="18"/>
                <w:szCs w:val="18"/>
              </w:rPr>
              <w:t xml:space="preserve"> the VLSI litigation, asset impairments, pension charges, and costs associated with restructuring activity.</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5C7C767E" w14:textId="77777777" w:rsidR="0008009C" w:rsidRDefault="00936FDF">
            <w:pPr>
              <w:textAlignment w:val="top"/>
            </w:pPr>
            <w:r>
              <w:rPr>
                <w:rFonts w:ascii="Arial" w:eastAsia="宋体" w:hAnsi="Arial" w:cs="Arial"/>
                <w:color w:val="262626"/>
                <w:sz w:val="18"/>
                <w:szCs w:val="18"/>
              </w:rPr>
              <w:t>We exclude restructuring and other charges, including any adjustments to charges recorded in prior periods, for purposes of calculating certain non-</w:t>
            </w:r>
            <w:r>
              <w:rPr>
                <w:rFonts w:ascii="Arial" w:eastAsia="宋体" w:hAnsi="Arial" w:cs="Arial"/>
                <w:color w:val="262626"/>
                <w:sz w:val="18"/>
                <w:szCs w:val="18"/>
              </w:rPr>
              <w:t xml:space="preserve">GAAP measures because these costs do not reflect our current operating performance. These adjustments facilitate a useful evaluation of our current operating performance and comparisons to past operating results and provide investors with additional means </w:t>
            </w:r>
            <w:r>
              <w:rPr>
                <w:rFonts w:ascii="Arial" w:eastAsia="宋体" w:hAnsi="Arial" w:cs="Arial"/>
                <w:color w:val="262626"/>
                <w:sz w:val="18"/>
                <w:szCs w:val="18"/>
              </w:rPr>
              <w:t>to evaluate expense trends.</w:t>
            </w:r>
          </w:p>
        </w:tc>
      </w:tr>
      <w:tr w:rsidR="0008009C" w14:paraId="5C7C7683" w14:textId="77777777">
        <w:trPr>
          <w:hidden/>
        </w:trPr>
        <w:tc>
          <w:tcPr>
            <w:tcW w:w="0" w:type="auto"/>
            <w:gridSpan w:val="3"/>
            <w:shd w:val="clear" w:color="auto" w:fill="auto"/>
          </w:tcPr>
          <w:p w14:paraId="5C7C7680" w14:textId="77777777" w:rsidR="0008009C" w:rsidRDefault="0008009C">
            <w:pPr>
              <w:rPr>
                <w:rFonts w:ascii="宋体"/>
                <w:vanish/>
              </w:rPr>
            </w:pPr>
          </w:p>
        </w:tc>
        <w:tc>
          <w:tcPr>
            <w:tcW w:w="0" w:type="auto"/>
            <w:gridSpan w:val="3"/>
            <w:shd w:val="clear" w:color="auto" w:fill="auto"/>
          </w:tcPr>
          <w:p w14:paraId="5C7C7681" w14:textId="77777777" w:rsidR="0008009C" w:rsidRDefault="0008009C">
            <w:pPr>
              <w:rPr>
                <w:rFonts w:ascii="宋体"/>
                <w:vanish/>
              </w:rPr>
            </w:pPr>
          </w:p>
        </w:tc>
        <w:tc>
          <w:tcPr>
            <w:tcW w:w="0" w:type="auto"/>
            <w:gridSpan w:val="3"/>
            <w:shd w:val="clear" w:color="auto" w:fill="auto"/>
          </w:tcPr>
          <w:p w14:paraId="5C7C7682" w14:textId="77777777" w:rsidR="0008009C" w:rsidRDefault="0008009C">
            <w:pPr>
              <w:rPr>
                <w:rFonts w:ascii="宋体"/>
                <w:vanish/>
              </w:rPr>
            </w:pPr>
          </w:p>
        </w:tc>
      </w:tr>
      <w:tr w:rsidR="0008009C" w14:paraId="5C7C7687"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5C7C7684" w14:textId="77777777" w:rsidR="0008009C" w:rsidRDefault="00936FDF">
            <w:pPr>
              <w:textAlignment w:val="top"/>
            </w:pPr>
            <w:r>
              <w:rPr>
                <w:rFonts w:ascii="Arial" w:eastAsia="宋体" w:hAnsi="Arial" w:cs="Arial"/>
                <w:color w:val="262626"/>
                <w:sz w:val="18"/>
                <w:szCs w:val="18"/>
              </w:rPr>
              <w:t>Ongoing mark-to-market on marketable equity securities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5C7C7685" w14:textId="77777777" w:rsidR="0008009C" w:rsidRDefault="00936FDF">
            <w:pPr>
              <w:textAlignment w:val="top"/>
            </w:pPr>
            <w:r>
              <w:rPr>
                <w:rFonts w:ascii="Arial" w:eastAsia="宋体" w:hAnsi="Arial" w:cs="Arial"/>
                <w:color w:val="262626"/>
                <w:sz w:val="18"/>
                <w:szCs w:val="18"/>
              </w:rPr>
              <w:t xml:space="preserve">After the initial mark-to-market adjustment is recorded upon a security becoming marketable, gains and losses are recognized from ongoing mark-to-market adjustments of our marketable equity securities. </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5C7C7686" w14:textId="77777777" w:rsidR="0008009C" w:rsidRDefault="00936FDF">
            <w:pPr>
              <w:textAlignment w:val="top"/>
            </w:pPr>
            <w:r>
              <w:rPr>
                <w:rFonts w:ascii="Arial" w:eastAsia="宋体" w:hAnsi="Arial" w:cs="Arial"/>
                <w:color w:val="262626"/>
                <w:sz w:val="18"/>
                <w:szCs w:val="18"/>
              </w:rPr>
              <w:t>We exclude these ongoing gains and losses for purpose</w:t>
            </w:r>
            <w:r>
              <w:rPr>
                <w:rFonts w:ascii="Arial" w:eastAsia="宋体" w:hAnsi="Arial" w:cs="Arial"/>
                <w:color w:val="262626"/>
                <w:sz w:val="18"/>
                <w:szCs w:val="18"/>
              </w:rPr>
              <w:t>s of calculating certain non-GAAP measures because we do not believe this volatility correlates to our core operational performance. These adjustments facilitate a useful evaluation of our current operating performance and comparisons to past operating res</w:t>
            </w:r>
            <w:r>
              <w:rPr>
                <w:rFonts w:ascii="Arial" w:eastAsia="宋体" w:hAnsi="Arial" w:cs="Arial"/>
                <w:color w:val="262626"/>
                <w:sz w:val="18"/>
                <w:szCs w:val="18"/>
              </w:rPr>
              <w:t xml:space="preserve">ults. </w:t>
            </w:r>
          </w:p>
        </w:tc>
      </w:tr>
      <w:tr w:rsidR="0008009C" w14:paraId="5C7C768B"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5C7C7688" w14:textId="77777777" w:rsidR="0008009C" w:rsidRDefault="00936FDF">
            <w:pPr>
              <w:textAlignment w:val="top"/>
            </w:pPr>
            <w:r>
              <w:rPr>
                <w:rFonts w:ascii="Arial" w:eastAsia="宋体" w:hAnsi="Arial" w:cs="Arial"/>
                <w:color w:val="262626"/>
                <w:sz w:val="18"/>
                <w:szCs w:val="18"/>
              </w:rPr>
              <w:t>Free cash flow</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5C7C7689" w14:textId="77777777" w:rsidR="0008009C" w:rsidRDefault="00936FDF">
            <w:pPr>
              <w:textAlignment w:val="top"/>
            </w:pPr>
            <w:r>
              <w:rPr>
                <w:rFonts w:ascii="Arial" w:eastAsia="宋体" w:hAnsi="Arial" w:cs="Arial"/>
                <w:color w:val="262626"/>
                <w:sz w:val="18"/>
                <w:szCs w:val="18"/>
              </w:rPr>
              <w:t xml:space="preserve">We reference a non-GAAP financial measure of free cash flow, which is used by management when assessing our sources of liquidity, capital resources, and quality of earnings. Free cash flow is operating cash flow adjusted to </w:t>
            </w:r>
            <w:r>
              <w:rPr>
                <w:rFonts w:ascii="Arial" w:eastAsia="宋体" w:hAnsi="Arial" w:cs="Arial"/>
                <w:color w:val="262626"/>
                <w:sz w:val="18"/>
                <w:szCs w:val="18"/>
              </w:rPr>
              <w:t>exclude additions to property, plant and equipment.</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5C7C768A" w14:textId="77777777" w:rsidR="0008009C" w:rsidRDefault="00936FDF">
            <w:pPr>
              <w:textAlignment w:val="top"/>
            </w:pPr>
            <w:r>
              <w:rPr>
                <w:rFonts w:ascii="Arial" w:eastAsia="宋体" w:hAnsi="Arial" w:cs="Arial"/>
                <w:color w:val="262626"/>
                <w:sz w:val="18"/>
                <w:szCs w:val="18"/>
              </w:rPr>
              <w:t>This non-GAAP financial measure is helpful in understanding our capital requirements and provides an additional means to evaluate the cash flow trends of our business. In calculating free cash flow, we do</w:t>
            </w:r>
            <w:r>
              <w:rPr>
                <w:rFonts w:ascii="Arial" w:eastAsia="宋体" w:hAnsi="Arial" w:cs="Arial"/>
                <w:color w:val="262626"/>
                <w:sz w:val="18"/>
                <w:szCs w:val="18"/>
              </w:rPr>
              <w:t xml:space="preserve"> not subtract additions to held for sale NAND property, plant and equipment because the additions are not representative of our long-term capital requirements and we expect these assets to be sold. </w:t>
            </w:r>
          </w:p>
        </w:tc>
      </w:tr>
      <w:tr w:rsidR="0008009C" w14:paraId="5C7C768F" w14:textId="77777777">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tcPr>
          <w:p w14:paraId="5C7C768C" w14:textId="77777777" w:rsidR="0008009C" w:rsidRDefault="00936FDF">
            <w:pPr>
              <w:textAlignment w:val="top"/>
            </w:pPr>
            <w:r>
              <w:rPr>
                <w:rFonts w:ascii="Arial" w:eastAsia="宋体" w:hAnsi="Arial" w:cs="Arial"/>
                <w:color w:val="262626"/>
                <w:sz w:val="18"/>
                <w:szCs w:val="18"/>
              </w:rPr>
              <w:t>Total cash and investments</w:t>
            </w:r>
          </w:p>
        </w:tc>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tcPr>
          <w:p w14:paraId="5C7C768D" w14:textId="77777777" w:rsidR="0008009C" w:rsidRDefault="00936FDF">
            <w:pPr>
              <w:textAlignment w:val="top"/>
            </w:pPr>
            <w:r>
              <w:rPr>
                <w:rFonts w:ascii="Arial" w:eastAsia="宋体" w:hAnsi="Arial" w:cs="Arial"/>
                <w:color w:val="262626"/>
                <w:sz w:val="18"/>
                <w:szCs w:val="18"/>
              </w:rPr>
              <w:t>Total cash and investments is</w:t>
            </w:r>
            <w:r>
              <w:rPr>
                <w:rFonts w:ascii="Arial" w:eastAsia="宋体" w:hAnsi="Arial" w:cs="Arial"/>
                <w:color w:val="262626"/>
                <w:sz w:val="18"/>
                <w:szCs w:val="18"/>
              </w:rPr>
              <w:t xml:space="preserve"> used by management when assessing our sources of liquidity, which includes cash and cash equivalents, short-term investments, trading assets, other long-term investments, and loans receivable and other.</w:t>
            </w:r>
          </w:p>
        </w:tc>
        <w:tc>
          <w:tcPr>
            <w:tcW w:w="0" w:type="auto"/>
            <w:gridSpan w:val="3"/>
            <w:tcBorders>
              <w:top w:val="single" w:sz="8" w:space="0" w:color="262626"/>
              <w:left w:val="single" w:sz="8" w:space="0" w:color="262626"/>
              <w:bottom w:val="single" w:sz="8" w:space="0" w:color="262626"/>
              <w:right w:val="single" w:sz="8" w:space="0" w:color="262626"/>
            </w:tcBorders>
            <w:shd w:val="clear" w:color="auto" w:fill="auto"/>
            <w:tcMar>
              <w:top w:w="40" w:type="dxa"/>
              <w:left w:w="20" w:type="dxa"/>
              <w:bottom w:w="40" w:type="dxa"/>
              <w:right w:w="20" w:type="dxa"/>
            </w:tcMar>
          </w:tcPr>
          <w:p w14:paraId="5C7C768E" w14:textId="77777777" w:rsidR="0008009C" w:rsidRDefault="00936FDF">
            <w:pPr>
              <w:spacing w:before="180"/>
              <w:textAlignment w:val="top"/>
            </w:pPr>
            <w:r>
              <w:rPr>
                <w:rFonts w:ascii="Arial" w:eastAsia="宋体" w:hAnsi="Arial" w:cs="Arial"/>
                <w:color w:val="262626"/>
                <w:sz w:val="18"/>
                <w:szCs w:val="18"/>
              </w:rPr>
              <w:t xml:space="preserve">This non-GAAP measure is helpful in </w:t>
            </w:r>
            <w:r>
              <w:rPr>
                <w:rFonts w:ascii="Arial" w:eastAsia="宋体" w:hAnsi="Arial" w:cs="Arial"/>
                <w:color w:val="262626"/>
                <w:sz w:val="18"/>
                <w:szCs w:val="18"/>
              </w:rPr>
              <w:t>understanding our capital resources and liquidity position.</w:t>
            </w:r>
          </w:p>
        </w:tc>
      </w:tr>
    </w:tbl>
    <w:p w14:paraId="5C7C7690"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08009C" w14:paraId="5C7C769A" w14:textId="77777777">
        <w:tc>
          <w:tcPr>
            <w:tcW w:w="50" w:type="pct"/>
            <w:shd w:val="clear" w:color="auto" w:fill="auto"/>
            <w:vAlign w:val="bottom"/>
          </w:tcPr>
          <w:p w14:paraId="5C7C7691" w14:textId="77777777" w:rsidR="0008009C" w:rsidRDefault="0008009C">
            <w:pPr>
              <w:rPr>
                <w:rFonts w:ascii="宋体"/>
              </w:rPr>
            </w:pPr>
          </w:p>
        </w:tc>
        <w:tc>
          <w:tcPr>
            <w:tcW w:w="212" w:type="pct"/>
            <w:shd w:val="clear" w:color="auto" w:fill="auto"/>
            <w:vAlign w:val="bottom"/>
          </w:tcPr>
          <w:p w14:paraId="5C7C7692" w14:textId="77777777" w:rsidR="0008009C" w:rsidRDefault="0008009C">
            <w:pPr>
              <w:rPr>
                <w:rFonts w:ascii="宋体"/>
              </w:rPr>
            </w:pPr>
          </w:p>
        </w:tc>
        <w:tc>
          <w:tcPr>
            <w:tcW w:w="5" w:type="pct"/>
            <w:shd w:val="clear" w:color="auto" w:fill="auto"/>
            <w:vAlign w:val="bottom"/>
          </w:tcPr>
          <w:p w14:paraId="5C7C7693" w14:textId="77777777" w:rsidR="0008009C" w:rsidRDefault="0008009C">
            <w:pPr>
              <w:rPr>
                <w:rFonts w:ascii="宋体"/>
              </w:rPr>
            </w:pPr>
          </w:p>
        </w:tc>
        <w:tc>
          <w:tcPr>
            <w:tcW w:w="50" w:type="pct"/>
            <w:shd w:val="clear" w:color="auto" w:fill="auto"/>
            <w:vAlign w:val="bottom"/>
          </w:tcPr>
          <w:p w14:paraId="5C7C7694" w14:textId="77777777" w:rsidR="0008009C" w:rsidRDefault="0008009C">
            <w:pPr>
              <w:rPr>
                <w:rFonts w:ascii="宋体"/>
              </w:rPr>
            </w:pPr>
          </w:p>
        </w:tc>
        <w:tc>
          <w:tcPr>
            <w:tcW w:w="2499" w:type="pct"/>
            <w:shd w:val="clear" w:color="auto" w:fill="auto"/>
            <w:vAlign w:val="bottom"/>
          </w:tcPr>
          <w:p w14:paraId="5C7C7695" w14:textId="77777777" w:rsidR="0008009C" w:rsidRDefault="0008009C">
            <w:pPr>
              <w:rPr>
                <w:rFonts w:ascii="宋体"/>
              </w:rPr>
            </w:pPr>
          </w:p>
        </w:tc>
        <w:tc>
          <w:tcPr>
            <w:tcW w:w="5" w:type="pct"/>
            <w:shd w:val="clear" w:color="auto" w:fill="auto"/>
            <w:vAlign w:val="bottom"/>
          </w:tcPr>
          <w:p w14:paraId="5C7C7696" w14:textId="77777777" w:rsidR="0008009C" w:rsidRDefault="0008009C">
            <w:pPr>
              <w:rPr>
                <w:rFonts w:ascii="宋体"/>
              </w:rPr>
            </w:pPr>
          </w:p>
        </w:tc>
        <w:tc>
          <w:tcPr>
            <w:tcW w:w="50" w:type="pct"/>
            <w:shd w:val="clear" w:color="auto" w:fill="auto"/>
            <w:vAlign w:val="bottom"/>
          </w:tcPr>
          <w:p w14:paraId="5C7C7697" w14:textId="77777777" w:rsidR="0008009C" w:rsidRDefault="0008009C">
            <w:pPr>
              <w:rPr>
                <w:rFonts w:ascii="宋体"/>
              </w:rPr>
            </w:pPr>
          </w:p>
        </w:tc>
        <w:tc>
          <w:tcPr>
            <w:tcW w:w="2122" w:type="pct"/>
            <w:shd w:val="clear" w:color="auto" w:fill="auto"/>
            <w:vAlign w:val="bottom"/>
          </w:tcPr>
          <w:p w14:paraId="5C7C7698" w14:textId="77777777" w:rsidR="0008009C" w:rsidRDefault="0008009C">
            <w:pPr>
              <w:rPr>
                <w:rFonts w:ascii="宋体"/>
              </w:rPr>
            </w:pPr>
          </w:p>
        </w:tc>
        <w:tc>
          <w:tcPr>
            <w:tcW w:w="5" w:type="pct"/>
            <w:shd w:val="clear" w:color="auto" w:fill="auto"/>
            <w:vAlign w:val="bottom"/>
          </w:tcPr>
          <w:p w14:paraId="5C7C7699" w14:textId="77777777" w:rsidR="0008009C" w:rsidRDefault="0008009C">
            <w:pPr>
              <w:rPr>
                <w:rFonts w:ascii="宋体"/>
              </w:rPr>
            </w:pPr>
          </w:p>
        </w:tc>
      </w:tr>
      <w:tr w:rsidR="0008009C" w14:paraId="5C7C769E"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769B"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72" wp14:editId="5C7C7D73">
                  <wp:extent cx="304800" cy="304800"/>
                  <wp:effectExtent l="0" t="0" r="0" b="0"/>
                  <wp:docPr id="51" name="图片 124"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4"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69C" w14:textId="77777777" w:rsidR="0008009C" w:rsidRDefault="00936FDF">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69D" w14:textId="77777777" w:rsidR="0008009C" w:rsidRDefault="00936FDF">
            <w:pPr>
              <w:jc w:val="right"/>
              <w:textAlignment w:val="center"/>
            </w:pPr>
            <w:r>
              <w:rPr>
                <w:rFonts w:ascii="Arial" w:eastAsia="宋体" w:hAnsi="Arial" w:cs="Arial"/>
                <w:color w:val="262626"/>
                <w:sz w:val="16"/>
                <w:szCs w:val="16"/>
              </w:rPr>
              <w:t>34</w:t>
            </w:r>
          </w:p>
        </w:tc>
      </w:tr>
    </w:tbl>
    <w:p w14:paraId="5C7C769F" w14:textId="77777777" w:rsidR="0008009C" w:rsidRDefault="00936FDF">
      <w:r>
        <w:pict w14:anchorId="5C7C7D74">
          <v:rect id="_x0000_i1060" style="width:415.3pt;height:1.5pt" o:hralign="center" o:hrstd="t" o:hr="t" fillcolor="#a0a0a0" stroked="f"/>
        </w:pict>
      </w:r>
    </w:p>
    <w:p w14:paraId="5C7C76A0" w14:textId="77777777" w:rsidR="0008009C" w:rsidRDefault="00936FDF">
      <w:pPr>
        <w:spacing w:after="180"/>
        <w:jc w:val="right"/>
      </w:pPr>
      <w:hyperlink r:id="rId59" w:anchor="i3a00378f6cc84b1c9cfc83239548ad53_7" w:history="1">
        <w:r>
          <w:rPr>
            <w:rStyle w:val="a5"/>
            <w:rFonts w:ascii="Arial" w:eastAsia="宋体" w:hAnsi="Arial" w:cs="Arial"/>
            <w:b/>
            <w:bCs/>
            <w:sz w:val="16"/>
            <w:szCs w:val="16"/>
          </w:rPr>
          <w:t>Table of Contents</w:t>
        </w:r>
      </w:hyperlink>
    </w:p>
    <w:p w14:paraId="5C7C76A1" w14:textId="77777777" w:rsidR="0008009C" w:rsidRDefault="0008009C">
      <w:pPr>
        <w:spacing w:after="180"/>
        <w:jc w:val="right"/>
      </w:pPr>
    </w:p>
    <w:p w14:paraId="5C7C76A2" w14:textId="77777777" w:rsidR="0008009C" w:rsidRDefault="00936FDF">
      <w:pPr>
        <w:spacing w:before="20" w:after="120"/>
      </w:pPr>
      <w:r>
        <w:rPr>
          <w:rFonts w:ascii="Arial" w:eastAsia="宋体" w:hAnsi="Arial" w:cs="Arial"/>
          <w:color w:val="262626"/>
          <w:sz w:val="18"/>
          <w:szCs w:val="18"/>
        </w:rPr>
        <w:t xml:space="preserve">Following are the reconciliations of our most comparable U.S. GAAP measures to </w:t>
      </w:r>
      <w:r>
        <w:rPr>
          <w:rFonts w:ascii="Arial" w:eastAsia="宋体" w:hAnsi="Arial" w:cs="Arial"/>
          <w:color w:val="262626"/>
          <w:sz w:val="18"/>
          <w:szCs w:val="18"/>
        </w:rPr>
        <w:t>our non-GAAP measures presented: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789"/>
        <w:gridCol w:w="38"/>
        <w:gridCol w:w="36"/>
        <w:gridCol w:w="36"/>
        <w:gridCol w:w="36"/>
        <w:gridCol w:w="121"/>
        <w:gridCol w:w="681"/>
        <w:gridCol w:w="181"/>
        <w:gridCol w:w="36"/>
        <w:gridCol w:w="36"/>
        <w:gridCol w:w="36"/>
        <w:gridCol w:w="121"/>
        <w:gridCol w:w="681"/>
        <w:gridCol w:w="181"/>
        <w:gridCol w:w="36"/>
        <w:gridCol w:w="36"/>
        <w:gridCol w:w="36"/>
        <w:gridCol w:w="36"/>
        <w:gridCol w:w="36"/>
        <w:gridCol w:w="36"/>
        <w:gridCol w:w="36"/>
        <w:gridCol w:w="36"/>
      </w:tblGrid>
      <w:tr w:rsidR="0008009C" w14:paraId="5C7C76B6" w14:textId="77777777">
        <w:tc>
          <w:tcPr>
            <w:tcW w:w="50" w:type="pct"/>
            <w:shd w:val="clear" w:color="auto" w:fill="auto"/>
          </w:tcPr>
          <w:p w14:paraId="5C7C76A3" w14:textId="77777777" w:rsidR="0008009C" w:rsidRDefault="0008009C">
            <w:pPr>
              <w:rPr>
                <w:rFonts w:ascii="宋体"/>
              </w:rPr>
            </w:pPr>
          </w:p>
        </w:tc>
        <w:tc>
          <w:tcPr>
            <w:tcW w:w="3688" w:type="pct"/>
            <w:shd w:val="clear" w:color="auto" w:fill="auto"/>
          </w:tcPr>
          <w:p w14:paraId="5C7C76A4" w14:textId="77777777" w:rsidR="0008009C" w:rsidRDefault="0008009C">
            <w:pPr>
              <w:rPr>
                <w:rFonts w:ascii="宋体"/>
              </w:rPr>
            </w:pPr>
          </w:p>
        </w:tc>
        <w:tc>
          <w:tcPr>
            <w:tcW w:w="5" w:type="pct"/>
            <w:shd w:val="clear" w:color="auto" w:fill="auto"/>
          </w:tcPr>
          <w:p w14:paraId="5C7C76A5" w14:textId="77777777" w:rsidR="0008009C" w:rsidRDefault="0008009C">
            <w:pPr>
              <w:rPr>
                <w:rFonts w:ascii="宋体"/>
              </w:rPr>
            </w:pPr>
          </w:p>
        </w:tc>
        <w:tc>
          <w:tcPr>
            <w:tcW w:w="5" w:type="pct"/>
            <w:shd w:val="clear" w:color="auto" w:fill="auto"/>
          </w:tcPr>
          <w:p w14:paraId="5C7C76A6" w14:textId="77777777" w:rsidR="0008009C" w:rsidRDefault="0008009C">
            <w:pPr>
              <w:rPr>
                <w:rFonts w:ascii="宋体"/>
              </w:rPr>
            </w:pPr>
          </w:p>
        </w:tc>
        <w:tc>
          <w:tcPr>
            <w:tcW w:w="24" w:type="pct"/>
            <w:shd w:val="clear" w:color="auto" w:fill="auto"/>
          </w:tcPr>
          <w:p w14:paraId="5C7C76A7" w14:textId="77777777" w:rsidR="0008009C" w:rsidRDefault="0008009C">
            <w:pPr>
              <w:rPr>
                <w:rFonts w:ascii="宋体"/>
              </w:rPr>
            </w:pPr>
          </w:p>
        </w:tc>
        <w:tc>
          <w:tcPr>
            <w:tcW w:w="5" w:type="pct"/>
            <w:shd w:val="clear" w:color="auto" w:fill="auto"/>
          </w:tcPr>
          <w:p w14:paraId="5C7C76A8" w14:textId="77777777" w:rsidR="0008009C" w:rsidRDefault="0008009C">
            <w:pPr>
              <w:rPr>
                <w:rFonts w:ascii="宋体"/>
              </w:rPr>
            </w:pPr>
          </w:p>
        </w:tc>
        <w:tc>
          <w:tcPr>
            <w:tcW w:w="50" w:type="pct"/>
            <w:shd w:val="clear" w:color="auto" w:fill="auto"/>
          </w:tcPr>
          <w:p w14:paraId="5C7C76A9" w14:textId="77777777" w:rsidR="0008009C" w:rsidRDefault="0008009C">
            <w:pPr>
              <w:rPr>
                <w:rFonts w:ascii="宋体"/>
              </w:rPr>
            </w:pPr>
          </w:p>
        </w:tc>
        <w:tc>
          <w:tcPr>
            <w:tcW w:w="539" w:type="pct"/>
            <w:shd w:val="clear" w:color="auto" w:fill="auto"/>
          </w:tcPr>
          <w:p w14:paraId="5C7C76AA" w14:textId="77777777" w:rsidR="0008009C" w:rsidRDefault="0008009C">
            <w:pPr>
              <w:rPr>
                <w:rFonts w:ascii="宋体"/>
              </w:rPr>
            </w:pPr>
          </w:p>
        </w:tc>
        <w:tc>
          <w:tcPr>
            <w:tcW w:w="5" w:type="pct"/>
            <w:shd w:val="clear" w:color="auto" w:fill="auto"/>
          </w:tcPr>
          <w:p w14:paraId="5C7C76AB" w14:textId="77777777" w:rsidR="0008009C" w:rsidRDefault="0008009C">
            <w:pPr>
              <w:rPr>
                <w:rFonts w:ascii="宋体"/>
              </w:rPr>
            </w:pPr>
          </w:p>
        </w:tc>
        <w:tc>
          <w:tcPr>
            <w:tcW w:w="5" w:type="pct"/>
            <w:shd w:val="clear" w:color="auto" w:fill="auto"/>
          </w:tcPr>
          <w:p w14:paraId="5C7C76AC" w14:textId="77777777" w:rsidR="0008009C" w:rsidRDefault="0008009C">
            <w:pPr>
              <w:rPr>
                <w:rFonts w:ascii="宋体"/>
              </w:rPr>
            </w:pPr>
          </w:p>
        </w:tc>
        <w:tc>
          <w:tcPr>
            <w:tcW w:w="24" w:type="pct"/>
            <w:shd w:val="clear" w:color="auto" w:fill="auto"/>
          </w:tcPr>
          <w:p w14:paraId="5C7C76AD" w14:textId="77777777" w:rsidR="0008009C" w:rsidRDefault="0008009C">
            <w:pPr>
              <w:rPr>
                <w:rFonts w:ascii="宋体"/>
              </w:rPr>
            </w:pPr>
          </w:p>
        </w:tc>
        <w:tc>
          <w:tcPr>
            <w:tcW w:w="5" w:type="pct"/>
            <w:shd w:val="clear" w:color="auto" w:fill="auto"/>
          </w:tcPr>
          <w:p w14:paraId="5C7C76AE" w14:textId="77777777" w:rsidR="0008009C" w:rsidRDefault="0008009C">
            <w:pPr>
              <w:rPr>
                <w:rFonts w:ascii="宋体"/>
              </w:rPr>
            </w:pPr>
          </w:p>
        </w:tc>
        <w:tc>
          <w:tcPr>
            <w:tcW w:w="50" w:type="pct"/>
            <w:shd w:val="clear" w:color="auto" w:fill="auto"/>
          </w:tcPr>
          <w:p w14:paraId="5C7C76AF" w14:textId="77777777" w:rsidR="0008009C" w:rsidRDefault="0008009C">
            <w:pPr>
              <w:rPr>
                <w:rFonts w:ascii="宋体"/>
              </w:rPr>
            </w:pPr>
          </w:p>
        </w:tc>
        <w:tc>
          <w:tcPr>
            <w:tcW w:w="539" w:type="pct"/>
            <w:shd w:val="clear" w:color="auto" w:fill="auto"/>
          </w:tcPr>
          <w:p w14:paraId="5C7C76B0" w14:textId="77777777" w:rsidR="0008009C" w:rsidRDefault="0008009C">
            <w:pPr>
              <w:rPr>
                <w:rFonts w:ascii="宋体"/>
              </w:rPr>
            </w:pPr>
          </w:p>
        </w:tc>
        <w:tc>
          <w:tcPr>
            <w:tcW w:w="5" w:type="pct"/>
            <w:shd w:val="clear" w:color="auto" w:fill="auto"/>
          </w:tcPr>
          <w:p w14:paraId="5C7C76B1" w14:textId="77777777" w:rsidR="0008009C" w:rsidRDefault="0008009C">
            <w:pPr>
              <w:rPr>
                <w:rFonts w:ascii="宋体"/>
              </w:rPr>
            </w:pPr>
          </w:p>
        </w:tc>
        <w:tc>
          <w:tcPr>
            <w:tcW w:w="0" w:type="auto"/>
            <w:shd w:val="clear" w:color="auto" w:fill="auto"/>
          </w:tcPr>
          <w:p w14:paraId="5C7C76B2" w14:textId="77777777" w:rsidR="0008009C" w:rsidRDefault="0008009C">
            <w:pPr>
              <w:rPr>
                <w:rFonts w:ascii="宋体"/>
                <w:vanish/>
              </w:rPr>
            </w:pPr>
          </w:p>
        </w:tc>
        <w:tc>
          <w:tcPr>
            <w:tcW w:w="0" w:type="auto"/>
            <w:shd w:val="clear" w:color="auto" w:fill="auto"/>
          </w:tcPr>
          <w:p w14:paraId="5C7C76B3" w14:textId="77777777" w:rsidR="0008009C" w:rsidRDefault="0008009C">
            <w:pPr>
              <w:rPr>
                <w:rFonts w:ascii="宋体"/>
                <w:vanish/>
              </w:rPr>
            </w:pPr>
          </w:p>
        </w:tc>
        <w:tc>
          <w:tcPr>
            <w:tcW w:w="0" w:type="auto"/>
            <w:gridSpan w:val="3"/>
            <w:shd w:val="clear" w:color="auto" w:fill="auto"/>
          </w:tcPr>
          <w:p w14:paraId="5C7C76B4" w14:textId="77777777" w:rsidR="0008009C" w:rsidRDefault="0008009C">
            <w:pPr>
              <w:rPr>
                <w:rFonts w:ascii="宋体"/>
                <w:vanish/>
              </w:rPr>
            </w:pPr>
          </w:p>
        </w:tc>
        <w:tc>
          <w:tcPr>
            <w:tcW w:w="0" w:type="auto"/>
            <w:gridSpan w:val="3"/>
            <w:shd w:val="clear" w:color="auto" w:fill="auto"/>
          </w:tcPr>
          <w:p w14:paraId="5C7C76B5" w14:textId="77777777" w:rsidR="0008009C" w:rsidRDefault="0008009C">
            <w:pPr>
              <w:rPr>
                <w:rFonts w:ascii="宋体"/>
                <w:vanish/>
              </w:rPr>
            </w:pPr>
          </w:p>
        </w:tc>
      </w:tr>
      <w:tr w:rsidR="0008009C" w14:paraId="5C7C76C2" w14:textId="77777777">
        <w:tc>
          <w:tcPr>
            <w:tcW w:w="0" w:type="auto"/>
            <w:gridSpan w:val="3"/>
            <w:shd w:val="clear" w:color="auto" w:fill="auto"/>
            <w:tcMar>
              <w:top w:w="0" w:type="dxa"/>
              <w:left w:w="20" w:type="dxa"/>
              <w:bottom w:w="0" w:type="dxa"/>
              <w:right w:w="20" w:type="dxa"/>
            </w:tcMar>
          </w:tcPr>
          <w:p w14:paraId="5C7C76B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6B8"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bottom"/>
          </w:tcPr>
          <w:p w14:paraId="5C7C76B9" w14:textId="77777777" w:rsidR="0008009C" w:rsidRDefault="00936FDF">
            <w:pPr>
              <w:jc w:val="center"/>
              <w:textAlignment w:val="bottom"/>
            </w:pPr>
            <w:r>
              <w:rPr>
                <w:rFonts w:ascii="Arial" w:eastAsia="宋体" w:hAnsi="Arial" w:cs="Arial"/>
                <w:b/>
                <w:bCs/>
                <w:color w:val="262626"/>
                <w:sz w:val="18"/>
                <w:szCs w:val="18"/>
              </w:rPr>
              <w:t>Three Months Ended</w:t>
            </w:r>
          </w:p>
        </w:tc>
        <w:tc>
          <w:tcPr>
            <w:tcW w:w="0" w:type="auto"/>
            <w:shd w:val="clear" w:color="auto" w:fill="auto"/>
          </w:tcPr>
          <w:p w14:paraId="5C7C76BA" w14:textId="77777777" w:rsidR="0008009C" w:rsidRDefault="0008009C">
            <w:pPr>
              <w:rPr>
                <w:rFonts w:ascii="宋体"/>
                <w:vanish/>
              </w:rPr>
            </w:pPr>
          </w:p>
        </w:tc>
        <w:tc>
          <w:tcPr>
            <w:tcW w:w="0" w:type="auto"/>
            <w:shd w:val="clear" w:color="auto" w:fill="auto"/>
          </w:tcPr>
          <w:p w14:paraId="5C7C76BB" w14:textId="77777777" w:rsidR="0008009C" w:rsidRDefault="0008009C">
            <w:pPr>
              <w:rPr>
                <w:rFonts w:ascii="宋体"/>
                <w:vanish/>
              </w:rPr>
            </w:pPr>
          </w:p>
        </w:tc>
        <w:tc>
          <w:tcPr>
            <w:tcW w:w="0" w:type="auto"/>
            <w:shd w:val="clear" w:color="auto" w:fill="auto"/>
          </w:tcPr>
          <w:p w14:paraId="5C7C76BC" w14:textId="77777777" w:rsidR="0008009C" w:rsidRDefault="0008009C">
            <w:pPr>
              <w:rPr>
                <w:rFonts w:ascii="宋体"/>
              </w:rPr>
            </w:pPr>
          </w:p>
        </w:tc>
        <w:tc>
          <w:tcPr>
            <w:tcW w:w="0" w:type="auto"/>
            <w:shd w:val="clear" w:color="auto" w:fill="auto"/>
          </w:tcPr>
          <w:p w14:paraId="5C7C76BD" w14:textId="77777777" w:rsidR="0008009C" w:rsidRDefault="0008009C">
            <w:pPr>
              <w:rPr>
                <w:rFonts w:ascii="宋体"/>
              </w:rPr>
            </w:pPr>
          </w:p>
        </w:tc>
        <w:tc>
          <w:tcPr>
            <w:tcW w:w="0" w:type="auto"/>
            <w:shd w:val="clear" w:color="auto" w:fill="auto"/>
          </w:tcPr>
          <w:p w14:paraId="5C7C76BE" w14:textId="77777777" w:rsidR="0008009C" w:rsidRDefault="0008009C">
            <w:pPr>
              <w:rPr>
                <w:rFonts w:ascii="宋体"/>
              </w:rPr>
            </w:pPr>
          </w:p>
        </w:tc>
        <w:tc>
          <w:tcPr>
            <w:tcW w:w="0" w:type="auto"/>
            <w:shd w:val="clear" w:color="auto" w:fill="auto"/>
          </w:tcPr>
          <w:p w14:paraId="5C7C76BF" w14:textId="77777777" w:rsidR="0008009C" w:rsidRDefault="0008009C">
            <w:pPr>
              <w:rPr>
                <w:rFonts w:ascii="宋体"/>
              </w:rPr>
            </w:pPr>
          </w:p>
        </w:tc>
        <w:tc>
          <w:tcPr>
            <w:tcW w:w="0" w:type="auto"/>
            <w:shd w:val="clear" w:color="auto" w:fill="auto"/>
          </w:tcPr>
          <w:p w14:paraId="5C7C76C0" w14:textId="77777777" w:rsidR="0008009C" w:rsidRDefault="0008009C">
            <w:pPr>
              <w:rPr>
                <w:rFonts w:ascii="宋体"/>
              </w:rPr>
            </w:pPr>
          </w:p>
        </w:tc>
        <w:tc>
          <w:tcPr>
            <w:tcW w:w="0" w:type="auto"/>
            <w:shd w:val="clear" w:color="auto" w:fill="auto"/>
          </w:tcPr>
          <w:p w14:paraId="5C7C76C1" w14:textId="77777777" w:rsidR="0008009C" w:rsidRDefault="0008009C">
            <w:pPr>
              <w:rPr>
                <w:rFonts w:ascii="宋体"/>
              </w:rPr>
            </w:pPr>
          </w:p>
        </w:tc>
      </w:tr>
      <w:tr w:rsidR="0008009C" w14:paraId="5C7C76CC" w14:textId="77777777">
        <w:tc>
          <w:tcPr>
            <w:tcW w:w="0" w:type="auto"/>
            <w:gridSpan w:val="3"/>
            <w:shd w:val="clear" w:color="auto" w:fill="auto"/>
            <w:tcMar>
              <w:top w:w="40" w:type="dxa"/>
              <w:left w:w="20" w:type="dxa"/>
              <w:bottom w:w="40" w:type="dxa"/>
              <w:right w:w="20" w:type="dxa"/>
            </w:tcMar>
            <w:vAlign w:val="bottom"/>
          </w:tcPr>
          <w:p w14:paraId="5C7C76C3" w14:textId="77777777" w:rsidR="0008009C" w:rsidRDefault="00936FDF">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tcPr>
          <w:p w14:paraId="5C7C76C4"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6C5"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tcBorders>
              <w:top w:val="single" w:sz="8" w:space="0" w:color="0068B5"/>
            </w:tcBorders>
            <w:shd w:val="clear" w:color="auto" w:fill="auto"/>
            <w:tcMar>
              <w:top w:w="0" w:type="dxa"/>
              <w:left w:w="20" w:type="dxa"/>
              <w:bottom w:w="0" w:type="dxa"/>
              <w:right w:w="20" w:type="dxa"/>
            </w:tcMar>
          </w:tcPr>
          <w:p w14:paraId="5C7C76C6"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6C7" w14:textId="77777777" w:rsidR="0008009C" w:rsidRDefault="00936FDF">
            <w:pPr>
              <w:jc w:val="center"/>
              <w:textAlignment w:val="bottom"/>
            </w:pPr>
            <w:r>
              <w:rPr>
                <w:rFonts w:ascii="Arial" w:eastAsia="宋体" w:hAnsi="Arial" w:cs="Arial"/>
                <w:b/>
                <w:bCs/>
                <w:color w:val="262626"/>
                <w:sz w:val="18"/>
                <w:szCs w:val="18"/>
              </w:rPr>
              <w:t>Mar 28, 2020</w:t>
            </w:r>
          </w:p>
        </w:tc>
        <w:tc>
          <w:tcPr>
            <w:tcW w:w="0" w:type="auto"/>
            <w:shd w:val="clear" w:color="auto" w:fill="auto"/>
          </w:tcPr>
          <w:p w14:paraId="5C7C76C8" w14:textId="77777777" w:rsidR="0008009C" w:rsidRDefault="0008009C">
            <w:pPr>
              <w:rPr>
                <w:rFonts w:ascii="宋体"/>
                <w:vanish/>
              </w:rPr>
            </w:pPr>
          </w:p>
        </w:tc>
        <w:tc>
          <w:tcPr>
            <w:tcW w:w="0" w:type="auto"/>
            <w:shd w:val="clear" w:color="auto" w:fill="auto"/>
          </w:tcPr>
          <w:p w14:paraId="5C7C76C9" w14:textId="77777777" w:rsidR="0008009C" w:rsidRDefault="0008009C">
            <w:pPr>
              <w:rPr>
                <w:rFonts w:ascii="宋体"/>
                <w:vanish/>
              </w:rPr>
            </w:pPr>
          </w:p>
        </w:tc>
        <w:tc>
          <w:tcPr>
            <w:tcW w:w="0" w:type="auto"/>
            <w:gridSpan w:val="3"/>
            <w:shd w:val="clear" w:color="auto" w:fill="auto"/>
          </w:tcPr>
          <w:p w14:paraId="5C7C76CA" w14:textId="77777777" w:rsidR="0008009C" w:rsidRDefault="0008009C">
            <w:pPr>
              <w:rPr>
                <w:rFonts w:ascii="宋体"/>
                <w:vanish/>
              </w:rPr>
            </w:pPr>
          </w:p>
        </w:tc>
        <w:tc>
          <w:tcPr>
            <w:tcW w:w="0" w:type="auto"/>
            <w:gridSpan w:val="3"/>
            <w:shd w:val="clear" w:color="auto" w:fill="auto"/>
          </w:tcPr>
          <w:p w14:paraId="5C7C76CB" w14:textId="77777777" w:rsidR="0008009C" w:rsidRDefault="0008009C">
            <w:pPr>
              <w:rPr>
                <w:rFonts w:ascii="宋体"/>
                <w:vanish/>
              </w:rPr>
            </w:pPr>
          </w:p>
        </w:tc>
      </w:tr>
      <w:tr w:rsidR="0008009C" w14:paraId="5C7C76D6" w14:textId="77777777">
        <w:trPr>
          <w:hidden/>
        </w:trPr>
        <w:tc>
          <w:tcPr>
            <w:tcW w:w="0" w:type="auto"/>
            <w:gridSpan w:val="3"/>
            <w:shd w:val="clear" w:color="auto" w:fill="auto"/>
          </w:tcPr>
          <w:p w14:paraId="5C7C76CD" w14:textId="77777777" w:rsidR="0008009C" w:rsidRDefault="0008009C">
            <w:pPr>
              <w:rPr>
                <w:rFonts w:ascii="宋体"/>
                <w:vanish/>
              </w:rPr>
            </w:pPr>
          </w:p>
        </w:tc>
        <w:tc>
          <w:tcPr>
            <w:tcW w:w="0" w:type="auto"/>
            <w:gridSpan w:val="3"/>
            <w:shd w:val="clear" w:color="auto" w:fill="auto"/>
          </w:tcPr>
          <w:p w14:paraId="5C7C76CE" w14:textId="77777777" w:rsidR="0008009C" w:rsidRDefault="0008009C">
            <w:pPr>
              <w:rPr>
                <w:rFonts w:ascii="宋体"/>
                <w:vanish/>
              </w:rPr>
            </w:pPr>
          </w:p>
        </w:tc>
        <w:tc>
          <w:tcPr>
            <w:tcW w:w="0" w:type="auto"/>
            <w:gridSpan w:val="3"/>
            <w:shd w:val="clear" w:color="auto" w:fill="auto"/>
          </w:tcPr>
          <w:p w14:paraId="5C7C76CF" w14:textId="77777777" w:rsidR="0008009C" w:rsidRDefault="0008009C">
            <w:pPr>
              <w:rPr>
                <w:rFonts w:ascii="宋体"/>
                <w:vanish/>
              </w:rPr>
            </w:pPr>
          </w:p>
        </w:tc>
        <w:tc>
          <w:tcPr>
            <w:tcW w:w="0" w:type="auto"/>
            <w:gridSpan w:val="3"/>
            <w:shd w:val="clear" w:color="auto" w:fill="auto"/>
          </w:tcPr>
          <w:p w14:paraId="5C7C76D0" w14:textId="77777777" w:rsidR="0008009C" w:rsidRDefault="0008009C">
            <w:pPr>
              <w:rPr>
                <w:rFonts w:ascii="宋体"/>
                <w:vanish/>
              </w:rPr>
            </w:pPr>
          </w:p>
        </w:tc>
        <w:tc>
          <w:tcPr>
            <w:tcW w:w="0" w:type="auto"/>
            <w:gridSpan w:val="3"/>
            <w:shd w:val="clear" w:color="auto" w:fill="auto"/>
          </w:tcPr>
          <w:p w14:paraId="5C7C76D1" w14:textId="77777777" w:rsidR="0008009C" w:rsidRDefault="0008009C">
            <w:pPr>
              <w:rPr>
                <w:rFonts w:ascii="宋体"/>
                <w:vanish/>
              </w:rPr>
            </w:pPr>
          </w:p>
        </w:tc>
        <w:tc>
          <w:tcPr>
            <w:tcW w:w="0" w:type="auto"/>
            <w:shd w:val="clear" w:color="auto" w:fill="auto"/>
          </w:tcPr>
          <w:p w14:paraId="5C7C76D2" w14:textId="77777777" w:rsidR="0008009C" w:rsidRDefault="0008009C">
            <w:pPr>
              <w:rPr>
                <w:rFonts w:ascii="宋体"/>
                <w:vanish/>
              </w:rPr>
            </w:pPr>
          </w:p>
        </w:tc>
        <w:tc>
          <w:tcPr>
            <w:tcW w:w="0" w:type="auto"/>
            <w:shd w:val="clear" w:color="auto" w:fill="auto"/>
          </w:tcPr>
          <w:p w14:paraId="5C7C76D3" w14:textId="77777777" w:rsidR="0008009C" w:rsidRDefault="0008009C">
            <w:pPr>
              <w:rPr>
                <w:rFonts w:ascii="宋体"/>
                <w:vanish/>
              </w:rPr>
            </w:pPr>
          </w:p>
        </w:tc>
        <w:tc>
          <w:tcPr>
            <w:tcW w:w="0" w:type="auto"/>
            <w:gridSpan w:val="3"/>
            <w:shd w:val="clear" w:color="auto" w:fill="auto"/>
          </w:tcPr>
          <w:p w14:paraId="5C7C76D4" w14:textId="77777777" w:rsidR="0008009C" w:rsidRDefault="0008009C">
            <w:pPr>
              <w:rPr>
                <w:rFonts w:ascii="宋体"/>
                <w:vanish/>
              </w:rPr>
            </w:pPr>
          </w:p>
        </w:tc>
        <w:tc>
          <w:tcPr>
            <w:tcW w:w="0" w:type="auto"/>
            <w:gridSpan w:val="3"/>
            <w:shd w:val="clear" w:color="auto" w:fill="auto"/>
          </w:tcPr>
          <w:p w14:paraId="5C7C76D5" w14:textId="77777777" w:rsidR="0008009C" w:rsidRDefault="0008009C">
            <w:pPr>
              <w:rPr>
                <w:rFonts w:ascii="宋体"/>
                <w:vanish/>
              </w:rPr>
            </w:pPr>
          </w:p>
        </w:tc>
      </w:tr>
      <w:tr w:rsidR="0008009C" w14:paraId="5C7C76E0" w14:textId="77777777">
        <w:trPr>
          <w:hidden/>
        </w:trPr>
        <w:tc>
          <w:tcPr>
            <w:tcW w:w="0" w:type="auto"/>
            <w:gridSpan w:val="3"/>
            <w:shd w:val="clear" w:color="auto" w:fill="auto"/>
          </w:tcPr>
          <w:p w14:paraId="5C7C76D7" w14:textId="77777777" w:rsidR="0008009C" w:rsidRDefault="0008009C">
            <w:pPr>
              <w:rPr>
                <w:rFonts w:ascii="宋体"/>
                <w:vanish/>
              </w:rPr>
            </w:pPr>
          </w:p>
        </w:tc>
        <w:tc>
          <w:tcPr>
            <w:tcW w:w="0" w:type="auto"/>
            <w:gridSpan w:val="3"/>
            <w:shd w:val="clear" w:color="auto" w:fill="auto"/>
          </w:tcPr>
          <w:p w14:paraId="5C7C76D8" w14:textId="77777777" w:rsidR="0008009C" w:rsidRDefault="0008009C">
            <w:pPr>
              <w:rPr>
                <w:rFonts w:ascii="宋体"/>
                <w:vanish/>
              </w:rPr>
            </w:pPr>
          </w:p>
        </w:tc>
        <w:tc>
          <w:tcPr>
            <w:tcW w:w="0" w:type="auto"/>
            <w:gridSpan w:val="3"/>
            <w:shd w:val="clear" w:color="auto" w:fill="auto"/>
          </w:tcPr>
          <w:p w14:paraId="5C7C76D9" w14:textId="77777777" w:rsidR="0008009C" w:rsidRDefault="0008009C">
            <w:pPr>
              <w:rPr>
                <w:rFonts w:ascii="宋体"/>
                <w:vanish/>
              </w:rPr>
            </w:pPr>
          </w:p>
        </w:tc>
        <w:tc>
          <w:tcPr>
            <w:tcW w:w="0" w:type="auto"/>
            <w:gridSpan w:val="3"/>
            <w:shd w:val="clear" w:color="auto" w:fill="auto"/>
          </w:tcPr>
          <w:p w14:paraId="5C7C76DA" w14:textId="77777777" w:rsidR="0008009C" w:rsidRDefault="0008009C">
            <w:pPr>
              <w:rPr>
                <w:rFonts w:ascii="宋体"/>
                <w:vanish/>
              </w:rPr>
            </w:pPr>
          </w:p>
        </w:tc>
        <w:tc>
          <w:tcPr>
            <w:tcW w:w="0" w:type="auto"/>
            <w:gridSpan w:val="3"/>
            <w:shd w:val="clear" w:color="auto" w:fill="auto"/>
          </w:tcPr>
          <w:p w14:paraId="5C7C76DB" w14:textId="77777777" w:rsidR="0008009C" w:rsidRDefault="0008009C">
            <w:pPr>
              <w:rPr>
                <w:rFonts w:ascii="宋体"/>
                <w:vanish/>
              </w:rPr>
            </w:pPr>
          </w:p>
        </w:tc>
        <w:tc>
          <w:tcPr>
            <w:tcW w:w="0" w:type="auto"/>
            <w:shd w:val="clear" w:color="auto" w:fill="auto"/>
          </w:tcPr>
          <w:p w14:paraId="5C7C76DC" w14:textId="77777777" w:rsidR="0008009C" w:rsidRDefault="0008009C">
            <w:pPr>
              <w:rPr>
                <w:rFonts w:ascii="宋体"/>
                <w:vanish/>
              </w:rPr>
            </w:pPr>
          </w:p>
        </w:tc>
        <w:tc>
          <w:tcPr>
            <w:tcW w:w="0" w:type="auto"/>
            <w:shd w:val="clear" w:color="auto" w:fill="auto"/>
          </w:tcPr>
          <w:p w14:paraId="5C7C76DD" w14:textId="77777777" w:rsidR="0008009C" w:rsidRDefault="0008009C">
            <w:pPr>
              <w:rPr>
                <w:rFonts w:ascii="宋体"/>
                <w:vanish/>
              </w:rPr>
            </w:pPr>
          </w:p>
        </w:tc>
        <w:tc>
          <w:tcPr>
            <w:tcW w:w="0" w:type="auto"/>
            <w:gridSpan w:val="3"/>
            <w:shd w:val="clear" w:color="auto" w:fill="auto"/>
          </w:tcPr>
          <w:p w14:paraId="5C7C76DE" w14:textId="77777777" w:rsidR="0008009C" w:rsidRDefault="0008009C">
            <w:pPr>
              <w:rPr>
                <w:rFonts w:ascii="宋体"/>
                <w:vanish/>
              </w:rPr>
            </w:pPr>
          </w:p>
        </w:tc>
        <w:tc>
          <w:tcPr>
            <w:tcW w:w="0" w:type="auto"/>
            <w:gridSpan w:val="3"/>
            <w:shd w:val="clear" w:color="auto" w:fill="auto"/>
          </w:tcPr>
          <w:p w14:paraId="5C7C76DF" w14:textId="77777777" w:rsidR="0008009C" w:rsidRDefault="0008009C">
            <w:pPr>
              <w:rPr>
                <w:rFonts w:ascii="宋体"/>
                <w:vanish/>
              </w:rPr>
            </w:pPr>
          </w:p>
        </w:tc>
      </w:tr>
      <w:tr w:rsidR="0008009C" w14:paraId="5C7C76EA" w14:textId="77777777">
        <w:trPr>
          <w:hidden/>
        </w:trPr>
        <w:tc>
          <w:tcPr>
            <w:tcW w:w="0" w:type="auto"/>
            <w:gridSpan w:val="3"/>
            <w:shd w:val="clear" w:color="auto" w:fill="auto"/>
          </w:tcPr>
          <w:p w14:paraId="5C7C76E1" w14:textId="77777777" w:rsidR="0008009C" w:rsidRDefault="0008009C">
            <w:pPr>
              <w:rPr>
                <w:rFonts w:ascii="宋体"/>
                <w:vanish/>
              </w:rPr>
            </w:pPr>
          </w:p>
        </w:tc>
        <w:tc>
          <w:tcPr>
            <w:tcW w:w="0" w:type="auto"/>
            <w:gridSpan w:val="3"/>
            <w:shd w:val="clear" w:color="auto" w:fill="auto"/>
          </w:tcPr>
          <w:p w14:paraId="5C7C76E2" w14:textId="77777777" w:rsidR="0008009C" w:rsidRDefault="0008009C">
            <w:pPr>
              <w:rPr>
                <w:rFonts w:ascii="宋体"/>
                <w:vanish/>
              </w:rPr>
            </w:pPr>
          </w:p>
        </w:tc>
        <w:tc>
          <w:tcPr>
            <w:tcW w:w="0" w:type="auto"/>
            <w:gridSpan w:val="3"/>
            <w:shd w:val="clear" w:color="auto" w:fill="auto"/>
          </w:tcPr>
          <w:p w14:paraId="5C7C76E3" w14:textId="77777777" w:rsidR="0008009C" w:rsidRDefault="0008009C">
            <w:pPr>
              <w:rPr>
                <w:rFonts w:ascii="宋体"/>
                <w:vanish/>
              </w:rPr>
            </w:pPr>
          </w:p>
        </w:tc>
        <w:tc>
          <w:tcPr>
            <w:tcW w:w="0" w:type="auto"/>
            <w:gridSpan w:val="3"/>
            <w:shd w:val="clear" w:color="auto" w:fill="auto"/>
          </w:tcPr>
          <w:p w14:paraId="5C7C76E4" w14:textId="77777777" w:rsidR="0008009C" w:rsidRDefault="0008009C">
            <w:pPr>
              <w:rPr>
                <w:rFonts w:ascii="宋体"/>
                <w:vanish/>
              </w:rPr>
            </w:pPr>
          </w:p>
        </w:tc>
        <w:tc>
          <w:tcPr>
            <w:tcW w:w="0" w:type="auto"/>
            <w:gridSpan w:val="3"/>
            <w:shd w:val="clear" w:color="auto" w:fill="auto"/>
          </w:tcPr>
          <w:p w14:paraId="5C7C76E5" w14:textId="77777777" w:rsidR="0008009C" w:rsidRDefault="0008009C">
            <w:pPr>
              <w:rPr>
                <w:rFonts w:ascii="宋体"/>
                <w:vanish/>
              </w:rPr>
            </w:pPr>
          </w:p>
        </w:tc>
        <w:tc>
          <w:tcPr>
            <w:tcW w:w="0" w:type="auto"/>
            <w:shd w:val="clear" w:color="auto" w:fill="auto"/>
          </w:tcPr>
          <w:p w14:paraId="5C7C76E6" w14:textId="77777777" w:rsidR="0008009C" w:rsidRDefault="0008009C">
            <w:pPr>
              <w:rPr>
                <w:rFonts w:ascii="宋体"/>
                <w:vanish/>
              </w:rPr>
            </w:pPr>
          </w:p>
        </w:tc>
        <w:tc>
          <w:tcPr>
            <w:tcW w:w="0" w:type="auto"/>
            <w:shd w:val="clear" w:color="auto" w:fill="auto"/>
          </w:tcPr>
          <w:p w14:paraId="5C7C76E7" w14:textId="77777777" w:rsidR="0008009C" w:rsidRDefault="0008009C">
            <w:pPr>
              <w:rPr>
                <w:rFonts w:ascii="宋体"/>
                <w:vanish/>
              </w:rPr>
            </w:pPr>
          </w:p>
        </w:tc>
        <w:tc>
          <w:tcPr>
            <w:tcW w:w="0" w:type="auto"/>
            <w:gridSpan w:val="3"/>
            <w:shd w:val="clear" w:color="auto" w:fill="auto"/>
          </w:tcPr>
          <w:p w14:paraId="5C7C76E8" w14:textId="77777777" w:rsidR="0008009C" w:rsidRDefault="0008009C">
            <w:pPr>
              <w:rPr>
                <w:rFonts w:ascii="宋体"/>
                <w:vanish/>
              </w:rPr>
            </w:pPr>
          </w:p>
        </w:tc>
        <w:tc>
          <w:tcPr>
            <w:tcW w:w="0" w:type="auto"/>
            <w:gridSpan w:val="3"/>
            <w:shd w:val="clear" w:color="auto" w:fill="auto"/>
          </w:tcPr>
          <w:p w14:paraId="5C7C76E9" w14:textId="77777777" w:rsidR="0008009C" w:rsidRDefault="0008009C">
            <w:pPr>
              <w:rPr>
                <w:rFonts w:ascii="宋体"/>
                <w:vanish/>
              </w:rPr>
            </w:pPr>
          </w:p>
        </w:tc>
      </w:tr>
      <w:tr w:rsidR="0008009C" w14:paraId="5C7C76F4" w14:textId="77777777">
        <w:trPr>
          <w:hidden/>
        </w:trPr>
        <w:tc>
          <w:tcPr>
            <w:tcW w:w="0" w:type="auto"/>
            <w:gridSpan w:val="3"/>
            <w:shd w:val="clear" w:color="auto" w:fill="auto"/>
          </w:tcPr>
          <w:p w14:paraId="5C7C76EB" w14:textId="77777777" w:rsidR="0008009C" w:rsidRDefault="0008009C">
            <w:pPr>
              <w:rPr>
                <w:rFonts w:ascii="宋体"/>
                <w:vanish/>
              </w:rPr>
            </w:pPr>
          </w:p>
        </w:tc>
        <w:tc>
          <w:tcPr>
            <w:tcW w:w="0" w:type="auto"/>
            <w:gridSpan w:val="3"/>
            <w:shd w:val="clear" w:color="auto" w:fill="auto"/>
          </w:tcPr>
          <w:p w14:paraId="5C7C76EC" w14:textId="77777777" w:rsidR="0008009C" w:rsidRDefault="0008009C">
            <w:pPr>
              <w:rPr>
                <w:rFonts w:ascii="宋体"/>
                <w:vanish/>
              </w:rPr>
            </w:pPr>
          </w:p>
        </w:tc>
        <w:tc>
          <w:tcPr>
            <w:tcW w:w="0" w:type="auto"/>
            <w:gridSpan w:val="3"/>
            <w:shd w:val="clear" w:color="auto" w:fill="auto"/>
          </w:tcPr>
          <w:p w14:paraId="5C7C76ED" w14:textId="77777777" w:rsidR="0008009C" w:rsidRDefault="0008009C">
            <w:pPr>
              <w:rPr>
                <w:rFonts w:ascii="宋体"/>
                <w:vanish/>
              </w:rPr>
            </w:pPr>
          </w:p>
        </w:tc>
        <w:tc>
          <w:tcPr>
            <w:tcW w:w="0" w:type="auto"/>
            <w:gridSpan w:val="3"/>
            <w:shd w:val="clear" w:color="auto" w:fill="auto"/>
          </w:tcPr>
          <w:p w14:paraId="5C7C76EE" w14:textId="77777777" w:rsidR="0008009C" w:rsidRDefault="0008009C">
            <w:pPr>
              <w:rPr>
                <w:rFonts w:ascii="宋体"/>
                <w:vanish/>
              </w:rPr>
            </w:pPr>
          </w:p>
        </w:tc>
        <w:tc>
          <w:tcPr>
            <w:tcW w:w="0" w:type="auto"/>
            <w:gridSpan w:val="3"/>
            <w:shd w:val="clear" w:color="auto" w:fill="auto"/>
          </w:tcPr>
          <w:p w14:paraId="5C7C76EF" w14:textId="77777777" w:rsidR="0008009C" w:rsidRDefault="0008009C">
            <w:pPr>
              <w:rPr>
                <w:rFonts w:ascii="宋体"/>
                <w:vanish/>
              </w:rPr>
            </w:pPr>
          </w:p>
        </w:tc>
        <w:tc>
          <w:tcPr>
            <w:tcW w:w="0" w:type="auto"/>
            <w:shd w:val="clear" w:color="auto" w:fill="auto"/>
          </w:tcPr>
          <w:p w14:paraId="5C7C76F0" w14:textId="77777777" w:rsidR="0008009C" w:rsidRDefault="0008009C">
            <w:pPr>
              <w:rPr>
                <w:rFonts w:ascii="宋体"/>
                <w:vanish/>
              </w:rPr>
            </w:pPr>
          </w:p>
        </w:tc>
        <w:tc>
          <w:tcPr>
            <w:tcW w:w="0" w:type="auto"/>
            <w:shd w:val="clear" w:color="auto" w:fill="auto"/>
          </w:tcPr>
          <w:p w14:paraId="5C7C76F1" w14:textId="77777777" w:rsidR="0008009C" w:rsidRDefault="0008009C">
            <w:pPr>
              <w:rPr>
                <w:rFonts w:ascii="宋体"/>
                <w:vanish/>
              </w:rPr>
            </w:pPr>
          </w:p>
        </w:tc>
        <w:tc>
          <w:tcPr>
            <w:tcW w:w="0" w:type="auto"/>
            <w:gridSpan w:val="3"/>
            <w:shd w:val="clear" w:color="auto" w:fill="auto"/>
          </w:tcPr>
          <w:p w14:paraId="5C7C76F2" w14:textId="77777777" w:rsidR="0008009C" w:rsidRDefault="0008009C">
            <w:pPr>
              <w:rPr>
                <w:rFonts w:ascii="宋体"/>
                <w:vanish/>
              </w:rPr>
            </w:pPr>
          </w:p>
        </w:tc>
        <w:tc>
          <w:tcPr>
            <w:tcW w:w="0" w:type="auto"/>
            <w:gridSpan w:val="3"/>
            <w:shd w:val="clear" w:color="auto" w:fill="auto"/>
          </w:tcPr>
          <w:p w14:paraId="5C7C76F3" w14:textId="77777777" w:rsidR="0008009C" w:rsidRDefault="0008009C">
            <w:pPr>
              <w:rPr>
                <w:rFonts w:ascii="宋体"/>
                <w:vanish/>
              </w:rPr>
            </w:pPr>
          </w:p>
        </w:tc>
      </w:tr>
      <w:tr w:rsidR="0008009C" w14:paraId="5C7C76FE" w14:textId="77777777">
        <w:trPr>
          <w:hidden/>
        </w:trPr>
        <w:tc>
          <w:tcPr>
            <w:tcW w:w="0" w:type="auto"/>
            <w:gridSpan w:val="3"/>
            <w:shd w:val="clear" w:color="auto" w:fill="auto"/>
          </w:tcPr>
          <w:p w14:paraId="5C7C76F5" w14:textId="77777777" w:rsidR="0008009C" w:rsidRDefault="0008009C">
            <w:pPr>
              <w:rPr>
                <w:rFonts w:ascii="宋体"/>
                <w:vanish/>
              </w:rPr>
            </w:pPr>
          </w:p>
        </w:tc>
        <w:tc>
          <w:tcPr>
            <w:tcW w:w="0" w:type="auto"/>
            <w:gridSpan w:val="3"/>
            <w:shd w:val="clear" w:color="auto" w:fill="auto"/>
          </w:tcPr>
          <w:p w14:paraId="5C7C76F6" w14:textId="77777777" w:rsidR="0008009C" w:rsidRDefault="0008009C">
            <w:pPr>
              <w:rPr>
                <w:rFonts w:ascii="宋体"/>
                <w:vanish/>
              </w:rPr>
            </w:pPr>
          </w:p>
        </w:tc>
        <w:tc>
          <w:tcPr>
            <w:tcW w:w="0" w:type="auto"/>
            <w:gridSpan w:val="3"/>
            <w:shd w:val="clear" w:color="auto" w:fill="auto"/>
          </w:tcPr>
          <w:p w14:paraId="5C7C76F7" w14:textId="77777777" w:rsidR="0008009C" w:rsidRDefault="0008009C">
            <w:pPr>
              <w:rPr>
                <w:rFonts w:ascii="宋体"/>
                <w:vanish/>
              </w:rPr>
            </w:pPr>
          </w:p>
        </w:tc>
        <w:tc>
          <w:tcPr>
            <w:tcW w:w="0" w:type="auto"/>
            <w:gridSpan w:val="3"/>
            <w:shd w:val="clear" w:color="auto" w:fill="auto"/>
          </w:tcPr>
          <w:p w14:paraId="5C7C76F8" w14:textId="77777777" w:rsidR="0008009C" w:rsidRDefault="0008009C">
            <w:pPr>
              <w:rPr>
                <w:rFonts w:ascii="宋体"/>
                <w:vanish/>
              </w:rPr>
            </w:pPr>
          </w:p>
        </w:tc>
        <w:tc>
          <w:tcPr>
            <w:tcW w:w="0" w:type="auto"/>
            <w:gridSpan w:val="3"/>
            <w:shd w:val="clear" w:color="auto" w:fill="auto"/>
          </w:tcPr>
          <w:p w14:paraId="5C7C76F9" w14:textId="77777777" w:rsidR="0008009C" w:rsidRDefault="0008009C">
            <w:pPr>
              <w:rPr>
                <w:rFonts w:ascii="宋体"/>
                <w:vanish/>
              </w:rPr>
            </w:pPr>
          </w:p>
        </w:tc>
        <w:tc>
          <w:tcPr>
            <w:tcW w:w="0" w:type="auto"/>
            <w:shd w:val="clear" w:color="auto" w:fill="auto"/>
          </w:tcPr>
          <w:p w14:paraId="5C7C76FA" w14:textId="77777777" w:rsidR="0008009C" w:rsidRDefault="0008009C">
            <w:pPr>
              <w:rPr>
                <w:rFonts w:ascii="宋体"/>
                <w:vanish/>
              </w:rPr>
            </w:pPr>
          </w:p>
        </w:tc>
        <w:tc>
          <w:tcPr>
            <w:tcW w:w="0" w:type="auto"/>
            <w:shd w:val="clear" w:color="auto" w:fill="auto"/>
          </w:tcPr>
          <w:p w14:paraId="5C7C76FB" w14:textId="77777777" w:rsidR="0008009C" w:rsidRDefault="0008009C">
            <w:pPr>
              <w:rPr>
                <w:rFonts w:ascii="宋体"/>
                <w:vanish/>
              </w:rPr>
            </w:pPr>
          </w:p>
        </w:tc>
        <w:tc>
          <w:tcPr>
            <w:tcW w:w="0" w:type="auto"/>
            <w:gridSpan w:val="3"/>
            <w:shd w:val="clear" w:color="auto" w:fill="auto"/>
          </w:tcPr>
          <w:p w14:paraId="5C7C76FC" w14:textId="77777777" w:rsidR="0008009C" w:rsidRDefault="0008009C">
            <w:pPr>
              <w:rPr>
                <w:rFonts w:ascii="宋体"/>
                <w:vanish/>
              </w:rPr>
            </w:pPr>
          </w:p>
        </w:tc>
        <w:tc>
          <w:tcPr>
            <w:tcW w:w="0" w:type="auto"/>
            <w:gridSpan w:val="3"/>
            <w:shd w:val="clear" w:color="auto" w:fill="auto"/>
          </w:tcPr>
          <w:p w14:paraId="5C7C76FD" w14:textId="77777777" w:rsidR="0008009C" w:rsidRDefault="0008009C">
            <w:pPr>
              <w:rPr>
                <w:rFonts w:ascii="宋体"/>
                <w:vanish/>
              </w:rPr>
            </w:pPr>
          </w:p>
        </w:tc>
      </w:tr>
      <w:tr w:rsidR="0008009C" w14:paraId="5C7C7708" w14:textId="77777777">
        <w:trPr>
          <w:hidden/>
        </w:trPr>
        <w:tc>
          <w:tcPr>
            <w:tcW w:w="0" w:type="auto"/>
            <w:gridSpan w:val="3"/>
            <w:shd w:val="clear" w:color="auto" w:fill="auto"/>
          </w:tcPr>
          <w:p w14:paraId="5C7C76FF" w14:textId="77777777" w:rsidR="0008009C" w:rsidRDefault="0008009C">
            <w:pPr>
              <w:rPr>
                <w:rFonts w:ascii="宋体"/>
                <w:vanish/>
              </w:rPr>
            </w:pPr>
          </w:p>
        </w:tc>
        <w:tc>
          <w:tcPr>
            <w:tcW w:w="0" w:type="auto"/>
            <w:gridSpan w:val="3"/>
            <w:shd w:val="clear" w:color="auto" w:fill="auto"/>
          </w:tcPr>
          <w:p w14:paraId="5C7C7700" w14:textId="77777777" w:rsidR="0008009C" w:rsidRDefault="0008009C">
            <w:pPr>
              <w:rPr>
                <w:rFonts w:ascii="宋体"/>
                <w:vanish/>
              </w:rPr>
            </w:pPr>
          </w:p>
        </w:tc>
        <w:tc>
          <w:tcPr>
            <w:tcW w:w="0" w:type="auto"/>
            <w:gridSpan w:val="3"/>
            <w:shd w:val="clear" w:color="auto" w:fill="auto"/>
          </w:tcPr>
          <w:p w14:paraId="5C7C7701" w14:textId="77777777" w:rsidR="0008009C" w:rsidRDefault="0008009C">
            <w:pPr>
              <w:rPr>
                <w:rFonts w:ascii="宋体"/>
                <w:vanish/>
              </w:rPr>
            </w:pPr>
          </w:p>
        </w:tc>
        <w:tc>
          <w:tcPr>
            <w:tcW w:w="0" w:type="auto"/>
            <w:gridSpan w:val="3"/>
            <w:shd w:val="clear" w:color="auto" w:fill="auto"/>
          </w:tcPr>
          <w:p w14:paraId="5C7C7702" w14:textId="77777777" w:rsidR="0008009C" w:rsidRDefault="0008009C">
            <w:pPr>
              <w:rPr>
                <w:rFonts w:ascii="宋体"/>
                <w:vanish/>
              </w:rPr>
            </w:pPr>
          </w:p>
        </w:tc>
        <w:tc>
          <w:tcPr>
            <w:tcW w:w="0" w:type="auto"/>
            <w:gridSpan w:val="3"/>
            <w:shd w:val="clear" w:color="auto" w:fill="auto"/>
          </w:tcPr>
          <w:p w14:paraId="5C7C7703" w14:textId="77777777" w:rsidR="0008009C" w:rsidRDefault="0008009C">
            <w:pPr>
              <w:rPr>
                <w:rFonts w:ascii="宋体"/>
                <w:vanish/>
              </w:rPr>
            </w:pPr>
          </w:p>
        </w:tc>
        <w:tc>
          <w:tcPr>
            <w:tcW w:w="0" w:type="auto"/>
            <w:shd w:val="clear" w:color="auto" w:fill="auto"/>
          </w:tcPr>
          <w:p w14:paraId="5C7C7704" w14:textId="77777777" w:rsidR="0008009C" w:rsidRDefault="0008009C">
            <w:pPr>
              <w:rPr>
                <w:rFonts w:ascii="宋体"/>
                <w:vanish/>
              </w:rPr>
            </w:pPr>
          </w:p>
        </w:tc>
        <w:tc>
          <w:tcPr>
            <w:tcW w:w="0" w:type="auto"/>
            <w:shd w:val="clear" w:color="auto" w:fill="auto"/>
          </w:tcPr>
          <w:p w14:paraId="5C7C7705" w14:textId="77777777" w:rsidR="0008009C" w:rsidRDefault="0008009C">
            <w:pPr>
              <w:rPr>
                <w:rFonts w:ascii="宋体"/>
                <w:vanish/>
              </w:rPr>
            </w:pPr>
          </w:p>
        </w:tc>
        <w:tc>
          <w:tcPr>
            <w:tcW w:w="0" w:type="auto"/>
            <w:gridSpan w:val="3"/>
            <w:shd w:val="clear" w:color="auto" w:fill="auto"/>
          </w:tcPr>
          <w:p w14:paraId="5C7C7706" w14:textId="77777777" w:rsidR="0008009C" w:rsidRDefault="0008009C">
            <w:pPr>
              <w:rPr>
                <w:rFonts w:ascii="宋体"/>
                <w:vanish/>
              </w:rPr>
            </w:pPr>
          </w:p>
        </w:tc>
        <w:tc>
          <w:tcPr>
            <w:tcW w:w="0" w:type="auto"/>
            <w:gridSpan w:val="3"/>
            <w:shd w:val="clear" w:color="auto" w:fill="auto"/>
          </w:tcPr>
          <w:p w14:paraId="5C7C7707" w14:textId="77777777" w:rsidR="0008009C" w:rsidRDefault="0008009C">
            <w:pPr>
              <w:rPr>
                <w:rFonts w:ascii="宋体"/>
                <w:vanish/>
              </w:rPr>
            </w:pPr>
          </w:p>
        </w:tc>
      </w:tr>
      <w:tr w:rsidR="0008009C" w14:paraId="5C7C7712" w14:textId="77777777">
        <w:trPr>
          <w:hidden/>
        </w:trPr>
        <w:tc>
          <w:tcPr>
            <w:tcW w:w="0" w:type="auto"/>
            <w:gridSpan w:val="3"/>
            <w:shd w:val="clear" w:color="auto" w:fill="auto"/>
          </w:tcPr>
          <w:p w14:paraId="5C7C7709" w14:textId="77777777" w:rsidR="0008009C" w:rsidRDefault="0008009C">
            <w:pPr>
              <w:rPr>
                <w:rFonts w:ascii="宋体"/>
                <w:vanish/>
              </w:rPr>
            </w:pPr>
          </w:p>
        </w:tc>
        <w:tc>
          <w:tcPr>
            <w:tcW w:w="0" w:type="auto"/>
            <w:gridSpan w:val="3"/>
            <w:shd w:val="clear" w:color="auto" w:fill="auto"/>
          </w:tcPr>
          <w:p w14:paraId="5C7C770A" w14:textId="77777777" w:rsidR="0008009C" w:rsidRDefault="0008009C">
            <w:pPr>
              <w:rPr>
                <w:rFonts w:ascii="宋体"/>
                <w:vanish/>
              </w:rPr>
            </w:pPr>
          </w:p>
        </w:tc>
        <w:tc>
          <w:tcPr>
            <w:tcW w:w="0" w:type="auto"/>
            <w:gridSpan w:val="3"/>
            <w:shd w:val="clear" w:color="auto" w:fill="auto"/>
          </w:tcPr>
          <w:p w14:paraId="5C7C770B" w14:textId="77777777" w:rsidR="0008009C" w:rsidRDefault="0008009C">
            <w:pPr>
              <w:rPr>
                <w:rFonts w:ascii="宋体"/>
                <w:vanish/>
              </w:rPr>
            </w:pPr>
          </w:p>
        </w:tc>
        <w:tc>
          <w:tcPr>
            <w:tcW w:w="0" w:type="auto"/>
            <w:gridSpan w:val="3"/>
            <w:shd w:val="clear" w:color="auto" w:fill="auto"/>
          </w:tcPr>
          <w:p w14:paraId="5C7C770C" w14:textId="77777777" w:rsidR="0008009C" w:rsidRDefault="0008009C">
            <w:pPr>
              <w:rPr>
                <w:rFonts w:ascii="宋体"/>
                <w:vanish/>
              </w:rPr>
            </w:pPr>
          </w:p>
        </w:tc>
        <w:tc>
          <w:tcPr>
            <w:tcW w:w="0" w:type="auto"/>
            <w:gridSpan w:val="3"/>
            <w:shd w:val="clear" w:color="auto" w:fill="auto"/>
          </w:tcPr>
          <w:p w14:paraId="5C7C770D" w14:textId="77777777" w:rsidR="0008009C" w:rsidRDefault="0008009C">
            <w:pPr>
              <w:rPr>
                <w:rFonts w:ascii="宋体"/>
                <w:vanish/>
              </w:rPr>
            </w:pPr>
          </w:p>
        </w:tc>
        <w:tc>
          <w:tcPr>
            <w:tcW w:w="0" w:type="auto"/>
            <w:shd w:val="clear" w:color="auto" w:fill="auto"/>
          </w:tcPr>
          <w:p w14:paraId="5C7C770E" w14:textId="77777777" w:rsidR="0008009C" w:rsidRDefault="0008009C">
            <w:pPr>
              <w:rPr>
                <w:rFonts w:ascii="宋体"/>
                <w:vanish/>
              </w:rPr>
            </w:pPr>
          </w:p>
        </w:tc>
        <w:tc>
          <w:tcPr>
            <w:tcW w:w="0" w:type="auto"/>
            <w:shd w:val="clear" w:color="auto" w:fill="auto"/>
          </w:tcPr>
          <w:p w14:paraId="5C7C770F" w14:textId="77777777" w:rsidR="0008009C" w:rsidRDefault="0008009C">
            <w:pPr>
              <w:rPr>
                <w:rFonts w:ascii="宋体"/>
                <w:vanish/>
              </w:rPr>
            </w:pPr>
          </w:p>
        </w:tc>
        <w:tc>
          <w:tcPr>
            <w:tcW w:w="0" w:type="auto"/>
            <w:gridSpan w:val="3"/>
            <w:shd w:val="clear" w:color="auto" w:fill="auto"/>
          </w:tcPr>
          <w:p w14:paraId="5C7C7710" w14:textId="77777777" w:rsidR="0008009C" w:rsidRDefault="0008009C">
            <w:pPr>
              <w:rPr>
                <w:rFonts w:ascii="宋体"/>
                <w:vanish/>
              </w:rPr>
            </w:pPr>
          </w:p>
        </w:tc>
        <w:tc>
          <w:tcPr>
            <w:tcW w:w="0" w:type="auto"/>
            <w:gridSpan w:val="3"/>
            <w:shd w:val="clear" w:color="auto" w:fill="auto"/>
          </w:tcPr>
          <w:p w14:paraId="5C7C7711" w14:textId="77777777" w:rsidR="0008009C" w:rsidRDefault="0008009C">
            <w:pPr>
              <w:rPr>
                <w:rFonts w:ascii="宋体"/>
                <w:vanish/>
              </w:rPr>
            </w:pPr>
          </w:p>
        </w:tc>
      </w:tr>
      <w:tr w:rsidR="0008009C" w14:paraId="5C7C772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713" w14:textId="77777777" w:rsidR="0008009C" w:rsidRDefault="00936FDF">
            <w:pPr>
              <w:textAlignment w:val="bottom"/>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tcPr>
          <w:p w14:paraId="5C7C7714"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7715"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716" w14:textId="77777777" w:rsidR="0008009C" w:rsidRDefault="00936FDF">
            <w:pPr>
              <w:jc w:val="right"/>
              <w:textAlignment w:val="bottom"/>
            </w:pPr>
            <w:r>
              <w:rPr>
                <w:rFonts w:ascii="Arial" w:eastAsia="宋体" w:hAnsi="Arial" w:cs="Arial"/>
                <w:b/>
                <w:bCs/>
                <w:color w:val="0068B5"/>
                <w:sz w:val="18"/>
                <w:szCs w:val="18"/>
              </w:rPr>
              <w:t>19,673</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71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718"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7719"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71A" w14:textId="77777777" w:rsidR="0008009C" w:rsidRDefault="00936FDF">
            <w:pPr>
              <w:jc w:val="right"/>
              <w:textAlignment w:val="bottom"/>
            </w:pPr>
            <w:r>
              <w:rPr>
                <w:rFonts w:ascii="Arial" w:eastAsia="宋体" w:hAnsi="Arial" w:cs="Arial"/>
                <w:b/>
                <w:bCs/>
                <w:color w:val="262626"/>
                <w:sz w:val="18"/>
                <w:szCs w:val="18"/>
              </w:rPr>
              <w:t>19,828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71B" w14:textId="77777777" w:rsidR="0008009C" w:rsidRDefault="0008009C">
            <w:pPr>
              <w:jc w:val="right"/>
              <w:rPr>
                <w:rFonts w:ascii="宋体"/>
              </w:rPr>
            </w:pPr>
          </w:p>
        </w:tc>
        <w:tc>
          <w:tcPr>
            <w:tcW w:w="0" w:type="auto"/>
            <w:shd w:val="clear" w:color="auto" w:fill="auto"/>
          </w:tcPr>
          <w:p w14:paraId="5C7C771C" w14:textId="77777777" w:rsidR="0008009C" w:rsidRDefault="0008009C">
            <w:pPr>
              <w:rPr>
                <w:rFonts w:ascii="宋体"/>
                <w:vanish/>
              </w:rPr>
            </w:pPr>
          </w:p>
        </w:tc>
        <w:tc>
          <w:tcPr>
            <w:tcW w:w="0" w:type="auto"/>
            <w:shd w:val="clear" w:color="auto" w:fill="auto"/>
          </w:tcPr>
          <w:p w14:paraId="5C7C771D" w14:textId="77777777" w:rsidR="0008009C" w:rsidRDefault="0008009C">
            <w:pPr>
              <w:rPr>
                <w:rFonts w:ascii="宋体"/>
                <w:vanish/>
              </w:rPr>
            </w:pPr>
          </w:p>
        </w:tc>
        <w:tc>
          <w:tcPr>
            <w:tcW w:w="0" w:type="auto"/>
            <w:gridSpan w:val="3"/>
            <w:shd w:val="clear" w:color="auto" w:fill="auto"/>
          </w:tcPr>
          <w:p w14:paraId="5C7C771E" w14:textId="77777777" w:rsidR="0008009C" w:rsidRDefault="0008009C">
            <w:pPr>
              <w:rPr>
                <w:rFonts w:ascii="宋体"/>
                <w:vanish/>
              </w:rPr>
            </w:pPr>
          </w:p>
        </w:tc>
        <w:tc>
          <w:tcPr>
            <w:tcW w:w="0" w:type="auto"/>
            <w:gridSpan w:val="3"/>
            <w:shd w:val="clear" w:color="auto" w:fill="auto"/>
          </w:tcPr>
          <w:p w14:paraId="5C7C771F" w14:textId="77777777" w:rsidR="0008009C" w:rsidRDefault="0008009C">
            <w:pPr>
              <w:rPr>
                <w:rFonts w:ascii="宋体"/>
                <w:vanish/>
              </w:rPr>
            </w:pPr>
          </w:p>
        </w:tc>
      </w:tr>
      <w:tr w:rsidR="0008009C" w14:paraId="5C7C772C" w14:textId="77777777">
        <w:tc>
          <w:tcPr>
            <w:tcW w:w="0" w:type="auto"/>
            <w:gridSpan w:val="3"/>
            <w:shd w:val="clear" w:color="auto" w:fill="auto"/>
            <w:tcMar>
              <w:top w:w="40" w:type="dxa"/>
              <w:left w:w="245" w:type="dxa"/>
              <w:bottom w:w="40" w:type="dxa"/>
              <w:right w:w="20" w:type="dxa"/>
            </w:tcMar>
            <w:vAlign w:val="bottom"/>
          </w:tcPr>
          <w:p w14:paraId="5C7C7721" w14:textId="77777777" w:rsidR="0008009C" w:rsidRDefault="00936FDF">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tcPr>
          <w:p w14:paraId="5C7C772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723" w14:textId="77777777" w:rsidR="0008009C" w:rsidRDefault="00936FDF">
            <w:pPr>
              <w:jc w:val="right"/>
              <w:textAlignment w:val="bottom"/>
            </w:pPr>
            <w:r>
              <w:rPr>
                <w:rFonts w:ascii="Arial" w:eastAsia="宋体" w:hAnsi="Arial" w:cs="Arial"/>
                <w:color w:val="0068B5"/>
                <w:sz w:val="18"/>
                <w:szCs w:val="18"/>
              </w:rPr>
              <w:t>(1,107)</w:t>
            </w:r>
          </w:p>
        </w:tc>
        <w:tc>
          <w:tcPr>
            <w:tcW w:w="0" w:type="auto"/>
            <w:shd w:val="clear" w:color="auto" w:fill="auto"/>
            <w:tcMar>
              <w:top w:w="40" w:type="dxa"/>
              <w:left w:w="0" w:type="dxa"/>
              <w:bottom w:w="40" w:type="dxa"/>
              <w:right w:w="20" w:type="dxa"/>
            </w:tcMar>
            <w:vAlign w:val="bottom"/>
          </w:tcPr>
          <w:p w14:paraId="5C7C772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72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726" w14:textId="77777777" w:rsidR="0008009C" w:rsidRDefault="00936FDF">
            <w:pPr>
              <w:jc w:val="right"/>
              <w:textAlignment w:val="bottom"/>
            </w:pPr>
            <w:r>
              <w:rPr>
                <w:rFonts w:ascii="Arial" w:eastAsia="宋体" w:hAnsi="Arial" w:cs="Arial"/>
                <w:color w:val="262626"/>
                <w:sz w:val="18"/>
                <w:szCs w:val="18"/>
              </w:rPr>
              <w:t>(1,241)</w:t>
            </w:r>
          </w:p>
        </w:tc>
        <w:tc>
          <w:tcPr>
            <w:tcW w:w="0" w:type="auto"/>
            <w:shd w:val="clear" w:color="auto" w:fill="auto"/>
            <w:tcMar>
              <w:top w:w="40" w:type="dxa"/>
              <w:left w:w="0" w:type="dxa"/>
              <w:bottom w:w="40" w:type="dxa"/>
              <w:right w:w="20" w:type="dxa"/>
            </w:tcMar>
            <w:vAlign w:val="bottom"/>
          </w:tcPr>
          <w:p w14:paraId="5C7C7727" w14:textId="77777777" w:rsidR="0008009C" w:rsidRDefault="0008009C">
            <w:pPr>
              <w:jc w:val="right"/>
              <w:rPr>
                <w:rFonts w:ascii="宋体"/>
              </w:rPr>
            </w:pPr>
          </w:p>
        </w:tc>
        <w:tc>
          <w:tcPr>
            <w:tcW w:w="0" w:type="auto"/>
            <w:shd w:val="clear" w:color="auto" w:fill="auto"/>
          </w:tcPr>
          <w:p w14:paraId="5C7C7728" w14:textId="77777777" w:rsidR="0008009C" w:rsidRDefault="0008009C">
            <w:pPr>
              <w:rPr>
                <w:rFonts w:ascii="宋体"/>
                <w:vanish/>
              </w:rPr>
            </w:pPr>
          </w:p>
        </w:tc>
        <w:tc>
          <w:tcPr>
            <w:tcW w:w="0" w:type="auto"/>
            <w:shd w:val="clear" w:color="auto" w:fill="auto"/>
          </w:tcPr>
          <w:p w14:paraId="5C7C7729" w14:textId="77777777" w:rsidR="0008009C" w:rsidRDefault="0008009C">
            <w:pPr>
              <w:rPr>
                <w:rFonts w:ascii="宋体"/>
                <w:vanish/>
              </w:rPr>
            </w:pPr>
          </w:p>
        </w:tc>
        <w:tc>
          <w:tcPr>
            <w:tcW w:w="0" w:type="auto"/>
            <w:gridSpan w:val="3"/>
            <w:shd w:val="clear" w:color="auto" w:fill="auto"/>
          </w:tcPr>
          <w:p w14:paraId="5C7C772A" w14:textId="77777777" w:rsidR="0008009C" w:rsidRDefault="0008009C">
            <w:pPr>
              <w:rPr>
                <w:rFonts w:ascii="宋体"/>
                <w:vanish/>
              </w:rPr>
            </w:pPr>
          </w:p>
        </w:tc>
        <w:tc>
          <w:tcPr>
            <w:tcW w:w="0" w:type="auto"/>
            <w:gridSpan w:val="3"/>
            <w:shd w:val="clear" w:color="auto" w:fill="auto"/>
          </w:tcPr>
          <w:p w14:paraId="5C7C772B" w14:textId="77777777" w:rsidR="0008009C" w:rsidRDefault="0008009C">
            <w:pPr>
              <w:rPr>
                <w:rFonts w:ascii="宋体"/>
                <w:vanish/>
              </w:rPr>
            </w:pPr>
          </w:p>
        </w:tc>
      </w:tr>
      <w:tr w:rsidR="0008009C" w14:paraId="5C7C773A" w14:textId="77777777">
        <w:tc>
          <w:tcPr>
            <w:tcW w:w="0" w:type="auto"/>
            <w:gridSpan w:val="3"/>
            <w:shd w:val="clear" w:color="auto" w:fill="auto"/>
            <w:tcMar>
              <w:top w:w="40" w:type="dxa"/>
              <w:left w:w="20" w:type="dxa"/>
              <w:bottom w:w="40" w:type="dxa"/>
              <w:right w:w="20" w:type="dxa"/>
            </w:tcMar>
            <w:vAlign w:val="bottom"/>
          </w:tcPr>
          <w:p w14:paraId="5C7C772D" w14:textId="77777777" w:rsidR="0008009C" w:rsidRDefault="00936FDF">
            <w:pPr>
              <w:textAlignment w:val="bottom"/>
            </w:pPr>
            <w:r>
              <w:rPr>
                <w:rFonts w:ascii="Arial" w:eastAsia="宋体" w:hAnsi="Arial" w:cs="Arial"/>
                <w:b/>
                <w:bCs/>
                <w:color w:val="262626"/>
                <w:sz w:val="18"/>
                <w:szCs w:val="18"/>
              </w:rPr>
              <w:t>Non-GAAP net revenue</w:t>
            </w:r>
          </w:p>
        </w:tc>
        <w:tc>
          <w:tcPr>
            <w:tcW w:w="0" w:type="auto"/>
            <w:gridSpan w:val="3"/>
            <w:shd w:val="clear" w:color="auto" w:fill="auto"/>
            <w:tcMar>
              <w:top w:w="0" w:type="dxa"/>
              <w:left w:w="20" w:type="dxa"/>
              <w:bottom w:w="0" w:type="dxa"/>
              <w:right w:w="20" w:type="dxa"/>
            </w:tcMar>
          </w:tcPr>
          <w:p w14:paraId="5C7C772E"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772F"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7730" w14:textId="77777777" w:rsidR="0008009C" w:rsidRDefault="00936FDF">
            <w:pPr>
              <w:jc w:val="right"/>
              <w:textAlignment w:val="bottom"/>
            </w:pPr>
            <w:r>
              <w:rPr>
                <w:rFonts w:ascii="Arial" w:eastAsia="宋体" w:hAnsi="Arial" w:cs="Arial"/>
                <w:b/>
                <w:bCs/>
                <w:color w:val="0068B5"/>
                <w:sz w:val="18"/>
                <w:szCs w:val="18"/>
              </w:rPr>
              <w:t>18,566</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73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732"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7733"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7734" w14:textId="77777777" w:rsidR="0008009C" w:rsidRDefault="00936FDF">
            <w:pPr>
              <w:jc w:val="right"/>
              <w:textAlignment w:val="bottom"/>
            </w:pPr>
            <w:r>
              <w:rPr>
                <w:rFonts w:ascii="Arial" w:eastAsia="宋体" w:hAnsi="Arial" w:cs="Arial"/>
                <w:b/>
                <w:bCs/>
                <w:color w:val="262626"/>
                <w:sz w:val="18"/>
                <w:szCs w:val="18"/>
              </w:rPr>
              <w:t>18,587</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735" w14:textId="77777777" w:rsidR="0008009C" w:rsidRDefault="0008009C">
            <w:pPr>
              <w:jc w:val="right"/>
              <w:rPr>
                <w:rFonts w:ascii="宋体"/>
              </w:rPr>
            </w:pPr>
          </w:p>
        </w:tc>
        <w:tc>
          <w:tcPr>
            <w:tcW w:w="0" w:type="auto"/>
            <w:shd w:val="clear" w:color="auto" w:fill="auto"/>
          </w:tcPr>
          <w:p w14:paraId="5C7C7736" w14:textId="77777777" w:rsidR="0008009C" w:rsidRDefault="0008009C">
            <w:pPr>
              <w:rPr>
                <w:rFonts w:ascii="宋体"/>
                <w:vanish/>
              </w:rPr>
            </w:pPr>
          </w:p>
        </w:tc>
        <w:tc>
          <w:tcPr>
            <w:tcW w:w="0" w:type="auto"/>
            <w:shd w:val="clear" w:color="auto" w:fill="auto"/>
          </w:tcPr>
          <w:p w14:paraId="5C7C7737" w14:textId="77777777" w:rsidR="0008009C" w:rsidRDefault="0008009C">
            <w:pPr>
              <w:rPr>
                <w:rFonts w:ascii="宋体"/>
                <w:vanish/>
              </w:rPr>
            </w:pPr>
          </w:p>
        </w:tc>
        <w:tc>
          <w:tcPr>
            <w:tcW w:w="0" w:type="auto"/>
            <w:gridSpan w:val="3"/>
            <w:shd w:val="clear" w:color="auto" w:fill="auto"/>
          </w:tcPr>
          <w:p w14:paraId="5C7C7738" w14:textId="77777777" w:rsidR="0008009C" w:rsidRDefault="0008009C">
            <w:pPr>
              <w:rPr>
                <w:rFonts w:ascii="宋体"/>
                <w:vanish/>
              </w:rPr>
            </w:pPr>
          </w:p>
        </w:tc>
        <w:tc>
          <w:tcPr>
            <w:tcW w:w="0" w:type="auto"/>
            <w:gridSpan w:val="3"/>
            <w:shd w:val="clear" w:color="auto" w:fill="auto"/>
          </w:tcPr>
          <w:p w14:paraId="5C7C7739" w14:textId="77777777" w:rsidR="0008009C" w:rsidRDefault="0008009C">
            <w:pPr>
              <w:rPr>
                <w:rFonts w:ascii="宋体"/>
                <w:vanish/>
              </w:rPr>
            </w:pPr>
          </w:p>
        </w:tc>
      </w:tr>
      <w:tr w:rsidR="0008009C" w14:paraId="5C7C7744" w14:textId="77777777">
        <w:trPr>
          <w:trHeight w:val="60"/>
        </w:trPr>
        <w:tc>
          <w:tcPr>
            <w:tcW w:w="0" w:type="auto"/>
            <w:gridSpan w:val="3"/>
            <w:shd w:val="clear" w:color="auto" w:fill="auto"/>
            <w:tcMar>
              <w:top w:w="0" w:type="dxa"/>
              <w:left w:w="20" w:type="dxa"/>
              <w:bottom w:w="0" w:type="dxa"/>
              <w:right w:w="20" w:type="dxa"/>
            </w:tcMar>
          </w:tcPr>
          <w:p w14:paraId="5C7C773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73C"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773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73E"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773F" w14:textId="77777777" w:rsidR="0008009C" w:rsidRDefault="0008009C">
            <w:pPr>
              <w:rPr>
                <w:rFonts w:ascii="宋体"/>
              </w:rPr>
            </w:pPr>
          </w:p>
        </w:tc>
        <w:tc>
          <w:tcPr>
            <w:tcW w:w="0" w:type="auto"/>
            <w:shd w:val="clear" w:color="auto" w:fill="auto"/>
          </w:tcPr>
          <w:p w14:paraId="5C7C7740" w14:textId="77777777" w:rsidR="0008009C" w:rsidRDefault="0008009C">
            <w:pPr>
              <w:rPr>
                <w:rFonts w:ascii="宋体"/>
                <w:vanish/>
              </w:rPr>
            </w:pPr>
          </w:p>
        </w:tc>
        <w:tc>
          <w:tcPr>
            <w:tcW w:w="0" w:type="auto"/>
            <w:shd w:val="clear" w:color="auto" w:fill="auto"/>
          </w:tcPr>
          <w:p w14:paraId="5C7C7741" w14:textId="77777777" w:rsidR="0008009C" w:rsidRDefault="0008009C">
            <w:pPr>
              <w:rPr>
                <w:rFonts w:ascii="宋体"/>
                <w:vanish/>
              </w:rPr>
            </w:pPr>
          </w:p>
        </w:tc>
        <w:tc>
          <w:tcPr>
            <w:tcW w:w="0" w:type="auto"/>
            <w:gridSpan w:val="3"/>
            <w:shd w:val="clear" w:color="auto" w:fill="auto"/>
          </w:tcPr>
          <w:p w14:paraId="5C7C7742" w14:textId="77777777" w:rsidR="0008009C" w:rsidRDefault="0008009C">
            <w:pPr>
              <w:rPr>
                <w:rFonts w:ascii="宋体"/>
                <w:vanish/>
              </w:rPr>
            </w:pPr>
          </w:p>
        </w:tc>
        <w:tc>
          <w:tcPr>
            <w:tcW w:w="0" w:type="auto"/>
            <w:gridSpan w:val="3"/>
            <w:shd w:val="clear" w:color="auto" w:fill="auto"/>
          </w:tcPr>
          <w:p w14:paraId="5C7C7743" w14:textId="77777777" w:rsidR="0008009C" w:rsidRDefault="0008009C">
            <w:pPr>
              <w:rPr>
                <w:rFonts w:ascii="宋体"/>
                <w:vanish/>
              </w:rPr>
            </w:pPr>
          </w:p>
        </w:tc>
      </w:tr>
      <w:tr w:rsidR="0008009C" w14:paraId="5C7C7752" w14:textId="77777777">
        <w:tc>
          <w:tcPr>
            <w:tcW w:w="0" w:type="auto"/>
            <w:gridSpan w:val="3"/>
            <w:shd w:val="clear" w:color="auto" w:fill="auto"/>
            <w:tcMar>
              <w:top w:w="40" w:type="dxa"/>
              <w:left w:w="20" w:type="dxa"/>
              <w:bottom w:w="40" w:type="dxa"/>
              <w:right w:w="20" w:type="dxa"/>
            </w:tcMar>
            <w:vAlign w:val="bottom"/>
          </w:tcPr>
          <w:p w14:paraId="5C7C7745" w14:textId="77777777" w:rsidR="0008009C" w:rsidRDefault="00936FDF">
            <w:pPr>
              <w:textAlignment w:val="bottom"/>
            </w:pP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tcPr>
          <w:p w14:paraId="5C7C7746"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7747" w14:textId="77777777" w:rsidR="0008009C" w:rsidRDefault="00936FDF">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5C7C7748" w14:textId="77777777" w:rsidR="0008009C" w:rsidRDefault="00936FDF">
            <w:pPr>
              <w:jc w:val="right"/>
              <w:textAlignment w:val="bottom"/>
            </w:pPr>
            <w:r>
              <w:rPr>
                <w:rFonts w:ascii="Arial" w:eastAsia="宋体" w:hAnsi="Arial" w:cs="Arial"/>
                <w:b/>
                <w:bCs/>
                <w:color w:val="0068B5"/>
                <w:sz w:val="18"/>
                <w:szCs w:val="18"/>
              </w:rPr>
              <w:t>3,694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7749"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74A"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774B" w14:textId="77777777" w:rsidR="0008009C" w:rsidRDefault="00936FDF">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C7C774C" w14:textId="77777777" w:rsidR="0008009C" w:rsidRDefault="00936FDF">
            <w:pPr>
              <w:jc w:val="right"/>
              <w:textAlignment w:val="bottom"/>
            </w:pPr>
            <w:r>
              <w:rPr>
                <w:rFonts w:ascii="Arial" w:eastAsia="宋体" w:hAnsi="Arial" w:cs="Arial"/>
                <w:b/>
                <w:bCs/>
                <w:color w:val="262626"/>
                <w:sz w:val="18"/>
                <w:szCs w:val="18"/>
              </w:rPr>
              <w:t>7,038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774D" w14:textId="77777777" w:rsidR="0008009C" w:rsidRDefault="0008009C">
            <w:pPr>
              <w:jc w:val="right"/>
              <w:rPr>
                <w:rFonts w:ascii="宋体"/>
              </w:rPr>
            </w:pPr>
          </w:p>
        </w:tc>
        <w:tc>
          <w:tcPr>
            <w:tcW w:w="0" w:type="auto"/>
            <w:shd w:val="clear" w:color="auto" w:fill="auto"/>
          </w:tcPr>
          <w:p w14:paraId="5C7C774E" w14:textId="77777777" w:rsidR="0008009C" w:rsidRDefault="0008009C">
            <w:pPr>
              <w:rPr>
                <w:rFonts w:ascii="宋体"/>
                <w:vanish/>
              </w:rPr>
            </w:pPr>
          </w:p>
        </w:tc>
        <w:tc>
          <w:tcPr>
            <w:tcW w:w="0" w:type="auto"/>
            <w:shd w:val="clear" w:color="auto" w:fill="auto"/>
          </w:tcPr>
          <w:p w14:paraId="5C7C774F" w14:textId="77777777" w:rsidR="0008009C" w:rsidRDefault="0008009C">
            <w:pPr>
              <w:rPr>
                <w:rFonts w:ascii="宋体"/>
                <w:vanish/>
              </w:rPr>
            </w:pPr>
          </w:p>
        </w:tc>
        <w:tc>
          <w:tcPr>
            <w:tcW w:w="0" w:type="auto"/>
            <w:gridSpan w:val="3"/>
            <w:shd w:val="clear" w:color="auto" w:fill="auto"/>
          </w:tcPr>
          <w:p w14:paraId="5C7C7750" w14:textId="77777777" w:rsidR="0008009C" w:rsidRDefault="0008009C">
            <w:pPr>
              <w:rPr>
                <w:rFonts w:ascii="宋体"/>
                <w:vanish/>
              </w:rPr>
            </w:pPr>
          </w:p>
        </w:tc>
        <w:tc>
          <w:tcPr>
            <w:tcW w:w="0" w:type="auto"/>
            <w:gridSpan w:val="3"/>
            <w:shd w:val="clear" w:color="auto" w:fill="auto"/>
          </w:tcPr>
          <w:p w14:paraId="5C7C7751" w14:textId="77777777" w:rsidR="0008009C" w:rsidRDefault="0008009C">
            <w:pPr>
              <w:rPr>
                <w:rFonts w:ascii="宋体"/>
                <w:vanish/>
              </w:rPr>
            </w:pPr>
          </w:p>
        </w:tc>
      </w:tr>
      <w:tr w:rsidR="0008009C" w14:paraId="5C7C775E" w14:textId="77777777">
        <w:tc>
          <w:tcPr>
            <w:tcW w:w="0" w:type="auto"/>
            <w:gridSpan w:val="3"/>
            <w:shd w:val="clear" w:color="auto" w:fill="auto"/>
            <w:tcMar>
              <w:top w:w="40" w:type="dxa"/>
              <w:left w:w="245" w:type="dxa"/>
              <w:bottom w:w="40" w:type="dxa"/>
              <w:right w:w="20" w:type="dxa"/>
            </w:tcMar>
            <w:vAlign w:val="bottom"/>
          </w:tcPr>
          <w:p w14:paraId="5C7C7753" w14:textId="77777777" w:rsidR="0008009C" w:rsidRDefault="00936FDF">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tcPr>
          <w:p w14:paraId="5C7C775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755" w14:textId="77777777" w:rsidR="0008009C" w:rsidRDefault="00936FDF">
            <w:pPr>
              <w:jc w:val="right"/>
              <w:textAlignment w:val="bottom"/>
            </w:pPr>
            <w:r>
              <w:rPr>
                <w:rFonts w:ascii="Arial" w:eastAsia="宋体" w:hAnsi="Arial" w:cs="Arial"/>
                <w:color w:val="0068B5"/>
                <w:sz w:val="18"/>
                <w:szCs w:val="18"/>
              </w:rPr>
              <w:t>364 </w:t>
            </w:r>
          </w:p>
        </w:tc>
        <w:tc>
          <w:tcPr>
            <w:tcW w:w="0" w:type="auto"/>
            <w:shd w:val="clear" w:color="auto" w:fill="auto"/>
            <w:tcMar>
              <w:top w:w="40" w:type="dxa"/>
              <w:left w:w="0" w:type="dxa"/>
              <w:bottom w:w="40" w:type="dxa"/>
              <w:right w:w="20" w:type="dxa"/>
            </w:tcMar>
            <w:vAlign w:val="bottom"/>
          </w:tcPr>
          <w:p w14:paraId="5C7C775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75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758" w14:textId="77777777" w:rsidR="0008009C" w:rsidRDefault="00936FDF">
            <w:pPr>
              <w:jc w:val="right"/>
              <w:textAlignment w:val="bottom"/>
            </w:pPr>
            <w:r>
              <w:rPr>
                <w:rFonts w:ascii="Arial" w:eastAsia="宋体" w:hAnsi="Arial" w:cs="Arial"/>
                <w:color w:val="262626"/>
                <w:sz w:val="18"/>
                <w:szCs w:val="18"/>
              </w:rPr>
              <w:t>339 </w:t>
            </w:r>
          </w:p>
        </w:tc>
        <w:tc>
          <w:tcPr>
            <w:tcW w:w="0" w:type="auto"/>
            <w:shd w:val="clear" w:color="auto" w:fill="auto"/>
            <w:tcMar>
              <w:top w:w="40" w:type="dxa"/>
              <w:left w:w="0" w:type="dxa"/>
              <w:bottom w:w="40" w:type="dxa"/>
              <w:right w:w="20" w:type="dxa"/>
            </w:tcMar>
            <w:vAlign w:val="bottom"/>
          </w:tcPr>
          <w:p w14:paraId="5C7C7759" w14:textId="77777777" w:rsidR="0008009C" w:rsidRDefault="0008009C">
            <w:pPr>
              <w:jc w:val="right"/>
              <w:rPr>
                <w:rFonts w:ascii="宋体"/>
              </w:rPr>
            </w:pPr>
          </w:p>
        </w:tc>
        <w:tc>
          <w:tcPr>
            <w:tcW w:w="0" w:type="auto"/>
            <w:shd w:val="clear" w:color="auto" w:fill="auto"/>
          </w:tcPr>
          <w:p w14:paraId="5C7C775A" w14:textId="77777777" w:rsidR="0008009C" w:rsidRDefault="0008009C">
            <w:pPr>
              <w:rPr>
                <w:rFonts w:ascii="宋体"/>
                <w:vanish/>
              </w:rPr>
            </w:pPr>
          </w:p>
        </w:tc>
        <w:tc>
          <w:tcPr>
            <w:tcW w:w="0" w:type="auto"/>
            <w:shd w:val="clear" w:color="auto" w:fill="auto"/>
          </w:tcPr>
          <w:p w14:paraId="5C7C775B" w14:textId="77777777" w:rsidR="0008009C" w:rsidRDefault="0008009C">
            <w:pPr>
              <w:rPr>
                <w:rFonts w:ascii="宋体"/>
                <w:vanish/>
              </w:rPr>
            </w:pPr>
          </w:p>
        </w:tc>
        <w:tc>
          <w:tcPr>
            <w:tcW w:w="0" w:type="auto"/>
            <w:gridSpan w:val="3"/>
            <w:shd w:val="clear" w:color="auto" w:fill="auto"/>
          </w:tcPr>
          <w:p w14:paraId="5C7C775C" w14:textId="77777777" w:rsidR="0008009C" w:rsidRDefault="0008009C">
            <w:pPr>
              <w:rPr>
                <w:rFonts w:ascii="宋体"/>
                <w:vanish/>
              </w:rPr>
            </w:pPr>
          </w:p>
        </w:tc>
        <w:tc>
          <w:tcPr>
            <w:tcW w:w="0" w:type="auto"/>
            <w:gridSpan w:val="3"/>
            <w:shd w:val="clear" w:color="auto" w:fill="auto"/>
          </w:tcPr>
          <w:p w14:paraId="5C7C775D" w14:textId="77777777" w:rsidR="0008009C" w:rsidRDefault="0008009C">
            <w:pPr>
              <w:rPr>
                <w:rFonts w:ascii="宋体"/>
                <w:vanish/>
              </w:rPr>
            </w:pPr>
          </w:p>
        </w:tc>
      </w:tr>
      <w:tr w:rsidR="0008009C" w14:paraId="5C7C7768" w14:textId="77777777">
        <w:trPr>
          <w:hidden/>
        </w:trPr>
        <w:tc>
          <w:tcPr>
            <w:tcW w:w="0" w:type="auto"/>
            <w:gridSpan w:val="3"/>
            <w:shd w:val="clear" w:color="auto" w:fill="auto"/>
          </w:tcPr>
          <w:p w14:paraId="5C7C775F" w14:textId="77777777" w:rsidR="0008009C" w:rsidRDefault="0008009C">
            <w:pPr>
              <w:rPr>
                <w:rFonts w:ascii="宋体"/>
                <w:vanish/>
              </w:rPr>
            </w:pPr>
          </w:p>
        </w:tc>
        <w:tc>
          <w:tcPr>
            <w:tcW w:w="0" w:type="auto"/>
            <w:gridSpan w:val="3"/>
            <w:shd w:val="clear" w:color="auto" w:fill="auto"/>
          </w:tcPr>
          <w:p w14:paraId="5C7C7760" w14:textId="77777777" w:rsidR="0008009C" w:rsidRDefault="0008009C">
            <w:pPr>
              <w:rPr>
                <w:rFonts w:ascii="宋体"/>
                <w:vanish/>
              </w:rPr>
            </w:pPr>
          </w:p>
        </w:tc>
        <w:tc>
          <w:tcPr>
            <w:tcW w:w="0" w:type="auto"/>
            <w:gridSpan w:val="3"/>
            <w:shd w:val="clear" w:color="auto" w:fill="auto"/>
          </w:tcPr>
          <w:p w14:paraId="5C7C7761" w14:textId="77777777" w:rsidR="0008009C" w:rsidRDefault="0008009C">
            <w:pPr>
              <w:rPr>
                <w:rFonts w:ascii="宋体"/>
                <w:vanish/>
              </w:rPr>
            </w:pPr>
          </w:p>
        </w:tc>
        <w:tc>
          <w:tcPr>
            <w:tcW w:w="0" w:type="auto"/>
            <w:gridSpan w:val="3"/>
            <w:shd w:val="clear" w:color="auto" w:fill="auto"/>
          </w:tcPr>
          <w:p w14:paraId="5C7C7762" w14:textId="77777777" w:rsidR="0008009C" w:rsidRDefault="0008009C">
            <w:pPr>
              <w:rPr>
                <w:rFonts w:ascii="宋体"/>
                <w:vanish/>
              </w:rPr>
            </w:pPr>
          </w:p>
        </w:tc>
        <w:tc>
          <w:tcPr>
            <w:tcW w:w="0" w:type="auto"/>
            <w:gridSpan w:val="3"/>
            <w:shd w:val="clear" w:color="auto" w:fill="auto"/>
          </w:tcPr>
          <w:p w14:paraId="5C7C7763" w14:textId="77777777" w:rsidR="0008009C" w:rsidRDefault="0008009C">
            <w:pPr>
              <w:rPr>
                <w:rFonts w:ascii="宋体"/>
                <w:vanish/>
              </w:rPr>
            </w:pPr>
          </w:p>
        </w:tc>
        <w:tc>
          <w:tcPr>
            <w:tcW w:w="0" w:type="auto"/>
            <w:shd w:val="clear" w:color="auto" w:fill="auto"/>
          </w:tcPr>
          <w:p w14:paraId="5C7C7764" w14:textId="77777777" w:rsidR="0008009C" w:rsidRDefault="0008009C">
            <w:pPr>
              <w:rPr>
                <w:rFonts w:ascii="宋体"/>
                <w:vanish/>
              </w:rPr>
            </w:pPr>
          </w:p>
        </w:tc>
        <w:tc>
          <w:tcPr>
            <w:tcW w:w="0" w:type="auto"/>
            <w:shd w:val="clear" w:color="auto" w:fill="auto"/>
          </w:tcPr>
          <w:p w14:paraId="5C7C7765" w14:textId="77777777" w:rsidR="0008009C" w:rsidRDefault="0008009C">
            <w:pPr>
              <w:rPr>
                <w:rFonts w:ascii="宋体"/>
                <w:vanish/>
              </w:rPr>
            </w:pPr>
          </w:p>
        </w:tc>
        <w:tc>
          <w:tcPr>
            <w:tcW w:w="0" w:type="auto"/>
            <w:gridSpan w:val="3"/>
            <w:shd w:val="clear" w:color="auto" w:fill="auto"/>
          </w:tcPr>
          <w:p w14:paraId="5C7C7766" w14:textId="77777777" w:rsidR="0008009C" w:rsidRDefault="0008009C">
            <w:pPr>
              <w:rPr>
                <w:rFonts w:ascii="宋体"/>
                <w:vanish/>
              </w:rPr>
            </w:pPr>
          </w:p>
        </w:tc>
        <w:tc>
          <w:tcPr>
            <w:tcW w:w="0" w:type="auto"/>
            <w:gridSpan w:val="3"/>
            <w:shd w:val="clear" w:color="auto" w:fill="auto"/>
          </w:tcPr>
          <w:p w14:paraId="5C7C7767" w14:textId="77777777" w:rsidR="0008009C" w:rsidRDefault="0008009C">
            <w:pPr>
              <w:rPr>
                <w:rFonts w:ascii="宋体"/>
                <w:vanish/>
              </w:rPr>
            </w:pPr>
          </w:p>
        </w:tc>
      </w:tr>
      <w:tr w:rsidR="0008009C" w14:paraId="5C7C7772" w14:textId="77777777">
        <w:trPr>
          <w:hidden/>
        </w:trPr>
        <w:tc>
          <w:tcPr>
            <w:tcW w:w="0" w:type="auto"/>
            <w:gridSpan w:val="3"/>
            <w:shd w:val="clear" w:color="auto" w:fill="auto"/>
          </w:tcPr>
          <w:p w14:paraId="5C7C7769" w14:textId="77777777" w:rsidR="0008009C" w:rsidRDefault="0008009C">
            <w:pPr>
              <w:rPr>
                <w:rFonts w:ascii="宋体"/>
                <w:vanish/>
              </w:rPr>
            </w:pPr>
          </w:p>
        </w:tc>
        <w:tc>
          <w:tcPr>
            <w:tcW w:w="0" w:type="auto"/>
            <w:gridSpan w:val="3"/>
            <w:shd w:val="clear" w:color="auto" w:fill="auto"/>
          </w:tcPr>
          <w:p w14:paraId="5C7C776A" w14:textId="77777777" w:rsidR="0008009C" w:rsidRDefault="0008009C">
            <w:pPr>
              <w:rPr>
                <w:rFonts w:ascii="宋体"/>
                <w:vanish/>
              </w:rPr>
            </w:pPr>
          </w:p>
        </w:tc>
        <w:tc>
          <w:tcPr>
            <w:tcW w:w="0" w:type="auto"/>
            <w:gridSpan w:val="3"/>
            <w:shd w:val="clear" w:color="auto" w:fill="auto"/>
          </w:tcPr>
          <w:p w14:paraId="5C7C776B" w14:textId="77777777" w:rsidR="0008009C" w:rsidRDefault="0008009C">
            <w:pPr>
              <w:rPr>
                <w:rFonts w:ascii="宋体"/>
                <w:vanish/>
              </w:rPr>
            </w:pPr>
          </w:p>
        </w:tc>
        <w:tc>
          <w:tcPr>
            <w:tcW w:w="0" w:type="auto"/>
            <w:gridSpan w:val="3"/>
            <w:shd w:val="clear" w:color="auto" w:fill="auto"/>
          </w:tcPr>
          <w:p w14:paraId="5C7C776C" w14:textId="77777777" w:rsidR="0008009C" w:rsidRDefault="0008009C">
            <w:pPr>
              <w:rPr>
                <w:rFonts w:ascii="宋体"/>
                <w:vanish/>
              </w:rPr>
            </w:pPr>
          </w:p>
        </w:tc>
        <w:tc>
          <w:tcPr>
            <w:tcW w:w="0" w:type="auto"/>
            <w:gridSpan w:val="3"/>
            <w:shd w:val="clear" w:color="auto" w:fill="auto"/>
          </w:tcPr>
          <w:p w14:paraId="5C7C776D" w14:textId="77777777" w:rsidR="0008009C" w:rsidRDefault="0008009C">
            <w:pPr>
              <w:rPr>
                <w:rFonts w:ascii="宋体"/>
                <w:vanish/>
              </w:rPr>
            </w:pPr>
          </w:p>
        </w:tc>
        <w:tc>
          <w:tcPr>
            <w:tcW w:w="0" w:type="auto"/>
            <w:shd w:val="clear" w:color="auto" w:fill="auto"/>
          </w:tcPr>
          <w:p w14:paraId="5C7C776E" w14:textId="77777777" w:rsidR="0008009C" w:rsidRDefault="0008009C">
            <w:pPr>
              <w:rPr>
                <w:rFonts w:ascii="宋体"/>
                <w:vanish/>
              </w:rPr>
            </w:pPr>
          </w:p>
        </w:tc>
        <w:tc>
          <w:tcPr>
            <w:tcW w:w="0" w:type="auto"/>
            <w:shd w:val="clear" w:color="auto" w:fill="auto"/>
          </w:tcPr>
          <w:p w14:paraId="5C7C776F" w14:textId="77777777" w:rsidR="0008009C" w:rsidRDefault="0008009C">
            <w:pPr>
              <w:rPr>
                <w:rFonts w:ascii="宋体"/>
                <w:vanish/>
              </w:rPr>
            </w:pPr>
          </w:p>
        </w:tc>
        <w:tc>
          <w:tcPr>
            <w:tcW w:w="0" w:type="auto"/>
            <w:gridSpan w:val="3"/>
            <w:shd w:val="clear" w:color="auto" w:fill="auto"/>
          </w:tcPr>
          <w:p w14:paraId="5C7C7770" w14:textId="77777777" w:rsidR="0008009C" w:rsidRDefault="0008009C">
            <w:pPr>
              <w:rPr>
                <w:rFonts w:ascii="宋体"/>
                <w:vanish/>
              </w:rPr>
            </w:pPr>
          </w:p>
        </w:tc>
        <w:tc>
          <w:tcPr>
            <w:tcW w:w="0" w:type="auto"/>
            <w:gridSpan w:val="3"/>
            <w:shd w:val="clear" w:color="auto" w:fill="auto"/>
          </w:tcPr>
          <w:p w14:paraId="5C7C7771" w14:textId="77777777" w:rsidR="0008009C" w:rsidRDefault="0008009C">
            <w:pPr>
              <w:rPr>
                <w:rFonts w:ascii="宋体"/>
                <w:vanish/>
              </w:rPr>
            </w:pPr>
          </w:p>
        </w:tc>
      </w:tr>
      <w:tr w:rsidR="0008009C" w14:paraId="5C7C777C" w14:textId="77777777">
        <w:trPr>
          <w:hidden/>
        </w:trPr>
        <w:tc>
          <w:tcPr>
            <w:tcW w:w="0" w:type="auto"/>
            <w:gridSpan w:val="3"/>
            <w:shd w:val="clear" w:color="auto" w:fill="auto"/>
          </w:tcPr>
          <w:p w14:paraId="5C7C7773" w14:textId="77777777" w:rsidR="0008009C" w:rsidRDefault="0008009C">
            <w:pPr>
              <w:rPr>
                <w:rFonts w:ascii="宋体"/>
                <w:vanish/>
              </w:rPr>
            </w:pPr>
          </w:p>
        </w:tc>
        <w:tc>
          <w:tcPr>
            <w:tcW w:w="0" w:type="auto"/>
            <w:gridSpan w:val="3"/>
            <w:shd w:val="clear" w:color="auto" w:fill="auto"/>
          </w:tcPr>
          <w:p w14:paraId="5C7C7774" w14:textId="77777777" w:rsidR="0008009C" w:rsidRDefault="0008009C">
            <w:pPr>
              <w:rPr>
                <w:rFonts w:ascii="宋体"/>
                <w:vanish/>
              </w:rPr>
            </w:pPr>
          </w:p>
        </w:tc>
        <w:tc>
          <w:tcPr>
            <w:tcW w:w="0" w:type="auto"/>
            <w:gridSpan w:val="3"/>
            <w:shd w:val="clear" w:color="auto" w:fill="auto"/>
          </w:tcPr>
          <w:p w14:paraId="5C7C7775" w14:textId="77777777" w:rsidR="0008009C" w:rsidRDefault="0008009C">
            <w:pPr>
              <w:rPr>
                <w:rFonts w:ascii="宋体"/>
                <w:vanish/>
              </w:rPr>
            </w:pPr>
          </w:p>
        </w:tc>
        <w:tc>
          <w:tcPr>
            <w:tcW w:w="0" w:type="auto"/>
            <w:gridSpan w:val="3"/>
            <w:shd w:val="clear" w:color="auto" w:fill="auto"/>
          </w:tcPr>
          <w:p w14:paraId="5C7C7776" w14:textId="77777777" w:rsidR="0008009C" w:rsidRDefault="0008009C">
            <w:pPr>
              <w:rPr>
                <w:rFonts w:ascii="宋体"/>
                <w:vanish/>
              </w:rPr>
            </w:pPr>
          </w:p>
        </w:tc>
        <w:tc>
          <w:tcPr>
            <w:tcW w:w="0" w:type="auto"/>
            <w:gridSpan w:val="3"/>
            <w:shd w:val="clear" w:color="auto" w:fill="auto"/>
          </w:tcPr>
          <w:p w14:paraId="5C7C7777" w14:textId="77777777" w:rsidR="0008009C" w:rsidRDefault="0008009C">
            <w:pPr>
              <w:rPr>
                <w:rFonts w:ascii="宋体"/>
                <w:vanish/>
              </w:rPr>
            </w:pPr>
          </w:p>
        </w:tc>
        <w:tc>
          <w:tcPr>
            <w:tcW w:w="0" w:type="auto"/>
            <w:shd w:val="clear" w:color="auto" w:fill="auto"/>
          </w:tcPr>
          <w:p w14:paraId="5C7C7778" w14:textId="77777777" w:rsidR="0008009C" w:rsidRDefault="0008009C">
            <w:pPr>
              <w:rPr>
                <w:rFonts w:ascii="宋体"/>
                <w:vanish/>
              </w:rPr>
            </w:pPr>
          </w:p>
        </w:tc>
        <w:tc>
          <w:tcPr>
            <w:tcW w:w="0" w:type="auto"/>
            <w:shd w:val="clear" w:color="auto" w:fill="auto"/>
          </w:tcPr>
          <w:p w14:paraId="5C7C7779" w14:textId="77777777" w:rsidR="0008009C" w:rsidRDefault="0008009C">
            <w:pPr>
              <w:rPr>
                <w:rFonts w:ascii="宋体"/>
                <w:vanish/>
              </w:rPr>
            </w:pPr>
          </w:p>
        </w:tc>
        <w:tc>
          <w:tcPr>
            <w:tcW w:w="0" w:type="auto"/>
            <w:gridSpan w:val="3"/>
            <w:shd w:val="clear" w:color="auto" w:fill="auto"/>
          </w:tcPr>
          <w:p w14:paraId="5C7C777A" w14:textId="77777777" w:rsidR="0008009C" w:rsidRDefault="0008009C">
            <w:pPr>
              <w:rPr>
                <w:rFonts w:ascii="宋体"/>
                <w:vanish/>
              </w:rPr>
            </w:pPr>
          </w:p>
        </w:tc>
        <w:tc>
          <w:tcPr>
            <w:tcW w:w="0" w:type="auto"/>
            <w:gridSpan w:val="3"/>
            <w:shd w:val="clear" w:color="auto" w:fill="auto"/>
          </w:tcPr>
          <w:p w14:paraId="5C7C777B" w14:textId="77777777" w:rsidR="0008009C" w:rsidRDefault="0008009C">
            <w:pPr>
              <w:rPr>
                <w:rFonts w:ascii="宋体"/>
                <w:vanish/>
              </w:rPr>
            </w:pPr>
          </w:p>
        </w:tc>
      </w:tr>
      <w:tr w:rsidR="0008009C" w14:paraId="5C7C7786" w14:textId="77777777">
        <w:trPr>
          <w:hidden/>
        </w:trPr>
        <w:tc>
          <w:tcPr>
            <w:tcW w:w="0" w:type="auto"/>
            <w:gridSpan w:val="3"/>
            <w:shd w:val="clear" w:color="auto" w:fill="auto"/>
          </w:tcPr>
          <w:p w14:paraId="5C7C777D" w14:textId="77777777" w:rsidR="0008009C" w:rsidRDefault="0008009C">
            <w:pPr>
              <w:rPr>
                <w:rFonts w:ascii="宋体"/>
                <w:vanish/>
              </w:rPr>
            </w:pPr>
          </w:p>
        </w:tc>
        <w:tc>
          <w:tcPr>
            <w:tcW w:w="0" w:type="auto"/>
            <w:gridSpan w:val="3"/>
            <w:shd w:val="clear" w:color="auto" w:fill="auto"/>
          </w:tcPr>
          <w:p w14:paraId="5C7C777E" w14:textId="77777777" w:rsidR="0008009C" w:rsidRDefault="0008009C">
            <w:pPr>
              <w:rPr>
                <w:rFonts w:ascii="宋体"/>
                <w:vanish/>
              </w:rPr>
            </w:pPr>
          </w:p>
        </w:tc>
        <w:tc>
          <w:tcPr>
            <w:tcW w:w="0" w:type="auto"/>
            <w:gridSpan w:val="3"/>
            <w:shd w:val="clear" w:color="auto" w:fill="auto"/>
          </w:tcPr>
          <w:p w14:paraId="5C7C777F" w14:textId="77777777" w:rsidR="0008009C" w:rsidRDefault="0008009C">
            <w:pPr>
              <w:rPr>
                <w:rFonts w:ascii="宋体"/>
                <w:vanish/>
              </w:rPr>
            </w:pPr>
          </w:p>
        </w:tc>
        <w:tc>
          <w:tcPr>
            <w:tcW w:w="0" w:type="auto"/>
            <w:gridSpan w:val="3"/>
            <w:shd w:val="clear" w:color="auto" w:fill="auto"/>
          </w:tcPr>
          <w:p w14:paraId="5C7C7780" w14:textId="77777777" w:rsidR="0008009C" w:rsidRDefault="0008009C">
            <w:pPr>
              <w:rPr>
                <w:rFonts w:ascii="宋体"/>
                <w:vanish/>
              </w:rPr>
            </w:pPr>
          </w:p>
        </w:tc>
        <w:tc>
          <w:tcPr>
            <w:tcW w:w="0" w:type="auto"/>
            <w:gridSpan w:val="3"/>
            <w:shd w:val="clear" w:color="auto" w:fill="auto"/>
          </w:tcPr>
          <w:p w14:paraId="5C7C7781" w14:textId="77777777" w:rsidR="0008009C" w:rsidRDefault="0008009C">
            <w:pPr>
              <w:rPr>
                <w:rFonts w:ascii="宋体"/>
                <w:vanish/>
              </w:rPr>
            </w:pPr>
          </w:p>
        </w:tc>
        <w:tc>
          <w:tcPr>
            <w:tcW w:w="0" w:type="auto"/>
            <w:shd w:val="clear" w:color="auto" w:fill="auto"/>
          </w:tcPr>
          <w:p w14:paraId="5C7C7782" w14:textId="77777777" w:rsidR="0008009C" w:rsidRDefault="0008009C">
            <w:pPr>
              <w:rPr>
                <w:rFonts w:ascii="宋体"/>
                <w:vanish/>
              </w:rPr>
            </w:pPr>
          </w:p>
        </w:tc>
        <w:tc>
          <w:tcPr>
            <w:tcW w:w="0" w:type="auto"/>
            <w:shd w:val="clear" w:color="auto" w:fill="auto"/>
          </w:tcPr>
          <w:p w14:paraId="5C7C7783" w14:textId="77777777" w:rsidR="0008009C" w:rsidRDefault="0008009C">
            <w:pPr>
              <w:rPr>
                <w:rFonts w:ascii="宋体"/>
                <w:vanish/>
              </w:rPr>
            </w:pPr>
          </w:p>
        </w:tc>
        <w:tc>
          <w:tcPr>
            <w:tcW w:w="0" w:type="auto"/>
            <w:gridSpan w:val="3"/>
            <w:shd w:val="clear" w:color="auto" w:fill="auto"/>
          </w:tcPr>
          <w:p w14:paraId="5C7C7784" w14:textId="77777777" w:rsidR="0008009C" w:rsidRDefault="0008009C">
            <w:pPr>
              <w:rPr>
                <w:rFonts w:ascii="宋体"/>
                <w:vanish/>
              </w:rPr>
            </w:pPr>
          </w:p>
        </w:tc>
        <w:tc>
          <w:tcPr>
            <w:tcW w:w="0" w:type="auto"/>
            <w:gridSpan w:val="3"/>
            <w:shd w:val="clear" w:color="auto" w:fill="auto"/>
          </w:tcPr>
          <w:p w14:paraId="5C7C7785" w14:textId="77777777" w:rsidR="0008009C" w:rsidRDefault="0008009C">
            <w:pPr>
              <w:rPr>
                <w:rFonts w:ascii="宋体"/>
                <w:vanish/>
              </w:rPr>
            </w:pPr>
          </w:p>
        </w:tc>
      </w:tr>
      <w:tr w:rsidR="0008009C" w14:paraId="5C7C7792" w14:textId="77777777">
        <w:tc>
          <w:tcPr>
            <w:tcW w:w="0" w:type="auto"/>
            <w:gridSpan w:val="3"/>
            <w:shd w:val="clear" w:color="auto" w:fill="auto"/>
            <w:tcMar>
              <w:top w:w="40" w:type="dxa"/>
              <w:left w:w="245" w:type="dxa"/>
              <w:bottom w:w="40" w:type="dxa"/>
              <w:right w:w="20" w:type="dxa"/>
            </w:tcMar>
            <w:vAlign w:val="bottom"/>
          </w:tcPr>
          <w:p w14:paraId="5C7C7787" w14:textId="77777777" w:rsidR="0008009C" w:rsidRDefault="00936FDF">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tcPr>
          <w:p w14:paraId="5C7C778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789" w14:textId="77777777" w:rsidR="0008009C" w:rsidRDefault="00936FDF">
            <w:pPr>
              <w:jc w:val="right"/>
              <w:textAlignment w:val="bottom"/>
            </w:pPr>
            <w:r>
              <w:rPr>
                <w:rFonts w:ascii="Arial" w:eastAsia="宋体" w:hAnsi="Arial" w:cs="Arial"/>
                <w:color w:val="0068B5"/>
                <w:sz w:val="18"/>
                <w:szCs w:val="18"/>
              </w:rPr>
              <w:t>2,209 </w:t>
            </w:r>
          </w:p>
        </w:tc>
        <w:tc>
          <w:tcPr>
            <w:tcW w:w="0" w:type="auto"/>
            <w:shd w:val="clear" w:color="auto" w:fill="auto"/>
            <w:tcMar>
              <w:top w:w="40" w:type="dxa"/>
              <w:left w:w="0" w:type="dxa"/>
              <w:bottom w:w="40" w:type="dxa"/>
              <w:right w:w="20" w:type="dxa"/>
            </w:tcMar>
            <w:vAlign w:val="bottom"/>
          </w:tcPr>
          <w:p w14:paraId="5C7C778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78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78C" w14:textId="77777777" w:rsidR="0008009C" w:rsidRDefault="00936FDF">
            <w:pPr>
              <w:jc w:val="right"/>
              <w:textAlignment w:val="bottom"/>
            </w:pPr>
            <w:r>
              <w:rPr>
                <w:rFonts w:ascii="Arial" w:eastAsia="宋体" w:hAnsi="Arial" w:cs="Arial"/>
                <w:color w:val="262626"/>
                <w:sz w:val="18"/>
                <w:szCs w:val="18"/>
              </w:rPr>
              <w:t>162 </w:t>
            </w:r>
          </w:p>
        </w:tc>
        <w:tc>
          <w:tcPr>
            <w:tcW w:w="0" w:type="auto"/>
            <w:shd w:val="clear" w:color="auto" w:fill="auto"/>
            <w:tcMar>
              <w:top w:w="40" w:type="dxa"/>
              <w:left w:w="0" w:type="dxa"/>
              <w:bottom w:w="40" w:type="dxa"/>
              <w:right w:w="20" w:type="dxa"/>
            </w:tcMar>
            <w:vAlign w:val="bottom"/>
          </w:tcPr>
          <w:p w14:paraId="5C7C778D" w14:textId="77777777" w:rsidR="0008009C" w:rsidRDefault="0008009C">
            <w:pPr>
              <w:jc w:val="right"/>
              <w:rPr>
                <w:rFonts w:ascii="宋体"/>
              </w:rPr>
            </w:pPr>
          </w:p>
        </w:tc>
        <w:tc>
          <w:tcPr>
            <w:tcW w:w="0" w:type="auto"/>
            <w:shd w:val="clear" w:color="auto" w:fill="auto"/>
          </w:tcPr>
          <w:p w14:paraId="5C7C778E" w14:textId="77777777" w:rsidR="0008009C" w:rsidRDefault="0008009C">
            <w:pPr>
              <w:rPr>
                <w:rFonts w:ascii="宋体"/>
                <w:vanish/>
              </w:rPr>
            </w:pPr>
          </w:p>
        </w:tc>
        <w:tc>
          <w:tcPr>
            <w:tcW w:w="0" w:type="auto"/>
            <w:shd w:val="clear" w:color="auto" w:fill="auto"/>
          </w:tcPr>
          <w:p w14:paraId="5C7C778F" w14:textId="77777777" w:rsidR="0008009C" w:rsidRDefault="0008009C">
            <w:pPr>
              <w:rPr>
                <w:rFonts w:ascii="宋体"/>
                <w:vanish/>
              </w:rPr>
            </w:pPr>
          </w:p>
        </w:tc>
        <w:tc>
          <w:tcPr>
            <w:tcW w:w="0" w:type="auto"/>
            <w:gridSpan w:val="3"/>
            <w:shd w:val="clear" w:color="auto" w:fill="auto"/>
          </w:tcPr>
          <w:p w14:paraId="5C7C7790" w14:textId="77777777" w:rsidR="0008009C" w:rsidRDefault="0008009C">
            <w:pPr>
              <w:rPr>
                <w:rFonts w:ascii="宋体"/>
                <w:vanish/>
              </w:rPr>
            </w:pPr>
          </w:p>
        </w:tc>
        <w:tc>
          <w:tcPr>
            <w:tcW w:w="0" w:type="auto"/>
            <w:gridSpan w:val="3"/>
            <w:shd w:val="clear" w:color="auto" w:fill="auto"/>
          </w:tcPr>
          <w:p w14:paraId="5C7C7791" w14:textId="77777777" w:rsidR="0008009C" w:rsidRDefault="0008009C">
            <w:pPr>
              <w:rPr>
                <w:rFonts w:ascii="宋体"/>
                <w:vanish/>
              </w:rPr>
            </w:pPr>
          </w:p>
        </w:tc>
      </w:tr>
      <w:tr w:rsidR="0008009C" w14:paraId="5C7C779E" w14:textId="77777777">
        <w:tc>
          <w:tcPr>
            <w:tcW w:w="0" w:type="auto"/>
            <w:gridSpan w:val="3"/>
            <w:shd w:val="clear" w:color="auto" w:fill="auto"/>
            <w:tcMar>
              <w:top w:w="40" w:type="dxa"/>
              <w:left w:w="245" w:type="dxa"/>
              <w:bottom w:w="40" w:type="dxa"/>
              <w:right w:w="20" w:type="dxa"/>
            </w:tcMar>
            <w:vAlign w:val="bottom"/>
          </w:tcPr>
          <w:p w14:paraId="5C7C7793" w14:textId="77777777" w:rsidR="0008009C" w:rsidRDefault="00936FDF">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tcPr>
          <w:p w14:paraId="5C7C779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795" w14:textId="77777777" w:rsidR="0008009C" w:rsidRDefault="00936FDF">
            <w:pPr>
              <w:jc w:val="right"/>
              <w:textAlignment w:val="bottom"/>
            </w:pPr>
            <w:r>
              <w:rPr>
                <w:rFonts w:ascii="Arial" w:eastAsia="宋体" w:hAnsi="Arial" w:cs="Arial"/>
                <w:color w:val="0068B5"/>
                <w:sz w:val="18"/>
                <w:szCs w:val="18"/>
              </w:rPr>
              <w:t>(171)</w:t>
            </w:r>
          </w:p>
        </w:tc>
        <w:tc>
          <w:tcPr>
            <w:tcW w:w="0" w:type="auto"/>
            <w:shd w:val="clear" w:color="auto" w:fill="auto"/>
            <w:tcMar>
              <w:top w:w="40" w:type="dxa"/>
              <w:left w:w="0" w:type="dxa"/>
              <w:bottom w:w="40" w:type="dxa"/>
              <w:right w:w="20" w:type="dxa"/>
            </w:tcMar>
            <w:vAlign w:val="bottom"/>
          </w:tcPr>
          <w:p w14:paraId="5C7C779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79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798" w14:textId="77777777" w:rsidR="0008009C" w:rsidRDefault="00936FDF">
            <w:pPr>
              <w:jc w:val="right"/>
              <w:textAlignment w:val="bottom"/>
            </w:pPr>
            <w:r>
              <w:rPr>
                <w:rFonts w:ascii="Arial" w:eastAsia="宋体" w:hAnsi="Arial" w:cs="Arial"/>
                <w:color w:val="262626"/>
                <w:sz w:val="18"/>
                <w:szCs w:val="18"/>
              </w:rPr>
              <w:t>(190)</w:t>
            </w:r>
          </w:p>
        </w:tc>
        <w:tc>
          <w:tcPr>
            <w:tcW w:w="0" w:type="auto"/>
            <w:shd w:val="clear" w:color="auto" w:fill="auto"/>
            <w:tcMar>
              <w:top w:w="40" w:type="dxa"/>
              <w:left w:w="0" w:type="dxa"/>
              <w:bottom w:w="40" w:type="dxa"/>
              <w:right w:w="20" w:type="dxa"/>
            </w:tcMar>
            <w:vAlign w:val="bottom"/>
          </w:tcPr>
          <w:p w14:paraId="5C7C7799" w14:textId="77777777" w:rsidR="0008009C" w:rsidRDefault="0008009C">
            <w:pPr>
              <w:jc w:val="right"/>
              <w:rPr>
                <w:rFonts w:ascii="宋体"/>
              </w:rPr>
            </w:pPr>
          </w:p>
        </w:tc>
        <w:tc>
          <w:tcPr>
            <w:tcW w:w="0" w:type="auto"/>
            <w:shd w:val="clear" w:color="auto" w:fill="auto"/>
          </w:tcPr>
          <w:p w14:paraId="5C7C779A" w14:textId="77777777" w:rsidR="0008009C" w:rsidRDefault="0008009C">
            <w:pPr>
              <w:rPr>
                <w:rFonts w:ascii="宋体"/>
                <w:vanish/>
              </w:rPr>
            </w:pPr>
          </w:p>
        </w:tc>
        <w:tc>
          <w:tcPr>
            <w:tcW w:w="0" w:type="auto"/>
            <w:shd w:val="clear" w:color="auto" w:fill="auto"/>
          </w:tcPr>
          <w:p w14:paraId="5C7C779B" w14:textId="77777777" w:rsidR="0008009C" w:rsidRDefault="0008009C">
            <w:pPr>
              <w:rPr>
                <w:rFonts w:ascii="宋体"/>
                <w:vanish/>
              </w:rPr>
            </w:pPr>
          </w:p>
        </w:tc>
        <w:tc>
          <w:tcPr>
            <w:tcW w:w="0" w:type="auto"/>
            <w:gridSpan w:val="3"/>
            <w:shd w:val="clear" w:color="auto" w:fill="auto"/>
          </w:tcPr>
          <w:p w14:paraId="5C7C779C" w14:textId="77777777" w:rsidR="0008009C" w:rsidRDefault="0008009C">
            <w:pPr>
              <w:rPr>
                <w:rFonts w:ascii="宋体"/>
                <w:vanish/>
              </w:rPr>
            </w:pPr>
          </w:p>
        </w:tc>
        <w:tc>
          <w:tcPr>
            <w:tcW w:w="0" w:type="auto"/>
            <w:gridSpan w:val="3"/>
            <w:shd w:val="clear" w:color="auto" w:fill="auto"/>
          </w:tcPr>
          <w:p w14:paraId="5C7C779D" w14:textId="77777777" w:rsidR="0008009C" w:rsidRDefault="0008009C">
            <w:pPr>
              <w:rPr>
                <w:rFonts w:ascii="宋体"/>
                <w:vanish/>
              </w:rPr>
            </w:pPr>
          </w:p>
        </w:tc>
      </w:tr>
      <w:tr w:rsidR="0008009C" w14:paraId="5C7C77AC" w14:textId="77777777">
        <w:tc>
          <w:tcPr>
            <w:tcW w:w="0" w:type="auto"/>
            <w:gridSpan w:val="3"/>
            <w:shd w:val="clear" w:color="auto" w:fill="auto"/>
            <w:tcMar>
              <w:top w:w="40" w:type="dxa"/>
              <w:left w:w="20" w:type="dxa"/>
              <w:bottom w:w="40" w:type="dxa"/>
              <w:right w:w="20" w:type="dxa"/>
            </w:tcMar>
            <w:vAlign w:val="bottom"/>
          </w:tcPr>
          <w:p w14:paraId="5C7C779F" w14:textId="77777777" w:rsidR="0008009C" w:rsidRDefault="00936FDF">
            <w:pPr>
              <w:textAlignment w:val="bottom"/>
            </w:pPr>
            <w:r>
              <w:rPr>
                <w:rFonts w:ascii="Arial" w:eastAsia="宋体" w:hAnsi="Arial" w:cs="Arial"/>
                <w:b/>
                <w:bCs/>
                <w:color w:val="262626"/>
                <w:sz w:val="18"/>
                <w:szCs w:val="18"/>
              </w:rPr>
              <w:t xml:space="preserve">Non-GAAP </w:t>
            </w: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tcPr>
          <w:p w14:paraId="5C7C77A0"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77A1"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77A2" w14:textId="77777777" w:rsidR="0008009C" w:rsidRDefault="00936FDF">
            <w:pPr>
              <w:jc w:val="right"/>
              <w:textAlignment w:val="bottom"/>
            </w:pPr>
            <w:r>
              <w:rPr>
                <w:rFonts w:ascii="Arial" w:eastAsia="宋体" w:hAnsi="Arial" w:cs="Arial"/>
                <w:b/>
                <w:bCs/>
                <w:color w:val="0068B5"/>
                <w:sz w:val="18"/>
                <w:szCs w:val="18"/>
              </w:rPr>
              <w:t>6,096</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7A3"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7A4"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77A5"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77A6" w14:textId="77777777" w:rsidR="0008009C" w:rsidRDefault="00936FDF">
            <w:pPr>
              <w:jc w:val="right"/>
              <w:textAlignment w:val="bottom"/>
            </w:pPr>
            <w:r>
              <w:rPr>
                <w:rFonts w:ascii="Arial" w:eastAsia="宋体" w:hAnsi="Arial" w:cs="Arial"/>
                <w:b/>
                <w:bCs/>
                <w:color w:val="262626"/>
                <w:sz w:val="18"/>
                <w:szCs w:val="18"/>
              </w:rPr>
              <w:t>7,349</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7A7" w14:textId="77777777" w:rsidR="0008009C" w:rsidRDefault="0008009C">
            <w:pPr>
              <w:jc w:val="right"/>
              <w:rPr>
                <w:rFonts w:ascii="宋体"/>
              </w:rPr>
            </w:pPr>
          </w:p>
        </w:tc>
        <w:tc>
          <w:tcPr>
            <w:tcW w:w="0" w:type="auto"/>
            <w:shd w:val="clear" w:color="auto" w:fill="auto"/>
          </w:tcPr>
          <w:p w14:paraId="5C7C77A8" w14:textId="77777777" w:rsidR="0008009C" w:rsidRDefault="0008009C">
            <w:pPr>
              <w:rPr>
                <w:rFonts w:ascii="宋体"/>
                <w:vanish/>
              </w:rPr>
            </w:pPr>
          </w:p>
        </w:tc>
        <w:tc>
          <w:tcPr>
            <w:tcW w:w="0" w:type="auto"/>
            <w:shd w:val="clear" w:color="auto" w:fill="auto"/>
          </w:tcPr>
          <w:p w14:paraId="5C7C77A9" w14:textId="77777777" w:rsidR="0008009C" w:rsidRDefault="0008009C">
            <w:pPr>
              <w:rPr>
                <w:rFonts w:ascii="宋体"/>
                <w:vanish/>
              </w:rPr>
            </w:pPr>
          </w:p>
        </w:tc>
        <w:tc>
          <w:tcPr>
            <w:tcW w:w="0" w:type="auto"/>
            <w:gridSpan w:val="3"/>
            <w:shd w:val="clear" w:color="auto" w:fill="auto"/>
          </w:tcPr>
          <w:p w14:paraId="5C7C77AA" w14:textId="77777777" w:rsidR="0008009C" w:rsidRDefault="0008009C">
            <w:pPr>
              <w:rPr>
                <w:rFonts w:ascii="宋体"/>
                <w:vanish/>
              </w:rPr>
            </w:pPr>
          </w:p>
        </w:tc>
        <w:tc>
          <w:tcPr>
            <w:tcW w:w="0" w:type="auto"/>
            <w:gridSpan w:val="3"/>
            <w:shd w:val="clear" w:color="auto" w:fill="auto"/>
          </w:tcPr>
          <w:p w14:paraId="5C7C77AB" w14:textId="77777777" w:rsidR="0008009C" w:rsidRDefault="0008009C">
            <w:pPr>
              <w:rPr>
                <w:rFonts w:ascii="宋体"/>
                <w:vanish/>
              </w:rPr>
            </w:pPr>
          </w:p>
        </w:tc>
      </w:tr>
      <w:tr w:rsidR="0008009C" w14:paraId="5C7C77B6" w14:textId="77777777">
        <w:trPr>
          <w:trHeight w:val="60"/>
        </w:trPr>
        <w:tc>
          <w:tcPr>
            <w:tcW w:w="0" w:type="auto"/>
            <w:gridSpan w:val="3"/>
            <w:shd w:val="clear" w:color="auto" w:fill="auto"/>
            <w:tcMar>
              <w:top w:w="0" w:type="dxa"/>
              <w:left w:w="20" w:type="dxa"/>
              <w:bottom w:w="0" w:type="dxa"/>
              <w:right w:w="20" w:type="dxa"/>
            </w:tcMar>
          </w:tcPr>
          <w:p w14:paraId="5C7C77A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7AE"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77A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7B0"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77B1" w14:textId="77777777" w:rsidR="0008009C" w:rsidRDefault="0008009C">
            <w:pPr>
              <w:rPr>
                <w:rFonts w:ascii="宋体"/>
              </w:rPr>
            </w:pPr>
          </w:p>
        </w:tc>
        <w:tc>
          <w:tcPr>
            <w:tcW w:w="0" w:type="auto"/>
            <w:shd w:val="clear" w:color="auto" w:fill="auto"/>
          </w:tcPr>
          <w:p w14:paraId="5C7C77B2" w14:textId="77777777" w:rsidR="0008009C" w:rsidRDefault="0008009C">
            <w:pPr>
              <w:rPr>
                <w:rFonts w:ascii="宋体"/>
                <w:vanish/>
              </w:rPr>
            </w:pPr>
          </w:p>
        </w:tc>
        <w:tc>
          <w:tcPr>
            <w:tcW w:w="0" w:type="auto"/>
            <w:shd w:val="clear" w:color="auto" w:fill="auto"/>
          </w:tcPr>
          <w:p w14:paraId="5C7C77B3" w14:textId="77777777" w:rsidR="0008009C" w:rsidRDefault="0008009C">
            <w:pPr>
              <w:rPr>
                <w:rFonts w:ascii="宋体"/>
                <w:vanish/>
              </w:rPr>
            </w:pPr>
          </w:p>
        </w:tc>
        <w:tc>
          <w:tcPr>
            <w:tcW w:w="0" w:type="auto"/>
            <w:gridSpan w:val="3"/>
            <w:shd w:val="clear" w:color="auto" w:fill="auto"/>
          </w:tcPr>
          <w:p w14:paraId="5C7C77B4" w14:textId="77777777" w:rsidR="0008009C" w:rsidRDefault="0008009C">
            <w:pPr>
              <w:rPr>
                <w:rFonts w:ascii="宋体"/>
                <w:vanish/>
              </w:rPr>
            </w:pPr>
          </w:p>
        </w:tc>
        <w:tc>
          <w:tcPr>
            <w:tcW w:w="0" w:type="auto"/>
            <w:gridSpan w:val="3"/>
            <w:shd w:val="clear" w:color="auto" w:fill="auto"/>
          </w:tcPr>
          <w:p w14:paraId="5C7C77B5" w14:textId="77777777" w:rsidR="0008009C" w:rsidRDefault="0008009C">
            <w:pPr>
              <w:rPr>
                <w:rFonts w:ascii="宋体"/>
                <w:vanish/>
              </w:rPr>
            </w:pPr>
          </w:p>
        </w:tc>
      </w:tr>
      <w:tr w:rsidR="0008009C" w14:paraId="5C7C77C2" w14:textId="77777777">
        <w:tc>
          <w:tcPr>
            <w:tcW w:w="0" w:type="auto"/>
            <w:gridSpan w:val="3"/>
            <w:shd w:val="clear" w:color="auto" w:fill="auto"/>
            <w:tcMar>
              <w:top w:w="40" w:type="dxa"/>
              <w:left w:w="20" w:type="dxa"/>
              <w:bottom w:w="40" w:type="dxa"/>
              <w:right w:w="20" w:type="dxa"/>
            </w:tcMar>
            <w:vAlign w:val="bottom"/>
          </w:tcPr>
          <w:p w14:paraId="5C7C77B7" w14:textId="77777777" w:rsidR="0008009C" w:rsidRDefault="00936FDF">
            <w:pPr>
              <w:textAlignment w:val="bottom"/>
            </w:pPr>
            <w:r>
              <w:rPr>
                <w:rFonts w:ascii="Arial" w:eastAsia="宋体" w:hAnsi="Arial" w:cs="Arial"/>
                <w:b/>
                <w:bCs/>
                <w:color w:val="262626"/>
                <w:sz w:val="18"/>
                <w:szCs w:val="18"/>
              </w:rPr>
              <w:t>Operating margin</w:t>
            </w:r>
          </w:p>
        </w:tc>
        <w:tc>
          <w:tcPr>
            <w:tcW w:w="0" w:type="auto"/>
            <w:gridSpan w:val="3"/>
            <w:shd w:val="clear" w:color="auto" w:fill="auto"/>
            <w:tcMar>
              <w:top w:w="0" w:type="dxa"/>
              <w:left w:w="20" w:type="dxa"/>
              <w:bottom w:w="0" w:type="dxa"/>
              <w:right w:w="20" w:type="dxa"/>
            </w:tcMar>
          </w:tcPr>
          <w:p w14:paraId="5C7C77B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7B9" w14:textId="77777777" w:rsidR="0008009C" w:rsidRDefault="00936FDF">
            <w:pPr>
              <w:jc w:val="right"/>
              <w:textAlignment w:val="bottom"/>
            </w:pPr>
            <w:r>
              <w:rPr>
                <w:rFonts w:ascii="Arial" w:eastAsia="宋体" w:hAnsi="Arial" w:cs="Arial"/>
                <w:b/>
                <w:bCs/>
                <w:color w:val="0068B5"/>
                <w:sz w:val="18"/>
                <w:szCs w:val="18"/>
              </w:rPr>
              <w:t>18.8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77BA" w14:textId="77777777" w:rsidR="0008009C" w:rsidRDefault="00936FDF">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tcPr>
          <w:p w14:paraId="5C7C77B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7BC" w14:textId="77777777" w:rsidR="0008009C" w:rsidRDefault="00936FDF">
            <w:pPr>
              <w:jc w:val="right"/>
              <w:textAlignment w:val="bottom"/>
            </w:pPr>
            <w:r>
              <w:rPr>
                <w:rFonts w:ascii="Arial" w:eastAsia="宋体" w:hAnsi="Arial" w:cs="Arial"/>
                <w:b/>
                <w:bCs/>
                <w:color w:val="262626"/>
                <w:sz w:val="18"/>
                <w:szCs w:val="18"/>
              </w:rPr>
              <w:t>35.5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77BD" w14:textId="77777777" w:rsidR="0008009C" w:rsidRDefault="00936FDF">
            <w:pPr>
              <w:jc w:val="right"/>
              <w:textAlignment w:val="bottom"/>
            </w:pPr>
            <w:r>
              <w:rPr>
                <w:rFonts w:ascii="Arial" w:eastAsia="宋体" w:hAnsi="Arial" w:cs="Arial"/>
                <w:b/>
                <w:bCs/>
                <w:color w:val="262626"/>
                <w:sz w:val="18"/>
                <w:szCs w:val="18"/>
              </w:rPr>
              <w:t>%</w:t>
            </w:r>
          </w:p>
        </w:tc>
        <w:tc>
          <w:tcPr>
            <w:tcW w:w="0" w:type="auto"/>
            <w:shd w:val="clear" w:color="auto" w:fill="auto"/>
          </w:tcPr>
          <w:p w14:paraId="5C7C77BE" w14:textId="77777777" w:rsidR="0008009C" w:rsidRDefault="0008009C">
            <w:pPr>
              <w:rPr>
                <w:rFonts w:ascii="宋体"/>
                <w:vanish/>
              </w:rPr>
            </w:pPr>
          </w:p>
        </w:tc>
        <w:tc>
          <w:tcPr>
            <w:tcW w:w="0" w:type="auto"/>
            <w:shd w:val="clear" w:color="auto" w:fill="auto"/>
          </w:tcPr>
          <w:p w14:paraId="5C7C77BF" w14:textId="77777777" w:rsidR="0008009C" w:rsidRDefault="0008009C">
            <w:pPr>
              <w:rPr>
                <w:rFonts w:ascii="宋体"/>
                <w:vanish/>
              </w:rPr>
            </w:pPr>
          </w:p>
        </w:tc>
        <w:tc>
          <w:tcPr>
            <w:tcW w:w="0" w:type="auto"/>
            <w:gridSpan w:val="3"/>
            <w:shd w:val="clear" w:color="auto" w:fill="auto"/>
          </w:tcPr>
          <w:p w14:paraId="5C7C77C0" w14:textId="77777777" w:rsidR="0008009C" w:rsidRDefault="0008009C">
            <w:pPr>
              <w:rPr>
                <w:rFonts w:ascii="宋体"/>
                <w:vanish/>
              </w:rPr>
            </w:pPr>
          </w:p>
        </w:tc>
        <w:tc>
          <w:tcPr>
            <w:tcW w:w="0" w:type="auto"/>
            <w:gridSpan w:val="3"/>
            <w:shd w:val="clear" w:color="auto" w:fill="auto"/>
          </w:tcPr>
          <w:p w14:paraId="5C7C77C1" w14:textId="77777777" w:rsidR="0008009C" w:rsidRDefault="0008009C">
            <w:pPr>
              <w:rPr>
                <w:rFonts w:ascii="宋体"/>
                <w:vanish/>
              </w:rPr>
            </w:pPr>
          </w:p>
        </w:tc>
      </w:tr>
      <w:tr w:rsidR="0008009C" w14:paraId="5C7C77CE" w14:textId="77777777">
        <w:tc>
          <w:tcPr>
            <w:tcW w:w="0" w:type="auto"/>
            <w:gridSpan w:val="3"/>
            <w:shd w:val="clear" w:color="auto" w:fill="auto"/>
            <w:tcMar>
              <w:top w:w="40" w:type="dxa"/>
              <w:left w:w="245" w:type="dxa"/>
              <w:bottom w:w="40" w:type="dxa"/>
              <w:right w:w="20" w:type="dxa"/>
            </w:tcMar>
            <w:vAlign w:val="bottom"/>
          </w:tcPr>
          <w:p w14:paraId="5C7C77C3" w14:textId="77777777" w:rsidR="0008009C" w:rsidRDefault="00936FDF">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tcPr>
          <w:p w14:paraId="5C7C77C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7C5" w14:textId="77777777" w:rsidR="0008009C" w:rsidRDefault="00936FDF">
            <w:pPr>
              <w:jc w:val="right"/>
              <w:textAlignment w:val="bottom"/>
            </w:pPr>
            <w:r>
              <w:rPr>
                <w:rFonts w:ascii="Arial" w:eastAsia="宋体" w:hAnsi="Arial" w:cs="Arial"/>
                <w:color w:val="0068B5"/>
                <w:sz w:val="18"/>
                <w:szCs w:val="18"/>
              </w:rPr>
              <w:t>1.9 </w:t>
            </w:r>
          </w:p>
        </w:tc>
        <w:tc>
          <w:tcPr>
            <w:tcW w:w="0" w:type="auto"/>
            <w:shd w:val="clear" w:color="auto" w:fill="auto"/>
            <w:tcMar>
              <w:top w:w="40" w:type="dxa"/>
              <w:left w:w="0" w:type="dxa"/>
              <w:bottom w:w="40" w:type="dxa"/>
              <w:right w:w="20" w:type="dxa"/>
            </w:tcMar>
            <w:vAlign w:val="bottom"/>
          </w:tcPr>
          <w:p w14:paraId="5C7C77C6" w14:textId="77777777" w:rsidR="0008009C" w:rsidRDefault="00936FDF">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5C7C77C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7C8" w14:textId="77777777" w:rsidR="0008009C" w:rsidRDefault="00936FDF">
            <w:pPr>
              <w:jc w:val="right"/>
              <w:textAlignment w:val="bottom"/>
            </w:pPr>
            <w:r>
              <w:rPr>
                <w:rFonts w:ascii="Arial" w:eastAsia="宋体" w:hAnsi="Arial" w:cs="Arial"/>
                <w:color w:val="262626"/>
                <w:sz w:val="18"/>
                <w:szCs w:val="18"/>
              </w:rPr>
              <w:t>1.7 </w:t>
            </w:r>
          </w:p>
        </w:tc>
        <w:tc>
          <w:tcPr>
            <w:tcW w:w="0" w:type="auto"/>
            <w:shd w:val="clear" w:color="auto" w:fill="auto"/>
            <w:tcMar>
              <w:top w:w="40" w:type="dxa"/>
              <w:left w:w="0" w:type="dxa"/>
              <w:bottom w:w="40" w:type="dxa"/>
              <w:right w:w="20" w:type="dxa"/>
            </w:tcMar>
            <w:vAlign w:val="bottom"/>
          </w:tcPr>
          <w:p w14:paraId="5C7C77C9" w14:textId="77777777" w:rsidR="0008009C" w:rsidRDefault="00936FDF">
            <w:pPr>
              <w:jc w:val="right"/>
              <w:textAlignment w:val="bottom"/>
            </w:pPr>
            <w:r>
              <w:rPr>
                <w:rFonts w:ascii="Arial" w:eastAsia="宋体" w:hAnsi="Arial" w:cs="Arial"/>
                <w:color w:val="262626"/>
                <w:sz w:val="18"/>
                <w:szCs w:val="18"/>
              </w:rPr>
              <w:t>%</w:t>
            </w:r>
          </w:p>
        </w:tc>
        <w:tc>
          <w:tcPr>
            <w:tcW w:w="0" w:type="auto"/>
            <w:shd w:val="clear" w:color="auto" w:fill="auto"/>
          </w:tcPr>
          <w:p w14:paraId="5C7C77CA" w14:textId="77777777" w:rsidR="0008009C" w:rsidRDefault="0008009C">
            <w:pPr>
              <w:rPr>
                <w:rFonts w:ascii="宋体"/>
                <w:vanish/>
              </w:rPr>
            </w:pPr>
          </w:p>
        </w:tc>
        <w:tc>
          <w:tcPr>
            <w:tcW w:w="0" w:type="auto"/>
            <w:shd w:val="clear" w:color="auto" w:fill="auto"/>
          </w:tcPr>
          <w:p w14:paraId="5C7C77CB" w14:textId="77777777" w:rsidR="0008009C" w:rsidRDefault="0008009C">
            <w:pPr>
              <w:rPr>
                <w:rFonts w:ascii="宋体"/>
                <w:vanish/>
              </w:rPr>
            </w:pPr>
          </w:p>
        </w:tc>
        <w:tc>
          <w:tcPr>
            <w:tcW w:w="0" w:type="auto"/>
            <w:gridSpan w:val="3"/>
            <w:shd w:val="clear" w:color="auto" w:fill="auto"/>
          </w:tcPr>
          <w:p w14:paraId="5C7C77CC" w14:textId="77777777" w:rsidR="0008009C" w:rsidRDefault="0008009C">
            <w:pPr>
              <w:rPr>
                <w:rFonts w:ascii="宋体"/>
                <w:vanish/>
              </w:rPr>
            </w:pPr>
          </w:p>
        </w:tc>
        <w:tc>
          <w:tcPr>
            <w:tcW w:w="0" w:type="auto"/>
            <w:gridSpan w:val="3"/>
            <w:shd w:val="clear" w:color="auto" w:fill="auto"/>
          </w:tcPr>
          <w:p w14:paraId="5C7C77CD" w14:textId="77777777" w:rsidR="0008009C" w:rsidRDefault="0008009C">
            <w:pPr>
              <w:rPr>
                <w:rFonts w:ascii="宋体"/>
                <w:vanish/>
              </w:rPr>
            </w:pPr>
          </w:p>
        </w:tc>
      </w:tr>
      <w:tr w:rsidR="0008009C" w14:paraId="5C7C77D8" w14:textId="77777777">
        <w:trPr>
          <w:hidden/>
        </w:trPr>
        <w:tc>
          <w:tcPr>
            <w:tcW w:w="0" w:type="auto"/>
            <w:gridSpan w:val="3"/>
            <w:shd w:val="clear" w:color="auto" w:fill="auto"/>
          </w:tcPr>
          <w:p w14:paraId="5C7C77CF" w14:textId="77777777" w:rsidR="0008009C" w:rsidRDefault="0008009C">
            <w:pPr>
              <w:rPr>
                <w:rFonts w:ascii="宋体"/>
                <w:vanish/>
              </w:rPr>
            </w:pPr>
          </w:p>
        </w:tc>
        <w:tc>
          <w:tcPr>
            <w:tcW w:w="0" w:type="auto"/>
            <w:gridSpan w:val="3"/>
            <w:shd w:val="clear" w:color="auto" w:fill="auto"/>
          </w:tcPr>
          <w:p w14:paraId="5C7C77D0" w14:textId="77777777" w:rsidR="0008009C" w:rsidRDefault="0008009C">
            <w:pPr>
              <w:rPr>
                <w:rFonts w:ascii="宋体"/>
                <w:vanish/>
              </w:rPr>
            </w:pPr>
          </w:p>
        </w:tc>
        <w:tc>
          <w:tcPr>
            <w:tcW w:w="0" w:type="auto"/>
            <w:gridSpan w:val="3"/>
            <w:shd w:val="clear" w:color="auto" w:fill="auto"/>
          </w:tcPr>
          <w:p w14:paraId="5C7C77D1" w14:textId="77777777" w:rsidR="0008009C" w:rsidRDefault="0008009C">
            <w:pPr>
              <w:rPr>
                <w:rFonts w:ascii="宋体"/>
                <w:vanish/>
              </w:rPr>
            </w:pPr>
          </w:p>
        </w:tc>
        <w:tc>
          <w:tcPr>
            <w:tcW w:w="0" w:type="auto"/>
            <w:gridSpan w:val="3"/>
            <w:shd w:val="clear" w:color="auto" w:fill="auto"/>
          </w:tcPr>
          <w:p w14:paraId="5C7C77D2" w14:textId="77777777" w:rsidR="0008009C" w:rsidRDefault="0008009C">
            <w:pPr>
              <w:rPr>
                <w:rFonts w:ascii="宋体"/>
                <w:vanish/>
              </w:rPr>
            </w:pPr>
          </w:p>
        </w:tc>
        <w:tc>
          <w:tcPr>
            <w:tcW w:w="0" w:type="auto"/>
            <w:gridSpan w:val="3"/>
            <w:shd w:val="clear" w:color="auto" w:fill="auto"/>
          </w:tcPr>
          <w:p w14:paraId="5C7C77D3" w14:textId="77777777" w:rsidR="0008009C" w:rsidRDefault="0008009C">
            <w:pPr>
              <w:rPr>
                <w:rFonts w:ascii="宋体"/>
                <w:vanish/>
              </w:rPr>
            </w:pPr>
          </w:p>
        </w:tc>
        <w:tc>
          <w:tcPr>
            <w:tcW w:w="0" w:type="auto"/>
            <w:shd w:val="clear" w:color="auto" w:fill="auto"/>
          </w:tcPr>
          <w:p w14:paraId="5C7C77D4" w14:textId="77777777" w:rsidR="0008009C" w:rsidRDefault="0008009C">
            <w:pPr>
              <w:rPr>
                <w:rFonts w:ascii="宋体"/>
                <w:vanish/>
              </w:rPr>
            </w:pPr>
          </w:p>
        </w:tc>
        <w:tc>
          <w:tcPr>
            <w:tcW w:w="0" w:type="auto"/>
            <w:shd w:val="clear" w:color="auto" w:fill="auto"/>
          </w:tcPr>
          <w:p w14:paraId="5C7C77D5" w14:textId="77777777" w:rsidR="0008009C" w:rsidRDefault="0008009C">
            <w:pPr>
              <w:rPr>
                <w:rFonts w:ascii="宋体"/>
                <w:vanish/>
              </w:rPr>
            </w:pPr>
          </w:p>
        </w:tc>
        <w:tc>
          <w:tcPr>
            <w:tcW w:w="0" w:type="auto"/>
            <w:gridSpan w:val="3"/>
            <w:shd w:val="clear" w:color="auto" w:fill="auto"/>
          </w:tcPr>
          <w:p w14:paraId="5C7C77D6" w14:textId="77777777" w:rsidR="0008009C" w:rsidRDefault="0008009C">
            <w:pPr>
              <w:rPr>
                <w:rFonts w:ascii="宋体"/>
                <w:vanish/>
              </w:rPr>
            </w:pPr>
          </w:p>
        </w:tc>
        <w:tc>
          <w:tcPr>
            <w:tcW w:w="0" w:type="auto"/>
            <w:gridSpan w:val="3"/>
            <w:shd w:val="clear" w:color="auto" w:fill="auto"/>
          </w:tcPr>
          <w:p w14:paraId="5C7C77D7" w14:textId="77777777" w:rsidR="0008009C" w:rsidRDefault="0008009C">
            <w:pPr>
              <w:rPr>
                <w:rFonts w:ascii="宋体"/>
                <w:vanish/>
              </w:rPr>
            </w:pPr>
          </w:p>
        </w:tc>
      </w:tr>
      <w:tr w:rsidR="0008009C" w14:paraId="5C7C77E2" w14:textId="77777777">
        <w:trPr>
          <w:hidden/>
        </w:trPr>
        <w:tc>
          <w:tcPr>
            <w:tcW w:w="0" w:type="auto"/>
            <w:gridSpan w:val="3"/>
            <w:shd w:val="clear" w:color="auto" w:fill="auto"/>
          </w:tcPr>
          <w:p w14:paraId="5C7C77D9" w14:textId="77777777" w:rsidR="0008009C" w:rsidRDefault="0008009C">
            <w:pPr>
              <w:rPr>
                <w:rFonts w:ascii="宋体"/>
                <w:vanish/>
              </w:rPr>
            </w:pPr>
          </w:p>
        </w:tc>
        <w:tc>
          <w:tcPr>
            <w:tcW w:w="0" w:type="auto"/>
            <w:gridSpan w:val="3"/>
            <w:shd w:val="clear" w:color="auto" w:fill="auto"/>
          </w:tcPr>
          <w:p w14:paraId="5C7C77DA" w14:textId="77777777" w:rsidR="0008009C" w:rsidRDefault="0008009C">
            <w:pPr>
              <w:rPr>
                <w:rFonts w:ascii="宋体"/>
                <w:vanish/>
              </w:rPr>
            </w:pPr>
          </w:p>
        </w:tc>
        <w:tc>
          <w:tcPr>
            <w:tcW w:w="0" w:type="auto"/>
            <w:gridSpan w:val="3"/>
            <w:shd w:val="clear" w:color="auto" w:fill="auto"/>
          </w:tcPr>
          <w:p w14:paraId="5C7C77DB" w14:textId="77777777" w:rsidR="0008009C" w:rsidRDefault="0008009C">
            <w:pPr>
              <w:rPr>
                <w:rFonts w:ascii="宋体"/>
                <w:vanish/>
              </w:rPr>
            </w:pPr>
          </w:p>
        </w:tc>
        <w:tc>
          <w:tcPr>
            <w:tcW w:w="0" w:type="auto"/>
            <w:gridSpan w:val="3"/>
            <w:shd w:val="clear" w:color="auto" w:fill="auto"/>
          </w:tcPr>
          <w:p w14:paraId="5C7C77DC" w14:textId="77777777" w:rsidR="0008009C" w:rsidRDefault="0008009C">
            <w:pPr>
              <w:rPr>
                <w:rFonts w:ascii="宋体"/>
                <w:vanish/>
              </w:rPr>
            </w:pPr>
          </w:p>
        </w:tc>
        <w:tc>
          <w:tcPr>
            <w:tcW w:w="0" w:type="auto"/>
            <w:gridSpan w:val="3"/>
            <w:shd w:val="clear" w:color="auto" w:fill="auto"/>
          </w:tcPr>
          <w:p w14:paraId="5C7C77DD" w14:textId="77777777" w:rsidR="0008009C" w:rsidRDefault="0008009C">
            <w:pPr>
              <w:rPr>
                <w:rFonts w:ascii="宋体"/>
                <w:vanish/>
              </w:rPr>
            </w:pPr>
          </w:p>
        </w:tc>
        <w:tc>
          <w:tcPr>
            <w:tcW w:w="0" w:type="auto"/>
            <w:shd w:val="clear" w:color="auto" w:fill="auto"/>
          </w:tcPr>
          <w:p w14:paraId="5C7C77DE" w14:textId="77777777" w:rsidR="0008009C" w:rsidRDefault="0008009C">
            <w:pPr>
              <w:rPr>
                <w:rFonts w:ascii="宋体"/>
                <w:vanish/>
              </w:rPr>
            </w:pPr>
          </w:p>
        </w:tc>
        <w:tc>
          <w:tcPr>
            <w:tcW w:w="0" w:type="auto"/>
            <w:shd w:val="clear" w:color="auto" w:fill="auto"/>
          </w:tcPr>
          <w:p w14:paraId="5C7C77DF" w14:textId="77777777" w:rsidR="0008009C" w:rsidRDefault="0008009C">
            <w:pPr>
              <w:rPr>
                <w:rFonts w:ascii="宋体"/>
                <w:vanish/>
              </w:rPr>
            </w:pPr>
          </w:p>
        </w:tc>
        <w:tc>
          <w:tcPr>
            <w:tcW w:w="0" w:type="auto"/>
            <w:gridSpan w:val="3"/>
            <w:shd w:val="clear" w:color="auto" w:fill="auto"/>
          </w:tcPr>
          <w:p w14:paraId="5C7C77E0" w14:textId="77777777" w:rsidR="0008009C" w:rsidRDefault="0008009C">
            <w:pPr>
              <w:rPr>
                <w:rFonts w:ascii="宋体"/>
                <w:vanish/>
              </w:rPr>
            </w:pPr>
          </w:p>
        </w:tc>
        <w:tc>
          <w:tcPr>
            <w:tcW w:w="0" w:type="auto"/>
            <w:gridSpan w:val="3"/>
            <w:shd w:val="clear" w:color="auto" w:fill="auto"/>
          </w:tcPr>
          <w:p w14:paraId="5C7C77E1" w14:textId="77777777" w:rsidR="0008009C" w:rsidRDefault="0008009C">
            <w:pPr>
              <w:rPr>
                <w:rFonts w:ascii="宋体"/>
                <w:vanish/>
              </w:rPr>
            </w:pPr>
          </w:p>
        </w:tc>
      </w:tr>
      <w:tr w:rsidR="0008009C" w14:paraId="5C7C77EC" w14:textId="77777777">
        <w:trPr>
          <w:hidden/>
        </w:trPr>
        <w:tc>
          <w:tcPr>
            <w:tcW w:w="0" w:type="auto"/>
            <w:gridSpan w:val="3"/>
            <w:shd w:val="clear" w:color="auto" w:fill="auto"/>
          </w:tcPr>
          <w:p w14:paraId="5C7C77E3" w14:textId="77777777" w:rsidR="0008009C" w:rsidRDefault="0008009C">
            <w:pPr>
              <w:rPr>
                <w:rFonts w:ascii="宋体"/>
                <w:vanish/>
              </w:rPr>
            </w:pPr>
          </w:p>
        </w:tc>
        <w:tc>
          <w:tcPr>
            <w:tcW w:w="0" w:type="auto"/>
            <w:gridSpan w:val="3"/>
            <w:shd w:val="clear" w:color="auto" w:fill="auto"/>
          </w:tcPr>
          <w:p w14:paraId="5C7C77E4" w14:textId="77777777" w:rsidR="0008009C" w:rsidRDefault="0008009C">
            <w:pPr>
              <w:rPr>
                <w:rFonts w:ascii="宋体"/>
                <w:vanish/>
              </w:rPr>
            </w:pPr>
          </w:p>
        </w:tc>
        <w:tc>
          <w:tcPr>
            <w:tcW w:w="0" w:type="auto"/>
            <w:gridSpan w:val="3"/>
            <w:shd w:val="clear" w:color="auto" w:fill="auto"/>
          </w:tcPr>
          <w:p w14:paraId="5C7C77E5" w14:textId="77777777" w:rsidR="0008009C" w:rsidRDefault="0008009C">
            <w:pPr>
              <w:rPr>
                <w:rFonts w:ascii="宋体"/>
                <w:vanish/>
              </w:rPr>
            </w:pPr>
          </w:p>
        </w:tc>
        <w:tc>
          <w:tcPr>
            <w:tcW w:w="0" w:type="auto"/>
            <w:gridSpan w:val="3"/>
            <w:shd w:val="clear" w:color="auto" w:fill="auto"/>
          </w:tcPr>
          <w:p w14:paraId="5C7C77E6" w14:textId="77777777" w:rsidR="0008009C" w:rsidRDefault="0008009C">
            <w:pPr>
              <w:rPr>
                <w:rFonts w:ascii="宋体"/>
                <w:vanish/>
              </w:rPr>
            </w:pPr>
          </w:p>
        </w:tc>
        <w:tc>
          <w:tcPr>
            <w:tcW w:w="0" w:type="auto"/>
            <w:gridSpan w:val="3"/>
            <w:shd w:val="clear" w:color="auto" w:fill="auto"/>
          </w:tcPr>
          <w:p w14:paraId="5C7C77E7" w14:textId="77777777" w:rsidR="0008009C" w:rsidRDefault="0008009C">
            <w:pPr>
              <w:rPr>
                <w:rFonts w:ascii="宋体"/>
                <w:vanish/>
              </w:rPr>
            </w:pPr>
          </w:p>
        </w:tc>
        <w:tc>
          <w:tcPr>
            <w:tcW w:w="0" w:type="auto"/>
            <w:shd w:val="clear" w:color="auto" w:fill="auto"/>
          </w:tcPr>
          <w:p w14:paraId="5C7C77E8" w14:textId="77777777" w:rsidR="0008009C" w:rsidRDefault="0008009C">
            <w:pPr>
              <w:rPr>
                <w:rFonts w:ascii="宋体"/>
                <w:vanish/>
              </w:rPr>
            </w:pPr>
          </w:p>
        </w:tc>
        <w:tc>
          <w:tcPr>
            <w:tcW w:w="0" w:type="auto"/>
            <w:shd w:val="clear" w:color="auto" w:fill="auto"/>
          </w:tcPr>
          <w:p w14:paraId="5C7C77E9" w14:textId="77777777" w:rsidR="0008009C" w:rsidRDefault="0008009C">
            <w:pPr>
              <w:rPr>
                <w:rFonts w:ascii="宋体"/>
                <w:vanish/>
              </w:rPr>
            </w:pPr>
          </w:p>
        </w:tc>
        <w:tc>
          <w:tcPr>
            <w:tcW w:w="0" w:type="auto"/>
            <w:gridSpan w:val="3"/>
            <w:shd w:val="clear" w:color="auto" w:fill="auto"/>
          </w:tcPr>
          <w:p w14:paraId="5C7C77EA" w14:textId="77777777" w:rsidR="0008009C" w:rsidRDefault="0008009C">
            <w:pPr>
              <w:rPr>
                <w:rFonts w:ascii="宋体"/>
                <w:vanish/>
              </w:rPr>
            </w:pPr>
          </w:p>
        </w:tc>
        <w:tc>
          <w:tcPr>
            <w:tcW w:w="0" w:type="auto"/>
            <w:gridSpan w:val="3"/>
            <w:shd w:val="clear" w:color="auto" w:fill="auto"/>
          </w:tcPr>
          <w:p w14:paraId="5C7C77EB" w14:textId="77777777" w:rsidR="0008009C" w:rsidRDefault="0008009C">
            <w:pPr>
              <w:rPr>
                <w:rFonts w:ascii="宋体"/>
                <w:vanish/>
              </w:rPr>
            </w:pPr>
          </w:p>
        </w:tc>
      </w:tr>
      <w:tr w:rsidR="0008009C" w14:paraId="5C7C77F6" w14:textId="77777777">
        <w:trPr>
          <w:hidden/>
        </w:trPr>
        <w:tc>
          <w:tcPr>
            <w:tcW w:w="0" w:type="auto"/>
            <w:gridSpan w:val="3"/>
            <w:shd w:val="clear" w:color="auto" w:fill="auto"/>
          </w:tcPr>
          <w:p w14:paraId="5C7C77ED" w14:textId="77777777" w:rsidR="0008009C" w:rsidRDefault="0008009C">
            <w:pPr>
              <w:rPr>
                <w:rFonts w:ascii="宋体"/>
                <w:vanish/>
              </w:rPr>
            </w:pPr>
          </w:p>
        </w:tc>
        <w:tc>
          <w:tcPr>
            <w:tcW w:w="0" w:type="auto"/>
            <w:gridSpan w:val="3"/>
            <w:shd w:val="clear" w:color="auto" w:fill="auto"/>
          </w:tcPr>
          <w:p w14:paraId="5C7C77EE" w14:textId="77777777" w:rsidR="0008009C" w:rsidRDefault="0008009C">
            <w:pPr>
              <w:rPr>
                <w:rFonts w:ascii="宋体"/>
                <w:vanish/>
              </w:rPr>
            </w:pPr>
          </w:p>
        </w:tc>
        <w:tc>
          <w:tcPr>
            <w:tcW w:w="0" w:type="auto"/>
            <w:gridSpan w:val="3"/>
            <w:shd w:val="clear" w:color="auto" w:fill="auto"/>
          </w:tcPr>
          <w:p w14:paraId="5C7C77EF" w14:textId="77777777" w:rsidR="0008009C" w:rsidRDefault="0008009C">
            <w:pPr>
              <w:rPr>
                <w:rFonts w:ascii="宋体"/>
                <w:vanish/>
              </w:rPr>
            </w:pPr>
          </w:p>
        </w:tc>
        <w:tc>
          <w:tcPr>
            <w:tcW w:w="0" w:type="auto"/>
            <w:gridSpan w:val="3"/>
            <w:shd w:val="clear" w:color="auto" w:fill="auto"/>
          </w:tcPr>
          <w:p w14:paraId="5C7C77F0" w14:textId="77777777" w:rsidR="0008009C" w:rsidRDefault="0008009C">
            <w:pPr>
              <w:rPr>
                <w:rFonts w:ascii="宋体"/>
                <w:vanish/>
              </w:rPr>
            </w:pPr>
          </w:p>
        </w:tc>
        <w:tc>
          <w:tcPr>
            <w:tcW w:w="0" w:type="auto"/>
            <w:gridSpan w:val="3"/>
            <w:shd w:val="clear" w:color="auto" w:fill="auto"/>
          </w:tcPr>
          <w:p w14:paraId="5C7C77F1" w14:textId="77777777" w:rsidR="0008009C" w:rsidRDefault="0008009C">
            <w:pPr>
              <w:rPr>
                <w:rFonts w:ascii="宋体"/>
                <w:vanish/>
              </w:rPr>
            </w:pPr>
          </w:p>
        </w:tc>
        <w:tc>
          <w:tcPr>
            <w:tcW w:w="0" w:type="auto"/>
            <w:shd w:val="clear" w:color="auto" w:fill="auto"/>
          </w:tcPr>
          <w:p w14:paraId="5C7C77F2" w14:textId="77777777" w:rsidR="0008009C" w:rsidRDefault="0008009C">
            <w:pPr>
              <w:rPr>
                <w:rFonts w:ascii="宋体"/>
                <w:vanish/>
              </w:rPr>
            </w:pPr>
          </w:p>
        </w:tc>
        <w:tc>
          <w:tcPr>
            <w:tcW w:w="0" w:type="auto"/>
            <w:shd w:val="clear" w:color="auto" w:fill="auto"/>
          </w:tcPr>
          <w:p w14:paraId="5C7C77F3" w14:textId="77777777" w:rsidR="0008009C" w:rsidRDefault="0008009C">
            <w:pPr>
              <w:rPr>
                <w:rFonts w:ascii="宋体"/>
                <w:vanish/>
              </w:rPr>
            </w:pPr>
          </w:p>
        </w:tc>
        <w:tc>
          <w:tcPr>
            <w:tcW w:w="0" w:type="auto"/>
            <w:gridSpan w:val="3"/>
            <w:shd w:val="clear" w:color="auto" w:fill="auto"/>
          </w:tcPr>
          <w:p w14:paraId="5C7C77F4" w14:textId="77777777" w:rsidR="0008009C" w:rsidRDefault="0008009C">
            <w:pPr>
              <w:rPr>
                <w:rFonts w:ascii="宋体"/>
                <w:vanish/>
              </w:rPr>
            </w:pPr>
          </w:p>
        </w:tc>
        <w:tc>
          <w:tcPr>
            <w:tcW w:w="0" w:type="auto"/>
            <w:gridSpan w:val="3"/>
            <w:shd w:val="clear" w:color="auto" w:fill="auto"/>
          </w:tcPr>
          <w:p w14:paraId="5C7C77F5" w14:textId="77777777" w:rsidR="0008009C" w:rsidRDefault="0008009C">
            <w:pPr>
              <w:rPr>
                <w:rFonts w:ascii="宋体"/>
                <w:vanish/>
              </w:rPr>
            </w:pPr>
          </w:p>
        </w:tc>
      </w:tr>
      <w:tr w:rsidR="0008009C" w14:paraId="5C7C7802" w14:textId="77777777">
        <w:tc>
          <w:tcPr>
            <w:tcW w:w="0" w:type="auto"/>
            <w:gridSpan w:val="3"/>
            <w:shd w:val="clear" w:color="auto" w:fill="auto"/>
            <w:tcMar>
              <w:top w:w="40" w:type="dxa"/>
              <w:left w:w="245" w:type="dxa"/>
              <w:bottom w:w="40" w:type="dxa"/>
              <w:right w:w="20" w:type="dxa"/>
            </w:tcMar>
            <w:vAlign w:val="bottom"/>
          </w:tcPr>
          <w:p w14:paraId="5C7C77F7" w14:textId="77777777" w:rsidR="0008009C" w:rsidRDefault="00936FDF">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tcPr>
          <w:p w14:paraId="5C7C77F8"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7F9" w14:textId="77777777" w:rsidR="0008009C" w:rsidRDefault="00936FDF">
            <w:pPr>
              <w:jc w:val="right"/>
              <w:textAlignment w:val="bottom"/>
            </w:pPr>
            <w:r>
              <w:rPr>
                <w:rFonts w:ascii="Arial" w:eastAsia="宋体" w:hAnsi="Arial" w:cs="Arial"/>
                <w:color w:val="0068B5"/>
                <w:sz w:val="18"/>
                <w:szCs w:val="18"/>
              </w:rPr>
              <w:t>11.2 </w:t>
            </w:r>
          </w:p>
        </w:tc>
        <w:tc>
          <w:tcPr>
            <w:tcW w:w="0" w:type="auto"/>
            <w:shd w:val="clear" w:color="auto" w:fill="auto"/>
            <w:tcMar>
              <w:top w:w="40" w:type="dxa"/>
              <w:left w:w="0" w:type="dxa"/>
              <w:bottom w:w="40" w:type="dxa"/>
              <w:right w:w="20" w:type="dxa"/>
            </w:tcMar>
            <w:vAlign w:val="bottom"/>
          </w:tcPr>
          <w:p w14:paraId="5C7C77FA" w14:textId="77777777" w:rsidR="0008009C" w:rsidRDefault="00936FDF">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5C7C77F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7FC" w14:textId="77777777" w:rsidR="0008009C" w:rsidRDefault="00936FDF">
            <w:pPr>
              <w:jc w:val="right"/>
              <w:textAlignment w:val="bottom"/>
            </w:pPr>
            <w:r>
              <w:rPr>
                <w:rFonts w:ascii="Arial" w:eastAsia="宋体" w:hAnsi="Arial" w:cs="Arial"/>
                <w:color w:val="262626"/>
                <w:sz w:val="18"/>
                <w:szCs w:val="18"/>
              </w:rPr>
              <w:t>0.8 </w:t>
            </w:r>
          </w:p>
        </w:tc>
        <w:tc>
          <w:tcPr>
            <w:tcW w:w="0" w:type="auto"/>
            <w:shd w:val="clear" w:color="auto" w:fill="auto"/>
            <w:tcMar>
              <w:top w:w="40" w:type="dxa"/>
              <w:left w:w="0" w:type="dxa"/>
              <w:bottom w:w="40" w:type="dxa"/>
              <w:right w:w="20" w:type="dxa"/>
            </w:tcMar>
            <w:vAlign w:val="bottom"/>
          </w:tcPr>
          <w:p w14:paraId="5C7C77FD" w14:textId="77777777" w:rsidR="0008009C" w:rsidRDefault="00936FDF">
            <w:pPr>
              <w:jc w:val="right"/>
              <w:textAlignment w:val="bottom"/>
            </w:pPr>
            <w:r>
              <w:rPr>
                <w:rFonts w:ascii="Arial" w:eastAsia="宋体" w:hAnsi="Arial" w:cs="Arial"/>
                <w:color w:val="262626"/>
                <w:sz w:val="18"/>
                <w:szCs w:val="18"/>
              </w:rPr>
              <w:t>%</w:t>
            </w:r>
          </w:p>
        </w:tc>
        <w:tc>
          <w:tcPr>
            <w:tcW w:w="0" w:type="auto"/>
            <w:shd w:val="clear" w:color="auto" w:fill="auto"/>
          </w:tcPr>
          <w:p w14:paraId="5C7C77FE" w14:textId="77777777" w:rsidR="0008009C" w:rsidRDefault="0008009C">
            <w:pPr>
              <w:rPr>
                <w:rFonts w:ascii="宋体"/>
                <w:vanish/>
              </w:rPr>
            </w:pPr>
          </w:p>
        </w:tc>
        <w:tc>
          <w:tcPr>
            <w:tcW w:w="0" w:type="auto"/>
            <w:shd w:val="clear" w:color="auto" w:fill="auto"/>
          </w:tcPr>
          <w:p w14:paraId="5C7C77FF" w14:textId="77777777" w:rsidR="0008009C" w:rsidRDefault="0008009C">
            <w:pPr>
              <w:rPr>
                <w:rFonts w:ascii="宋体"/>
                <w:vanish/>
              </w:rPr>
            </w:pPr>
          </w:p>
        </w:tc>
        <w:tc>
          <w:tcPr>
            <w:tcW w:w="0" w:type="auto"/>
            <w:gridSpan w:val="3"/>
            <w:shd w:val="clear" w:color="auto" w:fill="auto"/>
          </w:tcPr>
          <w:p w14:paraId="5C7C7800" w14:textId="77777777" w:rsidR="0008009C" w:rsidRDefault="0008009C">
            <w:pPr>
              <w:rPr>
                <w:rFonts w:ascii="宋体"/>
                <w:vanish/>
              </w:rPr>
            </w:pPr>
          </w:p>
        </w:tc>
        <w:tc>
          <w:tcPr>
            <w:tcW w:w="0" w:type="auto"/>
            <w:gridSpan w:val="3"/>
            <w:shd w:val="clear" w:color="auto" w:fill="auto"/>
          </w:tcPr>
          <w:p w14:paraId="5C7C7801" w14:textId="77777777" w:rsidR="0008009C" w:rsidRDefault="0008009C">
            <w:pPr>
              <w:rPr>
                <w:rFonts w:ascii="宋体"/>
                <w:vanish/>
              </w:rPr>
            </w:pPr>
          </w:p>
        </w:tc>
      </w:tr>
      <w:tr w:rsidR="0008009C" w14:paraId="5C7C780E" w14:textId="77777777">
        <w:tc>
          <w:tcPr>
            <w:tcW w:w="0" w:type="auto"/>
            <w:gridSpan w:val="3"/>
            <w:shd w:val="clear" w:color="auto" w:fill="auto"/>
            <w:tcMar>
              <w:top w:w="40" w:type="dxa"/>
              <w:left w:w="245" w:type="dxa"/>
              <w:bottom w:w="40" w:type="dxa"/>
              <w:right w:w="20" w:type="dxa"/>
            </w:tcMar>
            <w:vAlign w:val="bottom"/>
          </w:tcPr>
          <w:p w14:paraId="5C7C7803" w14:textId="77777777" w:rsidR="0008009C" w:rsidRDefault="00936FDF">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tcPr>
          <w:p w14:paraId="5C7C7804"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805" w14:textId="77777777" w:rsidR="0008009C" w:rsidRDefault="00936FDF">
            <w:pPr>
              <w:jc w:val="right"/>
              <w:textAlignment w:val="bottom"/>
            </w:pPr>
            <w:r>
              <w:rPr>
                <w:rFonts w:ascii="Arial" w:eastAsia="宋体" w:hAnsi="Arial" w:cs="Arial"/>
                <w:color w:val="0068B5"/>
                <w:sz w:val="18"/>
                <w:szCs w:val="18"/>
              </w:rPr>
              <w:t>1.0 </w:t>
            </w:r>
          </w:p>
        </w:tc>
        <w:tc>
          <w:tcPr>
            <w:tcW w:w="0" w:type="auto"/>
            <w:shd w:val="clear" w:color="auto" w:fill="auto"/>
            <w:tcMar>
              <w:top w:w="40" w:type="dxa"/>
              <w:left w:w="0" w:type="dxa"/>
              <w:bottom w:w="40" w:type="dxa"/>
              <w:right w:w="20" w:type="dxa"/>
            </w:tcMar>
            <w:vAlign w:val="bottom"/>
          </w:tcPr>
          <w:p w14:paraId="5C7C7806" w14:textId="77777777" w:rsidR="0008009C" w:rsidRDefault="00936FDF">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5C7C7807"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808" w14:textId="77777777" w:rsidR="0008009C" w:rsidRDefault="00936FDF">
            <w:pPr>
              <w:jc w:val="right"/>
              <w:textAlignment w:val="bottom"/>
            </w:pPr>
            <w:r>
              <w:rPr>
                <w:rFonts w:ascii="Arial" w:eastAsia="宋体" w:hAnsi="Arial" w:cs="Arial"/>
                <w:color w:val="262626"/>
                <w:sz w:val="18"/>
                <w:szCs w:val="18"/>
              </w:rPr>
              <w:t>1.5 </w:t>
            </w:r>
          </w:p>
        </w:tc>
        <w:tc>
          <w:tcPr>
            <w:tcW w:w="0" w:type="auto"/>
            <w:shd w:val="clear" w:color="auto" w:fill="auto"/>
            <w:tcMar>
              <w:top w:w="40" w:type="dxa"/>
              <w:left w:w="0" w:type="dxa"/>
              <w:bottom w:w="40" w:type="dxa"/>
              <w:right w:w="20" w:type="dxa"/>
            </w:tcMar>
            <w:vAlign w:val="bottom"/>
          </w:tcPr>
          <w:p w14:paraId="5C7C7809" w14:textId="77777777" w:rsidR="0008009C" w:rsidRDefault="00936FDF">
            <w:pPr>
              <w:jc w:val="right"/>
              <w:textAlignment w:val="bottom"/>
            </w:pPr>
            <w:r>
              <w:rPr>
                <w:rFonts w:ascii="Arial" w:eastAsia="宋体" w:hAnsi="Arial" w:cs="Arial"/>
                <w:color w:val="262626"/>
                <w:sz w:val="18"/>
                <w:szCs w:val="18"/>
              </w:rPr>
              <w:t>%</w:t>
            </w:r>
          </w:p>
        </w:tc>
        <w:tc>
          <w:tcPr>
            <w:tcW w:w="0" w:type="auto"/>
            <w:shd w:val="clear" w:color="auto" w:fill="auto"/>
          </w:tcPr>
          <w:p w14:paraId="5C7C780A" w14:textId="77777777" w:rsidR="0008009C" w:rsidRDefault="0008009C">
            <w:pPr>
              <w:rPr>
                <w:rFonts w:ascii="宋体"/>
                <w:vanish/>
              </w:rPr>
            </w:pPr>
          </w:p>
        </w:tc>
        <w:tc>
          <w:tcPr>
            <w:tcW w:w="0" w:type="auto"/>
            <w:shd w:val="clear" w:color="auto" w:fill="auto"/>
          </w:tcPr>
          <w:p w14:paraId="5C7C780B" w14:textId="77777777" w:rsidR="0008009C" w:rsidRDefault="0008009C">
            <w:pPr>
              <w:rPr>
                <w:rFonts w:ascii="宋体"/>
                <w:vanish/>
              </w:rPr>
            </w:pPr>
          </w:p>
        </w:tc>
        <w:tc>
          <w:tcPr>
            <w:tcW w:w="0" w:type="auto"/>
            <w:gridSpan w:val="3"/>
            <w:shd w:val="clear" w:color="auto" w:fill="auto"/>
          </w:tcPr>
          <w:p w14:paraId="5C7C780C" w14:textId="77777777" w:rsidR="0008009C" w:rsidRDefault="0008009C">
            <w:pPr>
              <w:rPr>
                <w:rFonts w:ascii="宋体"/>
                <w:vanish/>
              </w:rPr>
            </w:pPr>
          </w:p>
        </w:tc>
        <w:tc>
          <w:tcPr>
            <w:tcW w:w="0" w:type="auto"/>
            <w:gridSpan w:val="3"/>
            <w:shd w:val="clear" w:color="auto" w:fill="auto"/>
          </w:tcPr>
          <w:p w14:paraId="5C7C780D" w14:textId="77777777" w:rsidR="0008009C" w:rsidRDefault="0008009C">
            <w:pPr>
              <w:rPr>
                <w:rFonts w:ascii="宋体"/>
                <w:vanish/>
              </w:rPr>
            </w:pPr>
          </w:p>
        </w:tc>
      </w:tr>
      <w:tr w:rsidR="0008009C" w14:paraId="5C7C781A" w14:textId="77777777">
        <w:tc>
          <w:tcPr>
            <w:tcW w:w="0" w:type="auto"/>
            <w:gridSpan w:val="3"/>
            <w:shd w:val="clear" w:color="auto" w:fill="auto"/>
            <w:tcMar>
              <w:top w:w="40" w:type="dxa"/>
              <w:left w:w="20" w:type="dxa"/>
              <w:bottom w:w="40" w:type="dxa"/>
              <w:right w:w="20" w:type="dxa"/>
            </w:tcMar>
            <w:vAlign w:val="bottom"/>
          </w:tcPr>
          <w:p w14:paraId="5C7C780F" w14:textId="77777777" w:rsidR="0008009C" w:rsidRDefault="00936FDF">
            <w:pPr>
              <w:textAlignment w:val="bottom"/>
            </w:pPr>
            <w:r>
              <w:rPr>
                <w:rFonts w:ascii="Arial" w:eastAsia="宋体" w:hAnsi="Arial" w:cs="Arial"/>
                <w:b/>
                <w:bCs/>
                <w:color w:val="262626"/>
                <w:sz w:val="18"/>
                <w:szCs w:val="18"/>
              </w:rPr>
              <w:t xml:space="preserve">Non-GAAP </w:t>
            </w:r>
            <w:r>
              <w:rPr>
                <w:rFonts w:ascii="Arial" w:eastAsia="宋体" w:hAnsi="Arial" w:cs="Arial"/>
                <w:b/>
                <w:bCs/>
                <w:color w:val="262626"/>
                <w:sz w:val="18"/>
                <w:szCs w:val="18"/>
              </w:rPr>
              <w:t>operating margin</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tcPr>
          <w:p w14:paraId="5C7C7810"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7811" w14:textId="77777777" w:rsidR="0008009C" w:rsidRDefault="00936FDF">
            <w:pPr>
              <w:jc w:val="right"/>
              <w:textAlignment w:val="bottom"/>
            </w:pPr>
            <w:r>
              <w:rPr>
                <w:rFonts w:ascii="Arial" w:eastAsia="宋体" w:hAnsi="Arial" w:cs="Arial"/>
                <w:b/>
                <w:bCs/>
                <w:color w:val="0068B5"/>
                <w:sz w:val="18"/>
                <w:szCs w:val="18"/>
              </w:rPr>
              <w:t>32.8</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812" w14:textId="77777777" w:rsidR="0008009C" w:rsidRDefault="00936FDF">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tcPr>
          <w:p w14:paraId="5C7C7813" w14:textId="77777777" w:rsidR="0008009C" w:rsidRDefault="0008009C">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5C7C7814" w14:textId="77777777" w:rsidR="0008009C" w:rsidRDefault="00936FDF">
            <w:pPr>
              <w:jc w:val="right"/>
              <w:textAlignment w:val="bottom"/>
            </w:pPr>
            <w:r>
              <w:rPr>
                <w:rFonts w:ascii="Arial" w:eastAsia="宋体" w:hAnsi="Arial" w:cs="Arial"/>
                <w:b/>
                <w:bCs/>
                <w:color w:val="262626"/>
                <w:sz w:val="18"/>
                <w:szCs w:val="18"/>
              </w:rPr>
              <w:t>39.5</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815" w14:textId="77777777" w:rsidR="0008009C" w:rsidRDefault="00936FDF">
            <w:pPr>
              <w:jc w:val="right"/>
              <w:textAlignment w:val="bottom"/>
            </w:pPr>
            <w:r>
              <w:rPr>
                <w:rFonts w:ascii="Arial" w:eastAsia="宋体" w:hAnsi="Arial" w:cs="Arial"/>
                <w:b/>
                <w:bCs/>
                <w:color w:val="262626"/>
                <w:sz w:val="18"/>
                <w:szCs w:val="18"/>
              </w:rPr>
              <w:t>%</w:t>
            </w:r>
          </w:p>
        </w:tc>
        <w:tc>
          <w:tcPr>
            <w:tcW w:w="0" w:type="auto"/>
            <w:shd w:val="clear" w:color="auto" w:fill="auto"/>
          </w:tcPr>
          <w:p w14:paraId="5C7C7816" w14:textId="77777777" w:rsidR="0008009C" w:rsidRDefault="0008009C">
            <w:pPr>
              <w:rPr>
                <w:rFonts w:ascii="宋体"/>
                <w:vanish/>
              </w:rPr>
            </w:pPr>
          </w:p>
        </w:tc>
        <w:tc>
          <w:tcPr>
            <w:tcW w:w="0" w:type="auto"/>
            <w:shd w:val="clear" w:color="auto" w:fill="auto"/>
          </w:tcPr>
          <w:p w14:paraId="5C7C7817" w14:textId="77777777" w:rsidR="0008009C" w:rsidRDefault="0008009C">
            <w:pPr>
              <w:rPr>
                <w:rFonts w:ascii="宋体"/>
                <w:vanish/>
              </w:rPr>
            </w:pPr>
          </w:p>
        </w:tc>
        <w:tc>
          <w:tcPr>
            <w:tcW w:w="0" w:type="auto"/>
            <w:gridSpan w:val="3"/>
            <w:shd w:val="clear" w:color="auto" w:fill="auto"/>
          </w:tcPr>
          <w:p w14:paraId="5C7C7818" w14:textId="77777777" w:rsidR="0008009C" w:rsidRDefault="0008009C">
            <w:pPr>
              <w:rPr>
                <w:rFonts w:ascii="宋体"/>
                <w:vanish/>
              </w:rPr>
            </w:pPr>
          </w:p>
        </w:tc>
        <w:tc>
          <w:tcPr>
            <w:tcW w:w="0" w:type="auto"/>
            <w:gridSpan w:val="3"/>
            <w:shd w:val="clear" w:color="auto" w:fill="auto"/>
          </w:tcPr>
          <w:p w14:paraId="5C7C7819" w14:textId="77777777" w:rsidR="0008009C" w:rsidRDefault="0008009C">
            <w:pPr>
              <w:rPr>
                <w:rFonts w:ascii="宋体"/>
                <w:vanish/>
              </w:rPr>
            </w:pPr>
          </w:p>
        </w:tc>
      </w:tr>
      <w:tr w:rsidR="0008009C" w14:paraId="5C7C7824" w14:textId="77777777">
        <w:trPr>
          <w:trHeight w:val="60"/>
        </w:trPr>
        <w:tc>
          <w:tcPr>
            <w:tcW w:w="0" w:type="auto"/>
            <w:gridSpan w:val="3"/>
            <w:shd w:val="clear" w:color="auto" w:fill="auto"/>
            <w:tcMar>
              <w:top w:w="0" w:type="dxa"/>
              <w:left w:w="20" w:type="dxa"/>
              <w:bottom w:w="0" w:type="dxa"/>
              <w:right w:w="20" w:type="dxa"/>
            </w:tcMar>
          </w:tcPr>
          <w:p w14:paraId="5C7C781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81C"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781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81E"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781F" w14:textId="77777777" w:rsidR="0008009C" w:rsidRDefault="0008009C">
            <w:pPr>
              <w:rPr>
                <w:rFonts w:ascii="宋体"/>
              </w:rPr>
            </w:pPr>
          </w:p>
        </w:tc>
        <w:tc>
          <w:tcPr>
            <w:tcW w:w="0" w:type="auto"/>
            <w:shd w:val="clear" w:color="auto" w:fill="auto"/>
          </w:tcPr>
          <w:p w14:paraId="5C7C7820" w14:textId="77777777" w:rsidR="0008009C" w:rsidRDefault="0008009C">
            <w:pPr>
              <w:rPr>
                <w:rFonts w:ascii="宋体"/>
                <w:vanish/>
              </w:rPr>
            </w:pPr>
          </w:p>
        </w:tc>
        <w:tc>
          <w:tcPr>
            <w:tcW w:w="0" w:type="auto"/>
            <w:shd w:val="clear" w:color="auto" w:fill="auto"/>
          </w:tcPr>
          <w:p w14:paraId="5C7C7821" w14:textId="77777777" w:rsidR="0008009C" w:rsidRDefault="0008009C">
            <w:pPr>
              <w:rPr>
                <w:rFonts w:ascii="宋体"/>
                <w:vanish/>
              </w:rPr>
            </w:pPr>
          </w:p>
        </w:tc>
        <w:tc>
          <w:tcPr>
            <w:tcW w:w="0" w:type="auto"/>
            <w:gridSpan w:val="3"/>
            <w:shd w:val="clear" w:color="auto" w:fill="auto"/>
          </w:tcPr>
          <w:p w14:paraId="5C7C7822" w14:textId="77777777" w:rsidR="0008009C" w:rsidRDefault="0008009C">
            <w:pPr>
              <w:rPr>
                <w:rFonts w:ascii="宋体"/>
                <w:vanish/>
              </w:rPr>
            </w:pPr>
          </w:p>
        </w:tc>
        <w:tc>
          <w:tcPr>
            <w:tcW w:w="0" w:type="auto"/>
            <w:gridSpan w:val="3"/>
            <w:shd w:val="clear" w:color="auto" w:fill="auto"/>
          </w:tcPr>
          <w:p w14:paraId="5C7C7823" w14:textId="77777777" w:rsidR="0008009C" w:rsidRDefault="0008009C">
            <w:pPr>
              <w:rPr>
                <w:rFonts w:ascii="宋体"/>
                <w:vanish/>
              </w:rPr>
            </w:pPr>
          </w:p>
        </w:tc>
      </w:tr>
      <w:tr w:rsidR="0008009C" w14:paraId="5C7C782E" w14:textId="77777777">
        <w:trPr>
          <w:hidden/>
        </w:trPr>
        <w:tc>
          <w:tcPr>
            <w:tcW w:w="0" w:type="auto"/>
            <w:gridSpan w:val="3"/>
            <w:shd w:val="clear" w:color="auto" w:fill="auto"/>
          </w:tcPr>
          <w:p w14:paraId="5C7C7825" w14:textId="77777777" w:rsidR="0008009C" w:rsidRDefault="0008009C">
            <w:pPr>
              <w:rPr>
                <w:rFonts w:ascii="宋体"/>
                <w:vanish/>
              </w:rPr>
            </w:pPr>
          </w:p>
        </w:tc>
        <w:tc>
          <w:tcPr>
            <w:tcW w:w="0" w:type="auto"/>
            <w:gridSpan w:val="3"/>
            <w:shd w:val="clear" w:color="auto" w:fill="auto"/>
          </w:tcPr>
          <w:p w14:paraId="5C7C7826" w14:textId="77777777" w:rsidR="0008009C" w:rsidRDefault="0008009C">
            <w:pPr>
              <w:rPr>
                <w:rFonts w:ascii="宋体"/>
                <w:vanish/>
              </w:rPr>
            </w:pPr>
          </w:p>
        </w:tc>
        <w:tc>
          <w:tcPr>
            <w:tcW w:w="0" w:type="auto"/>
            <w:gridSpan w:val="3"/>
            <w:shd w:val="clear" w:color="auto" w:fill="auto"/>
          </w:tcPr>
          <w:p w14:paraId="5C7C7827" w14:textId="77777777" w:rsidR="0008009C" w:rsidRDefault="0008009C">
            <w:pPr>
              <w:rPr>
                <w:rFonts w:ascii="宋体"/>
                <w:vanish/>
              </w:rPr>
            </w:pPr>
          </w:p>
        </w:tc>
        <w:tc>
          <w:tcPr>
            <w:tcW w:w="0" w:type="auto"/>
            <w:gridSpan w:val="3"/>
            <w:shd w:val="clear" w:color="auto" w:fill="auto"/>
          </w:tcPr>
          <w:p w14:paraId="5C7C7828" w14:textId="77777777" w:rsidR="0008009C" w:rsidRDefault="0008009C">
            <w:pPr>
              <w:rPr>
                <w:rFonts w:ascii="宋体"/>
                <w:vanish/>
              </w:rPr>
            </w:pPr>
          </w:p>
        </w:tc>
        <w:tc>
          <w:tcPr>
            <w:tcW w:w="0" w:type="auto"/>
            <w:gridSpan w:val="3"/>
            <w:shd w:val="clear" w:color="auto" w:fill="auto"/>
          </w:tcPr>
          <w:p w14:paraId="5C7C7829" w14:textId="77777777" w:rsidR="0008009C" w:rsidRDefault="0008009C">
            <w:pPr>
              <w:rPr>
                <w:rFonts w:ascii="宋体"/>
                <w:vanish/>
              </w:rPr>
            </w:pPr>
          </w:p>
        </w:tc>
        <w:tc>
          <w:tcPr>
            <w:tcW w:w="0" w:type="auto"/>
            <w:shd w:val="clear" w:color="auto" w:fill="auto"/>
          </w:tcPr>
          <w:p w14:paraId="5C7C782A" w14:textId="77777777" w:rsidR="0008009C" w:rsidRDefault="0008009C">
            <w:pPr>
              <w:rPr>
                <w:rFonts w:ascii="宋体"/>
                <w:vanish/>
              </w:rPr>
            </w:pPr>
          </w:p>
        </w:tc>
        <w:tc>
          <w:tcPr>
            <w:tcW w:w="0" w:type="auto"/>
            <w:shd w:val="clear" w:color="auto" w:fill="auto"/>
          </w:tcPr>
          <w:p w14:paraId="5C7C782B" w14:textId="77777777" w:rsidR="0008009C" w:rsidRDefault="0008009C">
            <w:pPr>
              <w:rPr>
                <w:rFonts w:ascii="宋体"/>
                <w:vanish/>
              </w:rPr>
            </w:pPr>
          </w:p>
        </w:tc>
        <w:tc>
          <w:tcPr>
            <w:tcW w:w="0" w:type="auto"/>
            <w:gridSpan w:val="3"/>
            <w:shd w:val="clear" w:color="auto" w:fill="auto"/>
          </w:tcPr>
          <w:p w14:paraId="5C7C782C" w14:textId="77777777" w:rsidR="0008009C" w:rsidRDefault="0008009C">
            <w:pPr>
              <w:rPr>
                <w:rFonts w:ascii="宋体"/>
                <w:vanish/>
              </w:rPr>
            </w:pPr>
          </w:p>
        </w:tc>
        <w:tc>
          <w:tcPr>
            <w:tcW w:w="0" w:type="auto"/>
            <w:gridSpan w:val="3"/>
            <w:shd w:val="clear" w:color="auto" w:fill="auto"/>
          </w:tcPr>
          <w:p w14:paraId="5C7C782D" w14:textId="77777777" w:rsidR="0008009C" w:rsidRDefault="0008009C">
            <w:pPr>
              <w:rPr>
                <w:rFonts w:ascii="宋体"/>
                <w:vanish/>
              </w:rPr>
            </w:pPr>
          </w:p>
        </w:tc>
      </w:tr>
      <w:tr w:rsidR="0008009C" w14:paraId="5C7C7838" w14:textId="77777777">
        <w:trPr>
          <w:hidden/>
        </w:trPr>
        <w:tc>
          <w:tcPr>
            <w:tcW w:w="0" w:type="auto"/>
            <w:gridSpan w:val="3"/>
            <w:shd w:val="clear" w:color="auto" w:fill="auto"/>
          </w:tcPr>
          <w:p w14:paraId="5C7C782F" w14:textId="77777777" w:rsidR="0008009C" w:rsidRDefault="0008009C">
            <w:pPr>
              <w:rPr>
                <w:rFonts w:ascii="宋体"/>
                <w:vanish/>
              </w:rPr>
            </w:pPr>
          </w:p>
        </w:tc>
        <w:tc>
          <w:tcPr>
            <w:tcW w:w="0" w:type="auto"/>
            <w:gridSpan w:val="3"/>
            <w:shd w:val="clear" w:color="auto" w:fill="auto"/>
          </w:tcPr>
          <w:p w14:paraId="5C7C7830" w14:textId="77777777" w:rsidR="0008009C" w:rsidRDefault="0008009C">
            <w:pPr>
              <w:rPr>
                <w:rFonts w:ascii="宋体"/>
                <w:vanish/>
              </w:rPr>
            </w:pPr>
          </w:p>
        </w:tc>
        <w:tc>
          <w:tcPr>
            <w:tcW w:w="0" w:type="auto"/>
            <w:gridSpan w:val="3"/>
            <w:shd w:val="clear" w:color="auto" w:fill="auto"/>
          </w:tcPr>
          <w:p w14:paraId="5C7C7831" w14:textId="77777777" w:rsidR="0008009C" w:rsidRDefault="0008009C">
            <w:pPr>
              <w:rPr>
                <w:rFonts w:ascii="宋体"/>
                <w:vanish/>
              </w:rPr>
            </w:pPr>
          </w:p>
        </w:tc>
        <w:tc>
          <w:tcPr>
            <w:tcW w:w="0" w:type="auto"/>
            <w:gridSpan w:val="3"/>
            <w:shd w:val="clear" w:color="auto" w:fill="auto"/>
          </w:tcPr>
          <w:p w14:paraId="5C7C7832" w14:textId="77777777" w:rsidR="0008009C" w:rsidRDefault="0008009C">
            <w:pPr>
              <w:rPr>
                <w:rFonts w:ascii="宋体"/>
                <w:vanish/>
              </w:rPr>
            </w:pPr>
          </w:p>
        </w:tc>
        <w:tc>
          <w:tcPr>
            <w:tcW w:w="0" w:type="auto"/>
            <w:gridSpan w:val="3"/>
            <w:shd w:val="clear" w:color="auto" w:fill="auto"/>
          </w:tcPr>
          <w:p w14:paraId="5C7C7833" w14:textId="77777777" w:rsidR="0008009C" w:rsidRDefault="0008009C">
            <w:pPr>
              <w:rPr>
                <w:rFonts w:ascii="宋体"/>
                <w:vanish/>
              </w:rPr>
            </w:pPr>
          </w:p>
        </w:tc>
        <w:tc>
          <w:tcPr>
            <w:tcW w:w="0" w:type="auto"/>
            <w:shd w:val="clear" w:color="auto" w:fill="auto"/>
          </w:tcPr>
          <w:p w14:paraId="5C7C7834" w14:textId="77777777" w:rsidR="0008009C" w:rsidRDefault="0008009C">
            <w:pPr>
              <w:rPr>
                <w:rFonts w:ascii="宋体"/>
                <w:vanish/>
              </w:rPr>
            </w:pPr>
          </w:p>
        </w:tc>
        <w:tc>
          <w:tcPr>
            <w:tcW w:w="0" w:type="auto"/>
            <w:shd w:val="clear" w:color="auto" w:fill="auto"/>
          </w:tcPr>
          <w:p w14:paraId="5C7C7835" w14:textId="77777777" w:rsidR="0008009C" w:rsidRDefault="0008009C">
            <w:pPr>
              <w:rPr>
                <w:rFonts w:ascii="宋体"/>
                <w:vanish/>
              </w:rPr>
            </w:pPr>
          </w:p>
        </w:tc>
        <w:tc>
          <w:tcPr>
            <w:tcW w:w="0" w:type="auto"/>
            <w:gridSpan w:val="3"/>
            <w:shd w:val="clear" w:color="auto" w:fill="auto"/>
          </w:tcPr>
          <w:p w14:paraId="5C7C7836" w14:textId="77777777" w:rsidR="0008009C" w:rsidRDefault="0008009C">
            <w:pPr>
              <w:rPr>
                <w:rFonts w:ascii="宋体"/>
                <w:vanish/>
              </w:rPr>
            </w:pPr>
          </w:p>
        </w:tc>
        <w:tc>
          <w:tcPr>
            <w:tcW w:w="0" w:type="auto"/>
            <w:gridSpan w:val="3"/>
            <w:shd w:val="clear" w:color="auto" w:fill="auto"/>
          </w:tcPr>
          <w:p w14:paraId="5C7C7837" w14:textId="77777777" w:rsidR="0008009C" w:rsidRDefault="0008009C">
            <w:pPr>
              <w:rPr>
                <w:rFonts w:ascii="宋体"/>
                <w:vanish/>
              </w:rPr>
            </w:pPr>
          </w:p>
        </w:tc>
      </w:tr>
      <w:tr w:rsidR="0008009C" w14:paraId="5C7C7842" w14:textId="77777777">
        <w:trPr>
          <w:hidden/>
        </w:trPr>
        <w:tc>
          <w:tcPr>
            <w:tcW w:w="0" w:type="auto"/>
            <w:gridSpan w:val="3"/>
            <w:shd w:val="clear" w:color="auto" w:fill="auto"/>
          </w:tcPr>
          <w:p w14:paraId="5C7C7839" w14:textId="77777777" w:rsidR="0008009C" w:rsidRDefault="0008009C">
            <w:pPr>
              <w:rPr>
                <w:rFonts w:ascii="宋体"/>
                <w:vanish/>
              </w:rPr>
            </w:pPr>
          </w:p>
        </w:tc>
        <w:tc>
          <w:tcPr>
            <w:tcW w:w="0" w:type="auto"/>
            <w:gridSpan w:val="3"/>
            <w:shd w:val="clear" w:color="auto" w:fill="auto"/>
          </w:tcPr>
          <w:p w14:paraId="5C7C783A" w14:textId="77777777" w:rsidR="0008009C" w:rsidRDefault="0008009C">
            <w:pPr>
              <w:rPr>
                <w:rFonts w:ascii="宋体"/>
                <w:vanish/>
              </w:rPr>
            </w:pPr>
          </w:p>
        </w:tc>
        <w:tc>
          <w:tcPr>
            <w:tcW w:w="0" w:type="auto"/>
            <w:gridSpan w:val="3"/>
            <w:shd w:val="clear" w:color="auto" w:fill="auto"/>
          </w:tcPr>
          <w:p w14:paraId="5C7C783B" w14:textId="77777777" w:rsidR="0008009C" w:rsidRDefault="0008009C">
            <w:pPr>
              <w:rPr>
                <w:rFonts w:ascii="宋体"/>
                <w:vanish/>
              </w:rPr>
            </w:pPr>
          </w:p>
        </w:tc>
        <w:tc>
          <w:tcPr>
            <w:tcW w:w="0" w:type="auto"/>
            <w:gridSpan w:val="3"/>
            <w:shd w:val="clear" w:color="auto" w:fill="auto"/>
          </w:tcPr>
          <w:p w14:paraId="5C7C783C" w14:textId="77777777" w:rsidR="0008009C" w:rsidRDefault="0008009C">
            <w:pPr>
              <w:rPr>
                <w:rFonts w:ascii="宋体"/>
                <w:vanish/>
              </w:rPr>
            </w:pPr>
          </w:p>
        </w:tc>
        <w:tc>
          <w:tcPr>
            <w:tcW w:w="0" w:type="auto"/>
            <w:gridSpan w:val="3"/>
            <w:shd w:val="clear" w:color="auto" w:fill="auto"/>
          </w:tcPr>
          <w:p w14:paraId="5C7C783D" w14:textId="77777777" w:rsidR="0008009C" w:rsidRDefault="0008009C">
            <w:pPr>
              <w:rPr>
                <w:rFonts w:ascii="宋体"/>
                <w:vanish/>
              </w:rPr>
            </w:pPr>
          </w:p>
        </w:tc>
        <w:tc>
          <w:tcPr>
            <w:tcW w:w="0" w:type="auto"/>
            <w:shd w:val="clear" w:color="auto" w:fill="auto"/>
          </w:tcPr>
          <w:p w14:paraId="5C7C783E" w14:textId="77777777" w:rsidR="0008009C" w:rsidRDefault="0008009C">
            <w:pPr>
              <w:rPr>
                <w:rFonts w:ascii="宋体"/>
                <w:vanish/>
              </w:rPr>
            </w:pPr>
          </w:p>
        </w:tc>
        <w:tc>
          <w:tcPr>
            <w:tcW w:w="0" w:type="auto"/>
            <w:shd w:val="clear" w:color="auto" w:fill="auto"/>
          </w:tcPr>
          <w:p w14:paraId="5C7C783F" w14:textId="77777777" w:rsidR="0008009C" w:rsidRDefault="0008009C">
            <w:pPr>
              <w:rPr>
                <w:rFonts w:ascii="宋体"/>
                <w:vanish/>
              </w:rPr>
            </w:pPr>
          </w:p>
        </w:tc>
        <w:tc>
          <w:tcPr>
            <w:tcW w:w="0" w:type="auto"/>
            <w:gridSpan w:val="3"/>
            <w:shd w:val="clear" w:color="auto" w:fill="auto"/>
          </w:tcPr>
          <w:p w14:paraId="5C7C7840" w14:textId="77777777" w:rsidR="0008009C" w:rsidRDefault="0008009C">
            <w:pPr>
              <w:rPr>
                <w:rFonts w:ascii="宋体"/>
                <w:vanish/>
              </w:rPr>
            </w:pPr>
          </w:p>
        </w:tc>
        <w:tc>
          <w:tcPr>
            <w:tcW w:w="0" w:type="auto"/>
            <w:gridSpan w:val="3"/>
            <w:shd w:val="clear" w:color="auto" w:fill="auto"/>
          </w:tcPr>
          <w:p w14:paraId="5C7C7841" w14:textId="77777777" w:rsidR="0008009C" w:rsidRDefault="0008009C">
            <w:pPr>
              <w:rPr>
                <w:rFonts w:ascii="宋体"/>
                <w:vanish/>
              </w:rPr>
            </w:pPr>
          </w:p>
        </w:tc>
      </w:tr>
      <w:tr w:rsidR="0008009C" w14:paraId="5C7C784C" w14:textId="77777777">
        <w:trPr>
          <w:hidden/>
        </w:trPr>
        <w:tc>
          <w:tcPr>
            <w:tcW w:w="0" w:type="auto"/>
            <w:gridSpan w:val="3"/>
            <w:shd w:val="clear" w:color="auto" w:fill="auto"/>
          </w:tcPr>
          <w:p w14:paraId="5C7C7843" w14:textId="77777777" w:rsidR="0008009C" w:rsidRDefault="0008009C">
            <w:pPr>
              <w:rPr>
                <w:rFonts w:ascii="宋体"/>
                <w:vanish/>
              </w:rPr>
            </w:pPr>
          </w:p>
        </w:tc>
        <w:tc>
          <w:tcPr>
            <w:tcW w:w="0" w:type="auto"/>
            <w:gridSpan w:val="3"/>
            <w:shd w:val="clear" w:color="auto" w:fill="auto"/>
          </w:tcPr>
          <w:p w14:paraId="5C7C7844" w14:textId="77777777" w:rsidR="0008009C" w:rsidRDefault="0008009C">
            <w:pPr>
              <w:rPr>
                <w:rFonts w:ascii="宋体"/>
                <w:vanish/>
              </w:rPr>
            </w:pPr>
          </w:p>
        </w:tc>
        <w:tc>
          <w:tcPr>
            <w:tcW w:w="0" w:type="auto"/>
            <w:gridSpan w:val="3"/>
            <w:shd w:val="clear" w:color="auto" w:fill="auto"/>
          </w:tcPr>
          <w:p w14:paraId="5C7C7845" w14:textId="77777777" w:rsidR="0008009C" w:rsidRDefault="0008009C">
            <w:pPr>
              <w:rPr>
                <w:rFonts w:ascii="宋体"/>
                <w:vanish/>
              </w:rPr>
            </w:pPr>
          </w:p>
        </w:tc>
        <w:tc>
          <w:tcPr>
            <w:tcW w:w="0" w:type="auto"/>
            <w:gridSpan w:val="3"/>
            <w:shd w:val="clear" w:color="auto" w:fill="auto"/>
          </w:tcPr>
          <w:p w14:paraId="5C7C7846" w14:textId="77777777" w:rsidR="0008009C" w:rsidRDefault="0008009C">
            <w:pPr>
              <w:rPr>
                <w:rFonts w:ascii="宋体"/>
                <w:vanish/>
              </w:rPr>
            </w:pPr>
          </w:p>
        </w:tc>
        <w:tc>
          <w:tcPr>
            <w:tcW w:w="0" w:type="auto"/>
            <w:gridSpan w:val="3"/>
            <w:shd w:val="clear" w:color="auto" w:fill="auto"/>
          </w:tcPr>
          <w:p w14:paraId="5C7C7847" w14:textId="77777777" w:rsidR="0008009C" w:rsidRDefault="0008009C">
            <w:pPr>
              <w:rPr>
                <w:rFonts w:ascii="宋体"/>
                <w:vanish/>
              </w:rPr>
            </w:pPr>
          </w:p>
        </w:tc>
        <w:tc>
          <w:tcPr>
            <w:tcW w:w="0" w:type="auto"/>
            <w:shd w:val="clear" w:color="auto" w:fill="auto"/>
          </w:tcPr>
          <w:p w14:paraId="5C7C7848" w14:textId="77777777" w:rsidR="0008009C" w:rsidRDefault="0008009C">
            <w:pPr>
              <w:rPr>
                <w:rFonts w:ascii="宋体"/>
                <w:vanish/>
              </w:rPr>
            </w:pPr>
          </w:p>
        </w:tc>
        <w:tc>
          <w:tcPr>
            <w:tcW w:w="0" w:type="auto"/>
            <w:shd w:val="clear" w:color="auto" w:fill="auto"/>
          </w:tcPr>
          <w:p w14:paraId="5C7C7849" w14:textId="77777777" w:rsidR="0008009C" w:rsidRDefault="0008009C">
            <w:pPr>
              <w:rPr>
                <w:rFonts w:ascii="宋体"/>
                <w:vanish/>
              </w:rPr>
            </w:pPr>
          </w:p>
        </w:tc>
        <w:tc>
          <w:tcPr>
            <w:tcW w:w="0" w:type="auto"/>
            <w:gridSpan w:val="3"/>
            <w:shd w:val="clear" w:color="auto" w:fill="auto"/>
          </w:tcPr>
          <w:p w14:paraId="5C7C784A" w14:textId="77777777" w:rsidR="0008009C" w:rsidRDefault="0008009C">
            <w:pPr>
              <w:rPr>
                <w:rFonts w:ascii="宋体"/>
                <w:vanish/>
              </w:rPr>
            </w:pPr>
          </w:p>
        </w:tc>
        <w:tc>
          <w:tcPr>
            <w:tcW w:w="0" w:type="auto"/>
            <w:gridSpan w:val="3"/>
            <w:shd w:val="clear" w:color="auto" w:fill="auto"/>
          </w:tcPr>
          <w:p w14:paraId="5C7C784B" w14:textId="77777777" w:rsidR="0008009C" w:rsidRDefault="0008009C">
            <w:pPr>
              <w:rPr>
                <w:rFonts w:ascii="宋体"/>
                <w:vanish/>
              </w:rPr>
            </w:pPr>
          </w:p>
        </w:tc>
      </w:tr>
      <w:tr w:rsidR="0008009C" w14:paraId="5C7C7856" w14:textId="77777777">
        <w:trPr>
          <w:hidden/>
        </w:trPr>
        <w:tc>
          <w:tcPr>
            <w:tcW w:w="0" w:type="auto"/>
            <w:gridSpan w:val="3"/>
            <w:shd w:val="clear" w:color="auto" w:fill="auto"/>
          </w:tcPr>
          <w:p w14:paraId="5C7C784D" w14:textId="77777777" w:rsidR="0008009C" w:rsidRDefault="0008009C">
            <w:pPr>
              <w:rPr>
                <w:rFonts w:ascii="宋体"/>
                <w:vanish/>
              </w:rPr>
            </w:pPr>
          </w:p>
        </w:tc>
        <w:tc>
          <w:tcPr>
            <w:tcW w:w="0" w:type="auto"/>
            <w:gridSpan w:val="3"/>
            <w:shd w:val="clear" w:color="auto" w:fill="auto"/>
          </w:tcPr>
          <w:p w14:paraId="5C7C784E" w14:textId="77777777" w:rsidR="0008009C" w:rsidRDefault="0008009C">
            <w:pPr>
              <w:rPr>
                <w:rFonts w:ascii="宋体"/>
                <w:vanish/>
              </w:rPr>
            </w:pPr>
          </w:p>
        </w:tc>
        <w:tc>
          <w:tcPr>
            <w:tcW w:w="0" w:type="auto"/>
            <w:gridSpan w:val="3"/>
            <w:shd w:val="clear" w:color="auto" w:fill="auto"/>
          </w:tcPr>
          <w:p w14:paraId="5C7C784F" w14:textId="77777777" w:rsidR="0008009C" w:rsidRDefault="0008009C">
            <w:pPr>
              <w:rPr>
                <w:rFonts w:ascii="宋体"/>
                <w:vanish/>
              </w:rPr>
            </w:pPr>
          </w:p>
        </w:tc>
        <w:tc>
          <w:tcPr>
            <w:tcW w:w="0" w:type="auto"/>
            <w:gridSpan w:val="3"/>
            <w:shd w:val="clear" w:color="auto" w:fill="auto"/>
          </w:tcPr>
          <w:p w14:paraId="5C7C7850" w14:textId="77777777" w:rsidR="0008009C" w:rsidRDefault="0008009C">
            <w:pPr>
              <w:rPr>
                <w:rFonts w:ascii="宋体"/>
                <w:vanish/>
              </w:rPr>
            </w:pPr>
          </w:p>
        </w:tc>
        <w:tc>
          <w:tcPr>
            <w:tcW w:w="0" w:type="auto"/>
            <w:gridSpan w:val="3"/>
            <w:shd w:val="clear" w:color="auto" w:fill="auto"/>
          </w:tcPr>
          <w:p w14:paraId="5C7C7851" w14:textId="77777777" w:rsidR="0008009C" w:rsidRDefault="0008009C">
            <w:pPr>
              <w:rPr>
                <w:rFonts w:ascii="宋体"/>
                <w:vanish/>
              </w:rPr>
            </w:pPr>
          </w:p>
        </w:tc>
        <w:tc>
          <w:tcPr>
            <w:tcW w:w="0" w:type="auto"/>
            <w:shd w:val="clear" w:color="auto" w:fill="auto"/>
          </w:tcPr>
          <w:p w14:paraId="5C7C7852" w14:textId="77777777" w:rsidR="0008009C" w:rsidRDefault="0008009C">
            <w:pPr>
              <w:rPr>
                <w:rFonts w:ascii="宋体"/>
                <w:vanish/>
              </w:rPr>
            </w:pPr>
          </w:p>
        </w:tc>
        <w:tc>
          <w:tcPr>
            <w:tcW w:w="0" w:type="auto"/>
            <w:shd w:val="clear" w:color="auto" w:fill="auto"/>
          </w:tcPr>
          <w:p w14:paraId="5C7C7853" w14:textId="77777777" w:rsidR="0008009C" w:rsidRDefault="0008009C">
            <w:pPr>
              <w:rPr>
                <w:rFonts w:ascii="宋体"/>
                <w:vanish/>
              </w:rPr>
            </w:pPr>
          </w:p>
        </w:tc>
        <w:tc>
          <w:tcPr>
            <w:tcW w:w="0" w:type="auto"/>
            <w:gridSpan w:val="3"/>
            <w:shd w:val="clear" w:color="auto" w:fill="auto"/>
          </w:tcPr>
          <w:p w14:paraId="5C7C7854" w14:textId="77777777" w:rsidR="0008009C" w:rsidRDefault="0008009C">
            <w:pPr>
              <w:rPr>
                <w:rFonts w:ascii="宋体"/>
                <w:vanish/>
              </w:rPr>
            </w:pPr>
          </w:p>
        </w:tc>
        <w:tc>
          <w:tcPr>
            <w:tcW w:w="0" w:type="auto"/>
            <w:gridSpan w:val="3"/>
            <w:shd w:val="clear" w:color="auto" w:fill="auto"/>
          </w:tcPr>
          <w:p w14:paraId="5C7C7855" w14:textId="77777777" w:rsidR="0008009C" w:rsidRDefault="0008009C">
            <w:pPr>
              <w:rPr>
                <w:rFonts w:ascii="宋体"/>
                <w:vanish/>
              </w:rPr>
            </w:pPr>
          </w:p>
        </w:tc>
      </w:tr>
      <w:tr w:rsidR="0008009C" w14:paraId="5C7C7860" w14:textId="77777777">
        <w:trPr>
          <w:hidden/>
        </w:trPr>
        <w:tc>
          <w:tcPr>
            <w:tcW w:w="0" w:type="auto"/>
            <w:gridSpan w:val="3"/>
            <w:shd w:val="clear" w:color="auto" w:fill="auto"/>
          </w:tcPr>
          <w:p w14:paraId="5C7C7857" w14:textId="77777777" w:rsidR="0008009C" w:rsidRDefault="0008009C">
            <w:pPr>
              <w:rPr>
                <w:rFonts w:ascii="宋体"/>
                <w:vanish/>
              </w:rPr>
            </w:pPr>
          </w:p>
        </w:tc>
        <w:tc>
          <w:tcPr>
            <w:tcW w:w="0" w:type="auto"/>
            <w:gridSpan w:val="3"/>
            <w:shd w:val="clear" w:color="auto" w:fill="auto"/>
          </w:tcPr>
          <w:p w14:paraId="5C7C7858" w14:textId="77777777" w:rsidR="0008009C" w:rsidRDefault="0008009C">
            <w:pPr>
              <w:rPr>
                <w:rFonts w:ascii="宋体"/>
                <w:vanish/>
              </w:rPr>
            </w:pPr>
          </w:p>
        </w:tc>
        <w:tc>
          <w:tcPr>
            <w:tcW w:w="0" w:type="auto"/>
            <w:gridSpan w:val="3"/>
            <w:shd w:val="clear" w:color="auto" w:fill="auto"/>
          </w:tcPr>
          <w:p w14:paraId="5C7C7859" w14:textId="77777777" w:rsidR="0008009C" w:rsidRDefault="0008009C">
            <w:pPr>
              <w:rPr>
                <w:rFonts w:ascii="宋体"/>
                <w:vanish/>
              </w:rPr>
            </w:pPr>
          </w:p>
        </w:tc>
        <w:tc>
          <w:tcPr>
            <w:tcW w:w="0" w:type="auto"/>
            <w:gridSpan w:val="3"/>
            <w:shd w:val="clear" w:color="auto" w:fill="auto"/>
          </w:tcPr>
          <w:p w14:paraId="5C7C785A" w14:textId="77777777" w:rsidR="0008009C" w:rsidRDefault="0008009C">
            <w:pPr>
              <w:rPr>
                <w:rFonts w:ascii="宋体"/>
                <w:vanish/>
              </w:rPr>
            </w:pPr>
          </w:p>
        </w:tc>
        <w:tc>
          <w:tcPr>
            <w:tcW w:w="0" w:type="auto"/>
            <w:gridSpan w:val="3"/>
            <w:shd w:val="clear" w:color="auto" w:fill="auto"/>
          </w:tcPr>
          <w:p w14:paraId="5C7C785B" w14:textId="77777777" w:rsidR="0008009C" w:rsidRDefault="0008009C">
            <w:pPr>
              <w:rPr>
                <w:rFonts w:ascii="宋体"/>
                <w:vanish/>
              </w:rPr>
            </w:pPr>
          </w:p>
        </w:tc>
        <w:tc>
          <w:tcPr>
            <w:tcW w:w="0" w:type="auto"/>
            <w:shd w:val="clear" w:color="auto" w:fill="auto"/>
          </w:tcPr>
          <w:p w14:paraId="5C7C785C" w14:textId="77777777" w:rsidR="0008009C" w:rsidRDefault="0008009C">
            <w:pPr>
              <w:rPr>
                <w:rFonts w:ascii="宋体"/>
                <w:vanish/>
              </w:rPr>
            </w:pPr>
          </w:p>
        </w:tc>
        <w:tc>
          <w:tcPr>
            <w:tcW w:w="0" w:type="auto"/>
            <w:shd w:val="clear" w:color="auto" w:fill="auto"/>
          </w:tcPr>
          <w:p w14:paraId="5C7C785D" w14:textId="77777777" w:rsidR="0008009C" w:rsidRDefault="0008009C">
            <w:pPr>
              <w:rPr>
                <w:rFonts w:ascii="宋体"/>
                <w:vanish/>
              </w:rPr>
            </w:pPr>
          </w:p>
        </w:tc>
        <w:tc>
          <w:tcPr>
            <w:tcW w:w="0" w:type="auto"/>
            <w:gridSpan w:val="3"/>
            <w:shd w:val="clear" w:color="auto" w:fill="auto"/>
          </w:tcPr>
          <w:p w14:paraId="5C7C785E" w14:textId="77777777" w:rsidR="0008009C" w:rsidRDefault="0008009C">
            <w:pPr>
              <w:rPr>
                <w:rFonts w:ascii="宋体"/>
                <w:vanish/>
              </w:rPr>
            </w:pPr>
          </w:p>
        </w:tc>
        <w:tc>
          <w:tcPr>
            <w:tcW w:w="0" w:type="auto"/>
            <w:gridSpan w:val="3"/>
            <w:shd w:val="clear" w:color="auto" w:fill="auto"/>
          </w:tcPr>
          <w:p w14:paraId="5C7C785F" w14:textId="77777777" w:rsidR="0008009C" w:rsidRDefault="0008009C">
            <w:pPr>
              <w:rPr>
                <w:rFonts w:ascii="宋体"/>
                <w:vanish/>
              </w:rPr>
            </w:pPr>
          </w:p>
        </w:tc>
      </w:tr>
      <w:tr w:rsidR="0008009C" w14:paraId="5C7C786A" w14:textId="77777777">
        <w:trPr>
          <w:hidden/>
        </w:trPr>
        <w:tc>
          <w:tcPr>
            <w:tcW w:w="0" w:type="auto"/>
            <w:gridSpan w:val="3"/>
            <w:shd w:val="clear" w:color="auto" w:fill="auto"/>
          </w:tcPr>
          <w:p w14:paraId="5C7C7861" w14:textId="77777777" w:rsidR="0008009C" w:rsidRDefault="0008009C">
            <w:pPr>
              <w:rPr>
                <w:rFonts w:ascii="宋体"/>
                <w:vanish/>
              </w:rPr>
            </w:pPr>
          </w:p>
        </w:tc>
        <w:tc>
          <w:tcPr>
            <w:tcW w:w="0" w:type="auto"/>
            <w:gridSpan w:val="3"/>
            <w:shd w:val="clear" w:color="auto" w:fill="auto"/>
          </w:tcPr>
          <w:p w14:paraId="5C7C7862" w14:textId="77777777" w:rsidR="0008009C" w:rsidRDefault="0008009C">
            <w:pPr>
              <w:rPr>
                <w:rFonts w:ascii="宋体"/>
                <w:vanish/>
              </w:rPr>
            </w:pPr>
          </w:p>
        </w:tc>
        <w:tc>
          <w:tcPr>
            <w:tcW w:w="0" w:type="auto"/>
            <w:gridSpan w:val="3"/>
            <w:shd w:val="clear" w:color="auto" w:fill="auto"/>
          </w:tcPr>
          <w:p w14:paraId="5C7C7863" w14:textId="77777777" w:rsidR="0008009C" w:rsidRDefault="0008009C">
            <w:pPr>
              <w:rPr>
                <w:rFonts w:ascii="宋体"/>
                <w:vanish/>
              </w:rPr>
            </w:pPr>
          </w:p>
        </w:tc>
        <w:tc>
          <w:tcPr>
            <w:tcW w:w="0" w:type="auto"/>
            <w:gridSpan w:val="3"/>
            <w:shd w:val="clear" w:color="auto" w:fill="auto"/>
          </w:tcPr>
          <w:p w14:paraId="5C7C7864" w14:textId="77777777" w:rsidR="0008009C" w:rsidRDefault="0008009C">
            <w:pPr>
              <w:rPr>
                <w:rFonts w:ascii="宋体"/>
                <w:vanish/>
              </w:rPr>
            </w:pPr>
          </w:p>
        </w:tc>
        <w:tc>
          <w:tcPr>
            <w:tcW w:w="0" w:type="auto"/>
            <w:gridSpan w:val="3"/>
            <w:shd w:val="clear" w:color="auto" w:fill="auto"/>
          </w:tcPr>
          <w:p w14:paraId="5C7C7865" w14:textId="77777777" w:rsidR="0008009C" w:rsidRDefault="0008009C">
            <w:pPr>
              <w:rPr>
                <w:rFonts w:ascii="宋体"/>
                <w:vanish/>
              </w:rPr>
            </w:pPr>
          </w:p>
        </w:tc>
        <w:tc>
          <w:tcPr>
            <w:tcW w:w="0" w:type="auto"/>
            <w:shd w:val="clear" w:color="auto" w:fill="auto"/>
          </w:tcPr>
          <w:p w14:paraId="5C7C7866" w14:textId="77777777" w:rsidR="0008009C" w:rsidRDefault="0008009C">
            <w:pPr>
              <w:rPr>
                <w:rFonts w:ascii="宋体"/>
                <w:vanish/>
              </w:rPr>
            </w:pPr>
          </w:p>
        </w:tc>
        <w:tc>
          <w:tcPr>
            <w:tcW w:w="0" w:type="auto"/>
            <w:shd w:val="clear" w:color="auto" w:fill="auto"/>
          </w:tcPr>
          <w:p w14:paraId="5C7C7867" w14:textId="77777777" w:rsidR="0008009C" w:rsidRDefault="0008009C">
            <w:pPr>
              <w:rPr>
                <w:rFonts w:ascii="宋体"/>
                <w:vanish/>
              </w:rPr>
            </w:pPr>
          </w:p>
        </w:tc>
        <w:tc>
          <w:tcPr>
            <w:tcW w:w="0" w:type="auto"/>
            <w:gridSpan w:val="3"/>
            <w:shd w:val="clear" w:color="auto" w:fill="auto"/>
          </w:tcPr>
          <w:p w14:paraId="5C7C7868" w14:textId="77777777" w:rsidR="0008009C" w:rsidRDefault="0008009C">
            <w:pPr>
              <w:rPr>
                <w:rFonts w:ascii="宋体"/>
                <w:vanish/>
              </w:rPr>
            </w:pPr>
          </w:p>
        </w:tc>
        <w:tc>
          <w:tcPr>
            <w:tcW w:w="0" w:type="auto"/>
            <w:gridSpan w:val="3"/>
            <w:shd w:val="clear" w:color="auto" w:fill="auto"/>
          </w:tcPr>
          <w:p w14:paraId="5C7C7869" w14:textId="77777777" w:rsidR="0008009C" w:rsidRDefault="0008009C">
            <w:pPr>
              <w:rPr>
                <w:rFonts w:ascii="宋体"/>
                <w:vanish/>
              </w:rPr>
            </w:pPr>
          </w:p>
        </w:tc>
      </w:tr>
      <w:tr w:rsidR="0008009C" w14:paraId="5C7C7874" w14:textId="77777777">
        <w:trPr>
          <w:hidden/>
        </w:trPr>
        <w:tc>
          <w:tcPr>
            <w:tcW w:w="0" w:type="auto"/>
            <w:gridSpan w:val="3"/>
            <w:shd w:val="clear" w:color="auto" w:fill="auto"/>
          </w:tcPr>
          <w:p w14:paraId="5C7C786B" w14:textId="77777777" w:rsidR="0008009C" w:rsidRDefault="0008009C">
            <w:pPr>
              <w:rPr>
                <w:rFonts w:ascii="宋体"/>
                <w:vanish/>
              </w:rPr>
            </w:pPr>
          </w:p>
        </w:tc>
        <w:tc>
          <w:tcPr>
            <w:tcW w:w="0" w:type="auto"/>
            <w:gridSpan w:val="3"/>
            <w:shd w:val="clear" w:color="auto" w:fill="auto"/>
          </w:tcPr>
          <w:p w14:paraId="5C7C786C" w14:textId="77777777" w:rsidR="0008009C" w:rsidRDefault="0008009C">
            <w:pPr>
              <w:rPr>
                <w:rFonts w:ascii="宋体"/>
                <w:vanish/>
              </w:rPr>
            </w:pPr>
          </w:p>
        </w:tc>
        <w:tc>
          <w:tcPr>
            <w:tcW w:w="0" w:type="auto"/>
            <w:gridSpan w:val="3"/>
            <w:shd w:val="clear" w:color="auto" w:fill="auto"/>
          </w:tcPr>
          <w:p w14:paraId="5C7C786D" w14:textId="77777777" w:rsidR="0008009C" w:rsidRDefault="0008009C">
            <w:pPr>
              <w:rPr>
                <w:rFonts w:ascii="宋体"/>
                <w:vanish/>
              </w:rPr>
            </w:pPr>
          </w:p>
        </w:tc>
        <w:tc>
          <w:tcPr>
            <w:tcW w:w="0" w:type="auto"/>
            <w:gridSpan w:val="3"/>
            <w:shd w:val="clear" w:color="auto" w:fill="auto"/>
          </w:tcPr>
          <w:p w14:paraId="5C7C786E" w14:textId="77777777" w:rsidR="0008009C" w:rsidRDefault="0008009C">
            <w:pPr>
              <w:rPr>
                <w:rFonts w:ascii="宋体"/>
                <w:vanish/>
              </w:rPr>
            </w:pPr>
          </w:p>
        </w:tc>
        <w:tc>
          <w:tcPr>
            <w:tcW w:w="0" w:type="auto"/>
            <w:gridSpan w:val="3"/>
            <w:shd w:val="clear" w:color="auto" w:fill="auto"/>
          </w:tcPr>
          <w:p w14:paraId="5C7C786F" w14:textId="77777777" w:rsidR="0008009C" w:rsidRDefault="0008009C">
            <w:pPr>
              <w:rPr>
                <w:rFonts w:ascii="宋体"/>
                <w:vanish/>
              </w:rPr>
            </w:pPr>
          </w:p>
        </w:tc>
        <w:tc>
          <w:tcPr>
            <w:tcW w:w="0" w:type="auto"/>
            <w:shd w:val="clear" w:color="auto" w:fill="auto"/>
          </w:tcPr>
          <w:p w14:paraId="5C7C7870" w14:textId="77777777" w:rsidR="0008009C" w:rsidRDefault="0008009C">
            <w:pPr>
              <w:rPr>
                <w:rFonts w:ascii="宋体"/>
                <w:vanish/>
              </w:rPr>
            </w:pPr>
          </w:p>
        </w:tc>
        <w:tc>
          <w:tcPr>
            <w:tcW w:w="0" w:type="auto"/>
            <w:shd w:val="clear" w:color="auto" w:fill="auto"/>
          </w:tcPr>
          <w:p w14:paraId="5C7C7871" w14:textId="77777777" w:rsidR="0008009C" w:rsidRDefault="0008009C">
            <w:pPr>
              <w:rPr>
                <w:rFonts w:ascii="宋体"/>
                <w:vanish/>
              </w:rPr>
            </w:pPr>
          </w:p>
        </w:tc>
        <w:tc>
          <w:tcPr>
            <w:tcW w:w="0" w:type="auto"/>
            <w:gridSpan w:val="3"/>
            <w:shd w:val="clear" w:color="auto" w:fill="auto"/>
          </w:tcPr>
          <w:p w14:paraId="5C7C7872" w14:textId="77777777" w:rsidR="0008009C" w:rsidRDefault="0008009C">
            <w:pPr>
              <w:rPr>
                <w:rFonts w:ascii="宋体"/>
                <w:vanish/>
              </w:rPr>
            </w:pPr>
          </w:p>
        </w:tc>
        <w:tc>
          <w:tcPr>
            <w:tcW w:w="0" w:type="auto"/>
            <w:gridSpan w:val="3"/>
            <w:shd w:val="clear" w:color="auto" w:fill="auto"/>
          </w:tcPr>
          <w:p w14:paraId="5C7C7873" w14:textId="77777777" w:rsidR="0008009C" w:rsidRDefault="0008009C">
            <w:pPr>
              <w:rPr>
                <w:rFonts w:ascii="宋体"/>
                <w:vanish/>
              </w:rPr>
            </w:pPr>
          </w:p>
        </w:tc>
      </w:tr>
      <w:tr w:rsidR="0008009C" w14:paraId="5C7C787E" w14:textId="77777777">
        <w:trPr>
          <w:hidden/>
        </w:trPr>
        <w:tc>
          <w:tcPr>
            <w:tcW w:w="0" w:type="auto"/>
            <w:gridSpan w:val="3"/>
            <w:shd w:val="clear" w:color="auto" w:fill="auto"/>
          </w:tcPr>
          <w:p w14:paraId="5C7C7875" w14:textId="77777777" w:rsidR="0008009C" w:rsidRDefault="0008009C">
            <w:pPr>
              <w:rPr>
                <w:rFonts w:ascii="宋体"/>
                <w:vanish/>
              </w:rPr>
            </w:pPr>
          </w:p>
        </w:tc>
        <w:tc>
          <w:tcPr>
            <w:tcW w:w="0" w:type="auto"/>
            <w:gridSpan w:val="3"/>
            <w:shd w:val="clear" w:color="auto" w:fill="auto"/>
          </w:tcPr>
          <w:p w14:paraId="5C7C7876" w14:textId="77777777" w:rsidR="0008009C" w:rsidRDefault="0008009C">
            <w:pPr>
              <w:rPr>
                <w:rFonts w:ascii="宋体"/>
                <w:vanish/>
              </w:rPr>
            </w:pPr>
          </w:p>
        </w:tc>
        <w:tc>
          <w:tcPr>
            <w:tcW w:w="0" w:type="auto"/>
            <w:gridSpan w:val="3"/>
            <w:shd w:val="clear" w:color="auto" w:fill="auto"/>
          </w:tcPr>
          <w:p w14:paraId="5C7C7877" w14:textId="77777777" w:rsidR="0008009C" w:rsidRDefault="0008009C">
            <w:pPr>
              <w:rPr>
                <w:rFonts w:ascii="宋体"/>
                <w:vanish/>
              </w:rPr>
            </w:pPr>
          </w:p>
        </w:tc>
        <w:tc>
          <w:tcPr>
            <w:tcW w:w="0" w:type="auto"/>
            <w:gridSpan w:val="3"/>
            <w:shd w:val="clear" w:color="auto" w:fill="auto"/>
          </w:tcPr>
          <w:p w14:paraId="5C7C7878" w14:textId="77777777" w:rsidR="0008009C" w:rsidRDefault="0008009C">
            <w:pPr>
              <w:rPr>
                <w:rFonts w:ascii="宋体"/>
                <w:vanish/>
              </w:rPr>
            </w:pPr>
          </w:p>
        </w:tc>
        <w:tc>
          <w:tcPr>
            <w:tcW w:w="0" w:type="auto"/>
            <w:gridSpan w:val="3"/>
            <w:shd w:val="clear" w:color="auto" w:fill="auto"/>
          </w:tcPr>
          <w:p w14:paraId="5C7C7879" w14:textId="77777777" w:rsidR="0008009C" w:rsidRDefault="0008009C">
            <w:pPr>
              <w:rPr>
                <w:rFonts w:ascii="宋体"/>
                <w:vanish/>
              </w:rPr>
            </w:pPr>
          </w:p>
        </w:tc>
        <w:tc>
          <w:tcPr>
            <w:tcW w:w="0" w:type="auto"/>
            <w:shd w:val="clear" w:color="auto" w:fill="auto"/>
          </w:tcPr>
          <w:p w14:paraId="5C7C787A" w14:textId="77777777" w:rsidR="0008009C" w:rsidRDefault="0008009C">
            <w:pPr>
              <w:rPr>
                <w:rFonts w:ascii="宋体"/>
                <w:vanish/>
              </w:rPr>
            </w:pPr>
          </w:p>
        </w:tc>
        <w:tc>
          <w:tcPr>
            <w:tcW w:w="0" w:type="auto"/>
            <w:shd w:val="clear" w:color="auto" w:fill="auto"/>
          </w:tcPr>
          <w:p w14:paraId="5C7C787B" w14:textId="77777777" w:rsidR="0008009C" w:rsidRDefault="0008009C">
            <w:pPr>
              <w:rPr>
                <w:rFonts w:ascii="宋体"/>
                <w:vanish/>
              </w:rPr>
            </w:pPr>
          </w:p>
        </w:tc>
        <w:tc>
          <w:tcPr>
            <w:tcW w:w="0" w:type="auto"/>
            <w:gridSpan w:val="3"/>
            <w:shd w:val="clear" w:color="auto" w:fill="auto"/>
          </w:tcPr>
          <w:p w14:paraId="5C7C787C" w14:textId="77777777" w:rsidR="0008009C" w:rsidRDefault="0008009C">
            <w:pPr>
              <w:rPr>
                <w:rFonts w:ascii="宋体"/>
                <w:vanish/>
              </w:rPr>
            </w:pPr>
          </w:p>
        </w:tc>
        <w:tc>
          <w:tcPr>
            <w:tcW w:w="0" w:type="auto"/>
            <w:gridSpan w:val="3"/>
            <w:shd w:val="clear" w:color="auto" w:fill="auto"/>
          </w:tcPr>
          <w:p w14:paraId="5C7C787D" w14:textId="77777777" w:rsidR="0008009C" w:rsidRDefault="0008009C">
            <w:pPr>
              <w:rPr>
                <w:rFonts w:ascii="宋体"/>
                <w:vanish/>
              </w:rPr>
            </w:pPr>
          </w:p>
        </w:tc>
      </w:tr>
      <w:tr w:rsidR="0008009C" w14:paraId="5C7C7888" w14:textId="77777777">
        <w:trPr>
          <w:hidden/>
        </w:trPr>
        <w:tc>
          <w:tcPr>
            <w:tcW w:w="0" w:type="auto"/>
            <w:gridSpan w:val="3"/>
            <w:shd w:val="clear" w:color="auto" w:fill="auto"/>
          </w:tcPr>
          <w:p w14:paraId="5C7C787F" w14:textId="77777777" w:rsidR="0008009C" w:rsidRDefault="0008009C">
            <w:pPr>
              <w:rPr>
                <w:rFonts w:ascii="宋体"/>
                <w:vanish/>
              </w:rPr>
            </w:pPr>
          </w:p>
        </w:tc>
        <w:tc>
          <w:tcPr>
            <w:tcW w:w="0" w:type="auto"/>
            <w:gridSpan w:val="3"/>
            <w:shd w:val="clear" w:color="auto" w:fill="auto"/>
          </w:tcPr>
          <w:p w14:paraId="5C7C7880" w14:textId="77777777" w:rsidR="0008009C" w:rsidRDefault="0008009C">
            <w:pPr>
              <w:rPr>
                <w:rFonts w:ascii="宋体"/>
                <w:vanish/>
              </w:rPr>
            </w:pPr>
          </w:p>
        </w:tc>
        <w:tc>
          <w:tcPr>
            <w:tcW w:w="0" w:type="auto"/>
            <w:gridSpan w:val="3"/>
            <w:shd w:val="clear" w:color="auto" w:fill="auto"/>
          </w:tcPr>
          <w:p w14:paraId="5C7C7881" w14:textId="77777777" w:rsidR="0008009C" w:rsidRDefault="0008009C">
            <w:pPr>
              <w:rPr>
                <w:rFonts w:ascii="宋体"/>
                <w:vanish/>
              </w:rPr>
            </w:pPr>
          </w:p>
        </w:tc>
        <w:tc>
          <w:tcPr>
            <w:tcW w:w="0" w:type="auto"/>
            <w:gridSpan w:val="3"/>
            <w:shd w:val="clear" w:color="auto" w:fill="auto"/>
          </w:tcPr>
          <w:p w14:paraId="5C7C7882" w14:textId="77777777" w:rsidR="0008009C" w:rsidRDefault="0008009C">
            <w:pPr>
              <w:rPr>
                <w:rFonts w:ascii="宋体"/>
                <w:vanish/>
              </w:rPr>
            </w:pPr>
          </w:p>
        </w:tc>
        <w:tc>
          <w:tcPr>
            <w:tcW w:w="0" w:type="auto"/>
            <w:gridSpan w:val="3"/>
            <w:shd w:val="clear" w:color="auto" w:fill="auto"/>
          </w:tcPr>
          <w:p w14:paraId="5C7C7883" w14:textId="77777777" w:rsidR="0008009C" w:rsidRDefault="0008009C">
            <w:pPr>
              <w:rPr>
                <w:rFonts w:ascii="宋体"/>
                <w:vanish/>
              </w:rPr>
            </w:pPr>
          </w:p>
        </w:tc>
        <w:tc>
          <w:tcPr>
            <w:tcW w:w="0" w:type="auto"/>
            <w:shd w:val="clear" w:color="auto" w:fill="auto"/>
          </w:tcPr>
          <w:p w14:paraId="5C7C7884" w14:textId="77777777" w:rsidR="0008009C" w:rsidRDefault="0008009C">
            <w:pPr>
              <w:rPr>
                <w:rFonts w:ascii="宋体"/>
                <w:vanish/>
              </w:rPr>
            </w:pPr>
          </w:p>
        </w:tc>
        <w:tc>
          <w:tcPr>
            <w:tcW w:w="0" w:type="auto"/>
            <w:shd w:val="clear" w:color="auto" w:fill="auto"/>
          </w:tcPr>
          <w:p w14:paraId="5C7C7885" w14:textId="77777777" w:rsidR="0008009C" w:rsidRDefault="0008009C">
            <w:pPr>
              <w:rPr>
                <w:rFonts w:ascii="宋体"/>
                <w:vanish/>
              </w:rPr>
            </w:pPr>
          </w:p>
        </w:tc>
        <w:tc>
          <w:tcPr>
            <w:tcW w:w="0" w:type="auto"/>
            <w:gridSpan w:val="3"/>
            <w:shd w:val="clear" w:color="auto" w:fill="auto"/>
          </w:tcPr>
          <w:p w14:paraId="5C7C7886" w14:textId="77777777" w:rsidR="0008009C" w:rsidRDefault="0008009C">
            <w:pPr>
              <w:rPr>
                <w:rFonts w:ascii="宋体"/>
                <w:vanish/>
              </w:rPr>
            </w:pPr>
          </w:p>
        </w:tc>
        <w:tc>
          <w:tcPr>
            <w:tcW w:w="0" w:type="auto"/>
            <w:gridSpan w:val="3"/>
            <w:shd w:val="clear" w:color="auto" w:fill="auto"/>
          </w:tcPr>
          <w:p w14:paraId="5C7C7887" w14:textId="77777777" w:rsidR="0008009C" w:rsidRDefault="0008009C">
            <w:pPr>
              <w:rPr>
                <w:rFonts w:ascii="宋体"/>
                <w:vanish/>
              </w:rPr>
            </w:pPr>
          </w:p>
        </w:tc>
      </w:tr>
      <w:tr w:rsidR="0008009C" w14:paraId="5C7C7892" w14:textId="77777777">
        <w:trPr>
          <w:hidden/>
        </w:trPr>
        <w:tc>
          <w:tcPr>
            <w:tcW w:w="0" w:type="auto"/>
            <w:gridSpan w:val="3"/>
            <w:shd w:val="clear" w:color="auto" w:fill="auto"/>
          </w:tcPr>
          <w:p w14:paraId="5C7C7889" w14:textId="77777777" w:rsidR="0008009C" w:rsidRDefault="0008009C">
            <w:pPr>
              <w:rPr>
                <w:rFonts w:ascii="宋体"/>
                <w:vanish/>
              </w:rPr>
            </w:pPr>
          </w:p>
        </w:tc>
        <w:tc>
          <w:tcPr>
            <w:tcW w:w="0" w:type="auto"/>
            <w:gridSpan w:val="3"/>
            <w:shd w:val="clear" w:color="auto" w:fill="auto"/>
          </w:tcPr>
          <w:p w14:paraId="5C7C788A" w14:textId="77777777" w:rsidR="0008009C" w:rsidRDefault="0008009C">
            <w:pPr>
              <w:rPr>
                <w:rFonts w:ascii="宋体"/>
                <w:vanish/>
              </w:rPr>
            </w:pPr>
          </w:p>
        </w:tc>
        <w:tc>
          <w:tcPr>
            <w:tcW w:w="0" w:type="auto"/>
            <w:gridSpan w:val="3"/>
            <w:shd w:val="clear" w:color="auto" w:fill="auto"/>
          </w:tcPr>
          <w:p w14:paraId="5C7C788B" w14:textId="77777777" w:rsidR="0008009C" w:rsidRDefault="0008009C">
            <w:pPr>
              <w:rPr>
                <w:rFonts w:ascii="宋体"/>
                <w:vanish/>
              </w:rPr>
            </w:pPr>
          </w:p>
        </w:tc>
        <w:tc>
          <w:tcPr>
            <w:tcW w:w="0" w:type="auto"/>
            <w:gridSpan w:val="3"/>
            <w:shd w:val="clear" w:color="auto" w:fill="auto"/>
          </w:tcPr>
          <w:p w14:paraId="5C7C788C" w14:textId="77777777" w:rsidR="0008009C" w:rsidRDefault="0008009C">
            <w:pPr>
              <w:rPr>
                <w:rFonts w:ascii="宋体"/>
                <w:vanish/>
              </w:rPr>
            </w:pPr>
          </w:p>
        </w:tc>
        <w:tc>
          <w:tcPr>
            <w:tcW w:w="0" w:type="auto"/>
            <w:gridSpan w:val="3"/>
            <w:shd w:val="clear" w:color="auto" w:fill="auto"/>
          </w:tcPr>
          <w:p w14:paraId="5C7C788D" w14:textId="77777777" w:rsidR="0008009C" w:rsidRDefault="0008009C">
            <w:pPr>
              <w:rPr>
                <w:rFonts w:ascii="宋体"/>
                <w:vanish/>
              </w:rPr>
            </w:pPr>
          </w:p>
        </w:tc>
        <w:tc>
          <w:tcPr>
            <w:tcW w:w="0" w:type="auto"/>
            <w:shd w:val="clear" w:color="auto" w:fill="auto"/>
          </w:tcPr>
          <w:p w14:paraId="5C7C788E" w14:textId="77777777" w:rsidR="0008009C" w:rsidRDefault="0008009C">
            <w:pPr>
              <w:rPr>
                <w:rFonts w:ascii="宋体"/>
                <w:vanish/>
              </w:rPr>
            </w:pPr>
          </w:p>
        </w:tc>
        <w:tc>
          <w:tcPr>
            <w:tcW w:w="0" w:type="auto"/>
            <w:shd w:val="clear" w:color="auto" w:fill="auto"/>
          </w:tcPr>
          <w:p w14:paraId="5C7C788F" w14:textId="77777777" w:rsidR="0008009C" w:rsidRDefault="0008009C">
            <w:pPr>
              <w:rPr>
                <w:rFonts w:ascii="宋体"/>
                <w:vanish/>
              </w:rPr>
            </w:pPr>
          </w:p>
        </w:tc>
        <w:tc>
          <w:tcPr>
            <w:tcW w:w="0" w:type="auto"/>
            <w:gridSpan w:val="3"/>
            <w:shd w:val="clear" w:color="auto" w:fill="auto"/>
          </w:tcPr>
          <w:p w14:paraId="5C7C7890" w14:textId="77777777" w:rsidR="0008009C" w:rsidRDefault="0008009C">
            <w:pPr>
              <w:rPr>
                <w:rFonts w:ascii="宋体"/>
                <w:vanish/>
              </w:rPr>
            </w:pPr>
          </w:p>
        </w:tc>
        <w:tc>
          <w:tcPr>
            <w:tcW w:w="0" w:type="auto"/>
            <w:gridSpan w:val="3"/>
            <w:shd w:val="clear" w:color="auto" w:fill="auto"/>
          </w:tcPr>
          <w:p w14:paraId="5C7C7891" w14:textId="77777777" w:rsidR="0008009C" w:rsidRDefault="0008009C">
            <w:pPr>
              <w:rPr>
                <w:rFonts w:ascii="宋体"/>
                <w:vanish/>
              </w:rPr>
            </w:pPr>
          </w:p>
        </w:tc>
      </w:tr>
      <w:tr w:rsidR="0008009C" w14:paraId="5C7C789C" w14:textId="77777777">
        <w:trPr>
          <w:hidden/>
        </w:trPr>
        <w:tc>
          <w:tcPr>
            <w:tcW w:w="0" w:type="auto"/>
            <w:gridSpan w:val="3"/>
            <w:shd w:val="clear" w:color="auto" w:fill="auto"/>
          </w:tcPr>
          <w:p w14:paraId="5C7C7893" w14:textId="77777777" w:rsidR="0008009C" w:rsidRDefault="0008009C">
            <w:pPr>
              <w:rPr>
                <w:rFonts w:ascii="宋体"/>
                <w:vanish/>
              </w:rPr>
            </w:pPr>
          </w:p>
        </w:tc>
        <w:tc>
          <w:tcPr>
            <w:tcW w:w="0" w:type="auto"/>
            <w:gridSpan w:val="3"/>
            <w:shd w:val="clear" w:color="auto" w:fill="auto"/>
          </w:tcPr>
          <w:p w14:paraId="5C7C7894" w14:textId="77777777" w:rsidR="0008009C" w:rsidRDefault="0008009C">
            <w:pPr>
              <w:rPr>
                <w:rFonts w:ascii="宋体"/>
                <w:vanish/>
              </w:rPr>
            </w:pPr>
          </w:p>
        </w:tc>
        <w:tc>
          <w:tcPr>
            <w:tcW w:w="0" w:type="auto"/>
            <w:gridSpan w:val="3"/>
            <w:shd w:val="clear" w:color="auto" w:fill="auto"/>
          </w:tcPr>
          <w:p w14:paraId="5C7C7895" w14:textId="77777777" w:rsidR="0008009C" w:rsidRDefault="0008009C">
            <w:pPr>
              <w:rPr>
                <w:rFonts w:ascii="宋体"/>
                <w:vanish/>
              </w:rPr>
            </w:pPr>
          </w:p>
        </w:tc>
        <w:tc>
          <w:tcPr>
            <w:tcW w:w="0" w:type="auto"/>
            <w:gridSpan w:val="3"/>
            <w:shd w:val="clear" w:color="auto" w:fill="auto"/>
          </w:tcPr>
          <w:p w14:paraId="5C7C7896" w14:textId="77777777" w:rsidR="0008009C" w:rsidRDefault="0008009C">
            <w:pPr>
              <w:rPr>
                <w:rFonts w:ascii="宋体"/>
                <w:vanish/>
              </w:rPr>
            </w:pPr>
          </w:p>
        </w:tc>
        <w:tc>
          <w:tcPr>
            <w:tcW w:w="0" w:type="auto"/>
            <w:gridSpan w:val="3"/>
            <w:shd w:val="clear" w:color="auto" w:fill="auto"/>
          </w:tcPr>
          <w:p w14:paraId="5C7C7897" w14:textId="77777777" w:rsidR="0008009C" w:rsidRDefault="0008009C">
            <w:pPr>
              <w:rPr>
                <w:rFonts w:ascii="宋体"/>
                <w:vanish/>
              </w:rPr>
            </w:pPr>
          </w:p>
        </w:tc>
        <w:tc>
          <w:tcPr>
            <w:tcW w:w="0" w:type="auto"/>
            <w:shd w:val="clear" w:color="auto" w:fill="auto"/>
          </w:tcPr>
          <w:p w14:paraId="5C7C7898" w14:textId="77777777" w:rsidR="0008009C" w:rsidRDefault="0008009C">
            <w:pPr>
              <w:rPr>
                <w:rFonts w:ascii="宋体"/>
                <w:vanish/>
              </w:rPr>
            </w:pPr>
          </w:p>
        </w:tc>
        <w:tc>
          <w:tcPr>
            <w:tcW w:w="0" w:type="auto"/>
            <w:shd w:val="clear" w:color="auto" w:fill="auto"/>
          </w:tcPr>
          <w:p w14:paraId="5C7C7899" w14:textId="77777777" w:rsidR="0008009C" w:rsidRDefault="0008009C">
            <w:pPr>
              <w:rPr>
                <w:rFonts w:ascii="宋体"/>
                <w:vanish/>
              </w:rPr>
            </w:pPr>
          </w:p>
        </w:tc>
        <w:tc>
          <w:tcPr>
            <w:tcW w:w="0" w:type="auto"/>
            <w:gridSpan w:val="3"/>
            <w:shd w:val="clear" w:color="auto" w:fill="auto"/>
          </w:tcPr>
          <w:p w14:paraId="5C7C789A" w14:textId="77777777" w:rsidR="0008009C" w:rsidRDefault="0008009C">
            <w:pPr>
              <w:rPr>
                <w:rFonts w:ascii="宋体"/>
                <w:vanish/>
              </w:rPr>
            </w:pPr>
          </w:p>
        </w:tc>
        <w:tc>
          <w:tcPr>
            <w:tcW w:w="0" w:type="auto"/>
            <w:gridSpan w:val="3"/>
            <w:shd w:val="clear" w:color="auto" w:fill="auto"/>
          </w:tcPr>
          <w:p w14:paraId="5C7C789B" w14:textId="77777777" w:rsidR="0008009C" w:rsidRDefault="0008009C">
            <w:pPr>
              <w:rPr>
                <w:rFonts w:ascii="宋体"/>
                <w:vanish/>
              </w:rPr>
            </w:pPr>
          </w:p>
        </w:tc>
      </w:tr>
      <w:tr w:rsidR="0008009C" w14:paraId="5C7C78A6" w14:textId="77777777">
        <w:trPr>
          <w:hidden/>
        </w:trPr>
        <w:tc>
          <w:tcPr>
            <w:tcW w:w="0" w:type="auto"/>
            <w:gridSpan w:val="3"/>
            <w:shd w:val="clear" w:color="auto" w:fill="auto"/>
          </w:tcPr>
          <w:p w14:paraId="5C7C789D" w14:textId="77777777" w:rsidR="0008009C" w:rsidRDefault="0008009C">
            <w:pPr>
              <w:rPr>
                <w:rFonts w:ascii="宋体"/>
                <w:vanish/>
              </w:rPr>
            </w:pPr>
          </w:p>
        </w:tc>
        <w:tc>
          <w:tcPr>
            <w:tcW w:w="0" w:type="auto"/>
            <w:gridSpan w:val="3"/>
            <w:shd w:val="clear" w:color="auto" w:fill="auto"/>
          </w:tcPr>
          <w:p w14:paraId="5C7C789E" w14:textId="77777777" w:rsidR="0008009C" w:rsidRDefault="0008009C">
            <w:pPr>
              <w:rPr>
                <w:rFonts w:ascii="宋体"/>
                <w:vanish/>
              </w:rPr>
            </w:pPr>
          </w:p>
        </w:tc>
        <w:tc>
          <w:tcPr>
            <w:tcW w:w="0" w:type="auto"/>
            <w:gridSpan w:val="3"/>
            <w:shd w:val="clear" w:color="auto" w:fill="auto"/>
          </w:tcPr>
          <w:p w14:paraId="5C7C789F" w14:textId="77777777" w:rsidR="0008009C" w:rsidRDefault="0008009C">
            <w:pPr>
              <w:rPr>
                <w:rFonts w:ascii="宋体"/>
                <w:vanish/>
              </w:rPr>
            </w:pPr>
          </w:p>
        </w:tc>
        <w:tc>
          <w:tcPr>
            <w:tcW w:w="0" w:type="auto"/>
            <w:gridSpan w:val="3"/>
            <w:shd w:val="clear" w:color="auto" w:fill="auto"/>
          </w:tcPr>
          <w:p w14:paraId="5C7C78A0" w14:textId="77777777" w:rsidR="0008009C" w:rsidRDefault="0008009C">
            <w:pPr>
              <w:rPr>
                <w:rFonts w:ascii="宋体"/>
                <w:vanish/>
              </w:rPr>
            </w:pPr>
          </w:p>
        </w:tc>
        <w:tc>
          <w:tcPr>
            <w:tcW w:w="0" w:type="auto"/>
            <w:gridSpan w:val="3"/>
            <w:shd w:val="clear" w:color="auto" w:fill="auto"/>
          </w:tcPr>
          <w:p w14:paraId="5C7C78A1" w14:textId="77777777" w:rsidR="0008009C" w:rsidRDefault="0008009C">
            <w:pPr>
              <w:rPr>
                <w:rFonts w:ascii="宋体"/>
                <w:vanish/>
              </w:rPr>
            </w:pPr>
          </w:p>
        </w:tc>
        <w:tc>
          <w:tcPr>
            <w:tcW w:w="0" w:type="auto"/>
            <w:shd w:val="clear" w:color="auto" w:fill="auto"/>
          </w:tcPr>
          <w:p w14:paraId="5C7C78A2" w14:textId="77777777" w:rsidR="0008009C" w:rsidRDefault="0008009C">
            <w:pPr>
              <w:rPr>
                <w:rFonts w:ascii="宋体"/>
                <w:vanish/>
              </w:rPr>
            </w:pPr>
          </w:p>
        </w:tc>
        <w:tc>
          <w:tcPr>
            <w:tcW w:w="0" w:type="auto"/>
            <w:shd w:val="clear" w:color="auto" w:fill="auto"/>
          </w:tcPr>
          <w:p w14:paraId="5C7C78A3" w14:textId="77777777" w:rsidR="0008009C" w:rsidRDefault="0008009C">
            <w:pPr>
              <w:rPr>
                <w:rFonts w:ascii="宋体"/>
                <w:vanish/>
              </w:rPr>
            </w:pPr>
          </w:p>
        </w:tc>
        <w:tc>
          <w:tcPr>
            <w:tcW w:w="0" w:type="auto"/>
            <w:gridSpan w:val="3"/>
            <w:shd w:val="clear" w:color="auto" w:fill="auto"/>
          </w:tcPr>
          <w:p w14:paraId="5C7C78A4" w14:textId="77777777" w:rsidR="0008009C" w:rsidRDefault="0008009C">
            <w:pPr>
              <w:rPr>
                <w:rFonts w:ascii="宋体"/>
                <w:vanish/>
              </w:rPr>
            </w:pPr>
          </w:p>
        </w:tc>
        <w:tc>
          <w:tcPr>
            <w:tcW w:w="0" w:type="auto"/>
            <w:gridSpan w:val="3"/>
            <w:shd w:val="clear" w:color="auto" w:fill="auto"/>
          </w:tcPr>
          <w:p w14:paraId="5C7C78A5" w14:textId="77777777" w:rsidR="0008009C" w:rsidRDefault="0008009C">
            <w:pPr>
              <w:rPr>
                <w:rFonts w:ascii="宋体"/>
                <w:vanish/>
              </w:rPr>
            </w:pPr>
          </w:p>
        </w:tc>
      </w:tr>
      <w:tr w:rsidR="0008009C" w14:paraId="5C7C78B4" w14:textId="77777777">
        <w:tc>
          <w:tcPr>
            <w:tcW w:w="0" w:type="auto"/>
            <w:gridSpan w:val="3"/>
            <w:shd w:val="clear" w:color="auto" w:fill="auto"/>
            <w:tcMar>
              <w:top w:w="40" w:type="dxa"/>
              <w:left w:w="20" w:type="dxa"/>
              <w:bottom w:w="40" w:type="dxa"/>
              <w:right w:w="20" w:type="dxa"/>
            </w:tcMar>
            <w:vAlign w:val="bottom"/>
          </w:tcPr>
          <w:p w14:paraId="5C7C78A7" w14:textId="77777777" w:rsidR="0008009C" w:rsidRDefault="00936FDF">
            <w:pPr>
              <w:textAlignment w:val="bottom"/>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tcPr>
          <w:p w14:paraId="5C7C78A8"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78A9" w14:textId="77777777" w:rsidR="0008009C" w:rsidRDefault="00936FDF">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5C7C78AA" w14:textId="77777777" w:rsidR="0008009C" w:rsidRDefault="00936FDF">
            <w:pPr>
              <w:jc w:val="right"/>
              <w:textAlignment w:val="bottom"/>
            </w:pPr>
            <w:r>
              <w:rPr>
                <w:rFonts w:ascii="Arial" w:eastAsia="宋体" w:hAnsi="Arial" w:cs="Arial"/>
                <w:b/>
                <w:bCs/>
                <w:color w:val="0068B5"/>
                <w:sz w:val="18"/>
                <w:szCs w:val="18"/>
              </w:rPr>
              <w:t>0.82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5C7C78A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8AC"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78AD" w14:textId="77777777" w:rsidR="0008009C" w:rsidRDefault="00936FDF">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C7C78AE" w14:textId="77777777" w:rsidR="0008009C" w:rsidRDefault="00936FDF">
            <w:pPr>
              <w:jc w:val="right"/>
              <w:textAlignment w:val="bottom"/>
            </w:pPr>
            <w:r>
              <w:rPr>
                <w:rFonts w:ascii="Arial" w:eastAsia="宋体" w:hAnsi="Arial" w:cs="Arial"/>
                <w:b/>
                <w:bCs/>
                <w:color w:val="262626"/>
                <w:sz w:val="18"/>
                <w:szCs w:val="18"/>
              </w:rPr>
              <w:t>1.31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78AF" w14:textId="77777777" w:rsidR="0008009C" w:rsidRDefault="0008009C">
            <w:pPr>
              <w:jc w:val="right"/>
              <w:rPr>
                <w:rFonts w:ascii="宋体"/>
              </w:rPr>
            </w:pPr>
          </w:p>
        </w:tc>
        <w:tc>
          <w:tcPr>
            <w:tcW w:w="0" w:type="auto"/>
            <w:shd w:val="clear" w:color="auto" w:fill="auto"/>
          </w:tcPr>
          <w:p w14:paraId="5C7C78B0" w14:textId="77777777" w:rsidR="0008009C" w:rsidRDefault="0008009C">
            <w:pPr>
              <w:rPr>
                <w:rFonts w:ascii="宋体"/>
                <w:vanish/>
              </w:rPr>
            </w:pPr>
          </w:p>
        </w:tc>
        <w:tc>
          <w:tcPr>
            <w:tcW w:w="0" w:type="auto"/>
            <w:shd w:val="clear" w:color="auto" w:fill="auto"/>
          </w:tcPr>
          <w:p w14:paraId="5C7C78B1" w14:textId="77777777" w:rsidR="0008009C" w:rsidRDefault="0008009C">
            <w:pPr>
              <w:rPr>
                <w:rFonts w:ascii="宋体"/>
                <w:vanish/>
              </w:rPr>
            </w:pPr>
          </w:p>
        </w:tc>
        <w:tc>
          <w:tcPr>
            <w:tcW w:w="0" w:type="auto"/>
            <w:gridSpan w:val="3"/>
            <w:shd w:val="clear" w:color="auto" w:fill="auto"/>
          </w:tcPr>
          <w:p w14:paraId="5C7C78B2" w14:textId="77777777" w:rsidR="0008009C" w:rsidRDefault="0008009C">
            <w:pPr>
              <w:rPr>
                <w:rFonts w:ascii="宋体"/>
                <w:vanish/>
              </w:rPr>
            </w:pPr>
          </w:p>
        </w:tc>
        <w:tc>
          <w:tcPr>
            <w:tcW w:w="0" w:type="auto"/>
            <w:gridSpan w:val="3"/>
            <w:shd w:val="clear" w:color="auto" w:fill="auto"/>
          </w:tcPr>
          <w:p w14:paraId="5C7C78B3" w14:textId="77777777" w:rsidR="0008009C" w:rsidRDefault="0008009C">
            <w:pPr>
              <w:rPr>
                <w:rFonts w:ascii="宋体"/>
                <w:vanish/>
              </w:rPr>
            </w:pPr>
          </w:p>
        </w:tc>
      </w:tr>
      <w:tr w:rsidR="0008009C" w14:paraId="5C7C78C0" w14:textId="77777777">
        <w:tc>
          <w:tcPr>
            <w:tcW w:w="0" w:type="auto"/>
            <w:gridSpan w:val="3"/>
            <w:shd w:val="clear" w:color="auto" w:fill="auto"/>
            <w:tcMar>
              <w:top w:w="40" w:type="dxa"/>
              <w:left w:w="245" w:type="dxa"/>
              <w:bottom w:w="40" w:type="dxa"/>
              <w:right w:w="20" w:type="dxa"/>
            </w:tcMar>
            <w:vAlign w:val="bottom"/>
          </w:tcPr>
          <w:p w14:paraId="5C7C78B5" w14:textId="77777777" w:rsidR="0008009C" w:rsidRDefault="00936FDF">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tcPr>
          <w:p w14:paraId="5C7C78B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8B7" w14:textId="77777777" w:rsidR="0008009C" w:rsidRDefault="00936FDF">
            <w:pPr>
              <w:jc w:val="right"/>
              <w:textAlignment w:val="bottom"/>
            </w:pPr>
            <w:r>
              <w:rPr>
                <w:rFonts w:ascii="Arial" w:eastAsia="宋体" w:hAnsi="Arial" w:cs="Arial"/>
                <w:color w:val="0068B5"/>
                <w:sz w:val="18"/>
                <w:szCs w:val="18"/>
              </w:rPr>
              <w:t>0.09 </w:t>
            </w:r>
          </w:p>
        </w:tc>
        <w:tc>
          <w:tcPr>
            <w:tcW w:w="0" w:type="auto"/>
            <w:shd w:val="clear" w:color="auto" w:fill="auto"/>
            <w:tcMar>
              <w:top w:w="40" w:type="dxa"/>
              <w:left w:w="0" w:type="dxa"/>
              <w:bottom w:w="40" w:type="dxa"/>
              <w:right w:w="20" w:type="dxa"/>
            </w:tcMar>
            <w:vAlign w:val="bottom"/>
          </w:tcPr>
          <w:p w14:paraId="5C7C78B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8B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8BA" w14:textId="77777777" w:rsidR="0008009C" w:rsidRDefault="00936FDF">
            <w:pPr>
              <w:jc w:val="right"/>
              <w:textAlignment w:val="bottom"/>
            </w:pPr>
            <w:r>
              <w:rPr>
                <w:rFonts w:ascii="Arial" w:eastAsia="宋体" w:hAnsi="Arial" w:cs="Arial"/>
                <w:color w:val="262626"/>
                <w:sz w:val="18"/>
                <w:szCs w:val="18"/>
              </w:rPr>
              <w:t>0.08 </w:t>
            </w:r>
          </w:p>
        </w:tc>
        <w:tc>
          <w:tcPr>
            <w:tcW w:w="0" w:type="auto"/>
            <w:shd w:val="clear" w:color="auto" w:fill="auto"/>
            <w:tcMar>
              <w:top w:w="40" w:type="dxa"/>
              <w:left w:w="0" w:type="dxa"/>
              <w:bottom w:w="40" w:type="dxa"/>
              <w:right w:w="20" w:type="dxa"/>
            </w:tcMar>
            <w:vAlign w:val="bottom"/>
          </w:tcPr>
          <w:p w14:paraId="5C7C78BB" w14:textId="77777777" w:rsidR="0008009C" w:rsidRDefault="0008009C">
            <w:pPr>
              <w:jc w:val="right"/>
              <w:rPr>
                <w:rFonts w:ascii="宋体"/>
              </w:rPr>
            </w:pPr>
          </w:p>
        </w:tc>
        <w:tc>
          <w:tcPr>
            <w:tcW w:w="0" w:type="auto"/>
            <w:shd w:val="clear" w:color="auto" w:fill="auto"/>
          </w:tcPr>
          <w:p w14:paraId="5C7C78BC" w14:textId="77777777" w:rsidR="0008009C" w:rsidRDefault="0008009C">
            <w:pPr>
              <w:rPr>
                <w:rFonts w:ascii="宋体"/>
                <w:vanish/>
              </w:rPr>
            </w:pPr>
          </w:p>
        </w:tc>
        <w:tc>
          <w:tcPr>
            <w:tcW w:w="0" w:type="auto"/>
            <w:shd w:val="clear" w:color="auto" w:fill="auto"/>
          </w:tcPr>
          <w:p w14:paraId="5C7C78BD" w14:textId="77777777" w:rsidR="0008009C" w:rsidRDefault="0008009C">
            <w:pPr>
              <w:rPr>
                <w:rFonts w:ascii="宋体"/>
                <w:vanish/>
              </w:rPr>
            </w:pPr>
          </w:p>
        </w:tc>
        <w:tc>
          <w:tcPr>
            <w:tcW w:w="0" w:type="auto"/>
            <w:gridSpan w:val="3"/>
            <w:shd w:val="clear" w:color="auto" w:fill="auto"/>
          </w:tcPr>
          <w:p w14:paraId="5C7C78BE" w14:textId="77777777" w:rsidR="0008009C" w:rsidRDefault="0008009C">
            <w:pPr>
              <w:rPr>
                <w:rFonts w:ascii="宋体"/>
                <w:vanish/>
              </w:rPr>
            </w:pPr>
          </w:p>
        </w:tc>
        <w:tc>
          <w:tcPr>
            <w:tcW w:w="0" w:type="auto"/>
            <w:gridSpan w:val="3"/>
            <w:shd w:val="clear" w:color="auto" w:fill="auto"/>
          </w:tcPr>
          <w:p w14:paraId="5C7C78BF" w14:textId="77777777" w:rsidR="0008009C" w:rsidRDefault="0008009C">
            <w:pPr>
              <w:rPr>
                <w:rFonts w:ascii="宋体"/>
                <w:vanish/>
              </w:rPr>
            </w:pPr>
          </w:p>
        </w:tc>
      </w:tr>
      <w:tr w:rsidR="0008009C" w14:paraId="5C7C78CA" w14:textId="77777777">
        <w:trPr>
          <w:hidden/>
        </w:trPr>
        <w:tc>
          <w:tcPr>
            <w:tcW w:w="0" w:type="auto"/>
            <w:gridSpan w:val="3"/>
            <w:shd w:val="clear" w:color="auto" w:fill="auto"/>
          </w:tcPr>
          <w:p w14:paraId="5C7C78C1" w14:textId="77777777" w:rsidR="0008009C" w:rsidRDefault="0008009C">
            <w:pPr>
              <w:rPr>
                <w:rFonts w:ascii="宋体"/>
                <w:vanish/>
              </w:rPr>
            </w:pPr>
          </w:p>
        </w:tc>
        <w:tc>
          <w:tcPr>
            <w:tcW w:w="0" w:type="auto"/>
            <w:gridSpan w:val="3"/>
            <w:shd w:val="clear" w:color="auto" w:fill="auto"/>
          </w:tcPr>
          <w:p w14:paraId="5C7C78C2" w14:textId="77777777" w:rsidR="0008009C" w:rsidRDefault="0008009C">
            <w:pPr>
              <w:rPr>
                <w:rFonts w:ascii="宋体"/>
                <w:vanish/>
              </w:rPr>
            </w:pPr>
          </w:p>
        </w:tc>
        <w:tc>
          <w:tcPr>
            <w:tcW w:w="0" w:type="auto"/>
            <w:gridSpan w:val="3"/>
            <w:shd w:val="clear" w:color="auto" w:fill="auto"/>
          </w:tcPr>
          <w:p w14:paraId="5C7C78C3" w14:textId="77777777" w:rsidR="0008009C" w:rsidRDefault="0008009C">
            <w:pPr>
              <w:rPr>
                <w:rFonts w:ascii="宋体"/>
                <w:vanish/>
              </w:rPr>
            </w:pPr>
          </w:p>
        </w:tc>
        <w:tc>
          <w:tcPr>
            <w:tcW w:w="0" w:type="auto"/>
            <w:gridSpan w:val="3"/>
            <w:shd w:val="clear" w:color="auto" w:fill="auto"/>
          </w:tcPr>
          <w:p w14:paraId="5C7C78C4" w14:textId="77777777" w:rsidR="0008009C" w:rsidRDefault="0008009C">
            <w:pPr>
              <w:rPr>
                <w:rFonts w:ascii="宋体"/>
                <w:vanish/>
              </w:rPr>
            </w:pPr>
          </w:p>
        </w:tc>
        <w:tc>
          <w:tcPr>
            <w:tcW w:w="0" w:type="auto"/>
            <w:gridSpan w:val="3"/>
            <w:shd w:val="clear" w:color="auto" w:fill="auto"/>
          </w:tcPr>
          <w:p w14:paraId="5C7C78C5" w14:textId="77777777" w:rsidR="0008009C" w:rsidRDefault="0008009C">
            <w:pPr>
              <w:rPr>
                <w:rFonts w:ascii="宋体"/>
                <w:vanish/>
              </w:rPr>
            </w:pPr>
          </w:p>
        </w:tc>
        <w:tc>
          <w:tcPr>
            <w:tcW w:w="0" w:type="auto"/>
            <w:shd w:val="clear" w:color="auto" w:fill="auto"/>
          </w:tcPr>
          <w:p w14:paraId="5C7C78C6" w14:textId="77777777" w:rsidR="0008009C" w:rsidRDefault="0008009C">
            <w:pPr>
              <w:rPr>
                <w:rFonts w:ascii="宋体"/>
                <w:vanish/>
              </w:rPr>
            </w:pPr>
          </w:p>
        </w:tc>
        <w:tc>
          <w:tcPr>
            <w:tcW w:w="0" w:type="auto"/>
            <w:shd w:val="clear" w:color="auto" w:fill="auto"/>
          </w:tcPr>
          <w:p w14:paraId="5C7C78C7" w14:textId="77777777" w:rsidR="0008009C" w:rsidRDefault="0008009C">
            <w:pPr>
              <w:rPr>
                <w:rFonts w:ascii="宋体"/>
                <w:vanish/>
              </w:rPr>
            </w:pPr>
          </w:p>
        </w:tc>
        <w:tc>
          <w:tcPr>
            <w:tcW w:w="0" w:type="auto"/>
            <w:gridSpan w:val="3"/>
            <w:shd w:val="clear" w:color="auto" w:fill="auto"/>
          </w:tcPr>
          <w:p w14:paraId="5C7C78C8" w14:textId="77777777" w:rsidR="0008009C" w:rsidRDefault="0008009C">
            <w:pPr>
              <w:rPr>
                <w:rFonts w:ascii="宋体"/>
                <w:vanish/>
              </w:rPr>
            </w:pPr>
          </w:p>
        </w:tc>
        <w:tc>
          <w:tcPr>
            <w:tcW w:w="0" w:type="auto"/>
            <w:gridSpan w:val="3"/>
            <w:shd w:val="clear" w:color="auto" w:fill="auto"/>
          </w:tcPr>
          <w:p w14:paraId="5C7C78C9" w14:textId="77777777" w:rsidR="0008009C" w:rsidRDefault="0008009C">
            <w:pPr>
              <w:rPr>
                <w:rFonts w:ascii="宋体"/>
                <w:vanish/>
              </w:rPr>
            </w:pPr>
          </w:p>
        </w:tc>
      </w:tr>
      <w:tr w:rsidR="0008009C" w14:paraId="5C7C78D4" w14:textId="77777777">
        <w:trPr>
          <w:hidden/>
        </w:trPr>
        <w:tc>
          <w:tcPr>
            <w:tcW w:w="0" w:type="auto"/>
            <w:gridSpan w:val="3"/>
            <w:shd w:val="clear" w:color="auto" w:fill="auto"/>
          </w:tcPr>
          <w:p w14:paraId="5C7C78CB" w14:textId="77777777" w:rsidR="0008009C" w:rsidRDefault="0008009C">
            <w:pPr>
              <w:rPr>
                <w:rFonts w:ascii="宋体"/>
                <w:vanish/>
              </w:rPr>
            </w:pPr>
          </w:p>
        </w:tc>
        <w:tc>
          <w:tcPr>
            <w:tcW w:w="0" w:type="auto"/>
            <w:gridSpan w:val="3"/>
            <w:shd w:val="clear" w:color="auto" w:fill="auto"/>
          </w:tcPr>
          <w:p w14:paraId="5C7C78CC" w14:textId="77777777" w:rsidR="0008009C" w:rsidRDefault="0008009C">
            <w:pPr>
              <w:rPr>
                <w:rFonts w:ascii="宋体"/>
                <w:vanish/>
              </w:rPr>
            </w:pPr>
          </w:p>
        </w:tc>
        <w:tc>
          <w:tcPr>
            <w:tcW w:w="0" w:type="auto"/>
            <w:gridSpan w:val="3"/>
            <w:shd w:val="clear" w:color="auto" w:fill="auto"/>
          </w:tcPr>
          <w:p w14:paraId="5C7C78CD" w14:textId="77777777" w:rsidR="0008009C" w:rsidRDefault="0008009C">
            <w:pPr>
              <w:rPr>
                <w:rFonts w:ascii="宋体"/>
                <w:vanish/>
              </w:rPr>
            </w:pPr>
          </w:p>
        </w:tc>
        <w:tc>
          <w:tcPr>
            <w:tcW w:w="0" w:type="auto"/>
            <w:gridSpan w:val="3"/>
            <w:shd w:val="clear" w:color="auto" w:fill="auto"/>
          </w:tcPr>
          <w:p w14:paraId="5C7C78CE" w14:textId="77777777" w:rsidR="0008009C" w:rsidRDefault="0008009C">
            <w:pPr>
              <w:rPr>
                <w:rFonts w:ascii="宋体"/>
                <w:vanish/>
              </w:rPr>
            </w:pPr>
          </w:p>
        </w:tc>
        <w:tc>
          <w:tcPr>
            <w:tcW w:w="0" w:type="auto"/>
            <w:gridSpan w:val="3"/>
            <w:shd w:val="clear" w:color="auto" w:fill="auto"/>
          </w:tcPr>
          <w:p w14:paraId="5C7C78CF" w14:textId="77777777" w:rsidR="0008009C" w:rsidRDefault="0008009C">
            <w:pPr>
              <w:rPr>
                <w:rFonts w:ascii="宋体"/>
                <w:vanish/>
              </w:rPr>
            </w:pPr>
          </w:p>
        </w:tc>
        <w:tc>
          <w:tcPr>
            <w:tcW w:w="0" w:type="auto"/>
            <w:shd w:val="clear" w:color="auto" w:fill="auto"/>
          </w:tcPr>
          <w:p w14:paraId="5C7C78D0" w14:textId="77777777" w:rsidR="0008009C" w:rsidRDefault="0008009C">
            <w:pPr>
              <w:rPr>
                <w:rFonts w:ascii="宋体"/>
                <w:vanish/>
              </w:rPr>
            </w:pPr>
          </w:p>
        </w:tc>
        <w:tc>
          <w:tcPr>
            <w:tcW w:w="0" w:type="auto"/>
            <w:shd w:val="clear" w:color="auto" w:fill="auto"/>
          </w:tcPr>
          <w:p w14:paraId="5C7C78D1" w14:textId="77777777" w:rsidR="0008009C" w:rsidRDefault="0008009C">
            <w:pPr>
              <w:rPr>
                <w:rFonts w:ascii="宋体"/>
                <w:vanish/>
              </w:rPr>
            </w:pPr>
          </w:p>
        </w:tc>
        <w:tc>
          <w:tcPr>
            <w:tcW w:w="0" w:type="auto"/>
            <w:gridSpan w:val="3"/>
            <w:shd w:val="clear" w:color="auto" w:fill="auto"/>
          </w:tcPr>
          <w:p w14:paraId="5C7C78D2" w14:textId="77777777" w:rsidR="0008009C" w:rsidRDefault="0008009C">
            <w:pPr>
              <w:rPr>
                <w:rFonts w:ascii="宋体"/>
                <w:vanish/>
              </w:rPr>
            </w:pPr>
          </w:p>
        </w:tc>
        <w:tc>
          <w:tcPr>
            <w:tcW w:w="0" w:type="auto"/>
            <w:gridSpan w:val="3"/>
            <w:shd w:val="clear" w:color="auto" w:fill="auto"/>
          </w:tcPr>
          <w:p w14:paraId="5C7C78D3" w14:textId="77777777" w:rsidR="0008009C" w:rsidRDefault="0008009C">
            <w:pPr>
              <w:rPr>
                <w:rFonts w:ascii="宋体"/>
                <w:vanish/>
              </w:rPr>
            </w:pPr>
          </w:p>
        </w:tc>
      </w:tr>
      <w:tr w:rsidR="0008009C" w14:paraId="5C7C78DE" w14:textId="77777777">
        <w:trPr>
          <w:hidden/>
        </w:trPr>
        <w:tc>
          <w:tcPr>
            <w:tcW w:w="0" w:type="auto"/>
            <w:gridSpan w:val="3"/>
            <w:shd w:val="clear" w:color="auto" w:fill="auto"/>
          </w:tcPr>
          <w:p w14:paraId="5C7C78D5" w14:textId="77777777" w:rsidR="0008009C" w:rsidRDefault="0008009C">
            <w:pPr>
              <w:rPr>
                <w:rFonts w:ascii="宋体"/>
                <w:vanish/>
              </w:rPr>
            </w:pPr>
          </w:p>
        </w:tc>
        <w:tc>
          <w:tcPr>
            <w:tcW w:w="0" w:type="auto"/>
            <w:gridSpan w:val="3"/>
            <w:shd w:val="clear" w:color="auto" w:fill="auto"/>
          </w:tcPr>
          <w:p w14:paraId="5C7C78D6" w14:textId="77777777" w:rsidR="0008009C" w:rsidRDefault="0008009C">
            <w:pPr>
              <w:rPr>
                <w:rFonts w:ascii="宋体"/>
                <w:vanish/>
              </w:rPr>
            </w:pPr>
          </w:p>
        </w:tc>
        <w:tc>
          <w:tcPr>
            <w:tcW w:w="0" w:type="auto"/>
            <w:gridSpan w:val="3"/>
            <w:shd w:val="clear" w:color="auto" w:fill="auto"/>
          </w:tcPr>
          <w:p w14:paraId="5C7C78D7" w14:textId="77777777" w:rsidR="0008009C" w:rsidRDefault="0008009C">
            <w:pPr>
              <w:rPr>
                <w:rFonts w:ascii="宋体"/>
                <w:vanish/>
              </w:rPr>
            </w:pPr>
          </w:p>
        </w:tc>
        <w:tc>
          <w:tcPr>
            <w:tcW w:w="0" w:type="auto"/>
            <w:gridSpan w:val="3"/>
            <w:shd w:val="clear" w:color="auto" w:fill="auto"/>
          </w:tcPr>
          <w:p w14:paraId="5C7C78D8" w14:textId="77777777" w:rsidR="0008009C" w:rsidRDefault="0008009C">
            <w:pPr>
              <w:rPr>
                <w:rFonts w:ascii="宋体"/>
                <w:vanish/>
              </w:rPr>
            </w:pPr>
          </w:p>
        </w:tc>
        <w:tc>
          <w:tcPr>
            <w:tcW w:w="0" w:type="auto"/>
            <w:gridSpan w:val="3"/>
            <w:shd w:val="clear" w:color="auto" w:fill="auto"/>
          </w:tcPr>
          <w:p w14:paraId="5C7C78D9" w14:textId="77777777" w:rsidR="0008009C" w:rsidRDefault="0008009C">
            <w:pPr>
              <w:rPr>
                <w:rFonts w:ascii="宋体"/>
                <w:vanish/>
              </w:rPr>
            </w:pPr>
          </w:p>
        </w:tc>
        <w:tc>
          <w:tcPr>
            <w:tcW w:w="0" w:type="auto"/>
            <w:shd w:val="clear" w:color="auto" w:fill="auto"/>
          </w:tcPr>
          <w:p w14:paraId="5C7C78DA" w14:textId="77777777" w:rsidR="0008009C" w:rsidRDefault="0008009C">
            <w:pPr>
              <w:rPr>
                <w:rFonts w:ascii="宋体"/>
                <w:vanish/>
              </w:rPr>
            </w:pPr>
          </w:p>
        </w:tc>
        <w:tc>
          <w:tcPr>
            <w:tcW w:w="0" w:type="auto"/>
            <w:shd w:val="clear" w:color="auto" w:fill="auto"/>
          </w:tcPr>
          <w:p w14:paraId="5C7C78DB" w14:textId="77777777" w:rsidR="0008009C" w:rsidRDefault="0008009C">
            <w:pPr>
              <w:rPr>
                <w:rFonts w:ascii="宋体"/>
                <w:vanish/>
              </w:rPr>
            </w:pPr>
          </w:p>
        </w:tc>
        <w:tc>
          <w:tcPr>
            <w:tcW w:w="0" w:type="auto"/>
            <w:gridSpan w:val="3"/>
            <w:shd w:val="clear" w:color="auto" w:fill="auto"/>
          </w:tcPr>
          <w:p w14:paraId="5C7C78DC" w14:textId="77777777" w:rsidR="0008009C" w:rsidRDefault="0008009C">
            <w:pPr>
              <w:rPr>
                <w:rFonts w:ascii="宋体"/>
                <w:vanish/>
              </w:rPr>
            </w:pPr>
          </w:p>
        </w:tc>
        <w:tc>
          <w:tcPr>
            <w:tcW w:w="0" w:type="auto"/>
            <w:gridSpan w:val="3"/>
            <w:shd w:val="clear" w:color="auto" w:fill="auto"/>
          </w:tcPr>
          <w:p w14:paraId="5C7C78DD" w14:textId="77777777" w:rsidR="0008009C" w:rsidRDefault="0008009C">
            <w:pPr>
              <w:rPr>
                <w:rFonts w:ascii="宋体"/>
                <w:vanish/>
              </w:rPr>
            </w:pPr>
          </w:p>
        </w:tc>
      </w:tr>
      <w:tr w:rsidR="0008009C" w14:paraId="5C7C78EA" w14:textId="77777777">
        <w:tc>
          <w:tcPr>
            <w:tcW w:w="0" w:type="auto"/>
            <w:gridSpan w:val="3"/>
            <w:shd w:val="clear" w:color="auto" w:fill="auto"/>
            <w:tcMar>
              <w:top w:w="40" w:type="dxa"/>
              <w:left w:w="245" w:type="dxa"/>
              <w:bottom w:w="40" w:type="dxa"/>
              <w:right w:w="20" w:type="dxa"/>
            </w:tcMar>
            <w:vAlign w:val="bottom"/>
          </w:tcPr>
          <w:p w14:paraId="5C7C78DF" w14:textId="77777777" w:rsidR="0008009C" w:rsidRDefault="00936FDF">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tcPr>
          <w:p w14:paraId="5C7C78E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8E1" w14:textId="77777777" w:rsidR="0008009C" w:rsidRDefault="00936FDF">
            <w:pPr>
              <w:jc w:val="right"/>
              <w:textAlignment w:val="bottom"/>
            </w:pPr>
            <w:r>
              <w:rPr>
                <w:rFonts w:ascii="Arial" w:eastAsia="宋体" w:hAnsi="Arial" w:cs="Arial"/>
                <w:color w:val="0068B5"/>
                <w:sz w:val="18"/>
                <w:szCs w:val="18"/>
              </w:rPr>
              <w:t>0.54 </w:t>
            </w:r>
          </w:p>
        </w:tc>
        <w:tc>
          <w:tcPr>
            <w:tcW w:w="0" w:type="auto"/>
            <w:shd w:val="clear" w:color="auto" w:fill="auto"/>
            <w:tcMar>
              <w:top w:w="40" w:type="dxa"/>
              <w:left w:w="0" w:type="dxa"/>
              <w:bottom w:w="40" w:type="dxa"/>
              <w:right w:w="20" w:type="dxa"/>
            </w:tcMar>
            <w:vAlign w:val="bottom"/>
          </w:tcPr>
          <w:p w14:paraId="5C7C78E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8E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8E4" w14:textId="77777777" w:rsidR="0008009C" w:rsidRDefault="00936FDF">
            <w:pPr>
              <w:jc w:val="right"/>
              <w:textAlignment w:val="bottom"/>
            </w:pPr>
            <w:r>
              <w:rPr>
                <w:rFonts w:ascii="Arial" w:eastAsia="宋体" w:hAnsi="Arial" w:cs="Arial"/>
                <w:color w:val="262626"/>
                <w:sz w:val="18"/>
                <w:szCs w:val="18"/>
              </w:rPr>
              <w:t>0.04 </w:t>
            </w:r>
          </w:p>
        </w:tc>
        <w:tc>
          <w:tcPr>
            <w:tcW w:w="0" w:type="auto"/>
            <w:shd w:val="clear" w:color="auto" w:fill="auto"/>
            <w:tcMar>
              <w:top w:w="40" w:type="dxa"/>
              <w:left w:w="0" w:type="dxa"/>
              <w:bottom w:w="40" w:type="dxa"/>
              <w:right w:w="20" w:type="dxa"/>
            </w:tcMar>
            <w:vAlign w:val="bottom"/>
          </w:tcPr>
          <w:p w14:paraId="5C7C78E5" w14:textId="77777777" w:rsidR="0008009C" w:rsidRDefault="0008009C">
            <w:pPr>
              <w:jc w:val="right"/>
              <w:rPr>
                <w:rFonts w:ascii="宋体"/>
              </w:rPr>
            </w:pPr>
          </w:p>
        </w:tc>
        <w:tc>
          <w:tcPr>
            <w:tcW w:w="0" w:type="auto"/>
            <w:shd w:val="clear" w:color="auto" w:fill="auto"/>
          </w:tcPr>
          <w:p w14:paraId="5C7C78E6" w14:textId="77777777" w:rsidR="0008009C" w:rsidRDefault="0008009C">
            <w:pPr>
              <w:rPr>
                <w:rFonts w:ascii="宋体"/>
                <w:vanish/>
              </w:rPr>
            </w:pPr>
          </w:p>
        </w:tc>
        <w:tc>
          <w:tcPr>
            <w:tcW w:w="0" w:type="auto"/>
            <w:shd w:val="clear" w:color="auto" w:fill="auto"/>
          </w:tcPr>
          <w:p w14:paraId="5C7C78E7" w14:textId="77777777" w:rsidR="0008009C" w:rsidRDefault="0008009C">
            <w:pPr>
              <w:rPr>
                <w:rFonts w:ascii="宋体"/>
                <w:vanish/>
              </w:rPr>
            </w:pPr>
          </w:p>
        </w:tc>
        <w:tc>
          <w:tcPr>
            <w:tcW w:w="0" w:type="auto"/>
            <w:gridSpan w:val="3"/>
            <w:shd w:val="clear" w:color="auto" w:fill="auto"/>
          </w:tcPr>
          <w:p w14:paraId="5C7C78E8" w14:textId="77777777" w:rsidR="0008009C" w:rsidRDefault="0008009C">
            <w:pPr>
              <w:rPr>
                <w:rFonts w:ascii="宋体"/>
                <w:vanish/>
              </w:rPr>
            </w:pPr>
          </w:p>
        </w:tc>
        <w:tc>
          <w:tcPr>
            <w:tcW w:w="0" w:type="auto"/>
            <w:gridSpan w:val="3"/>
            <w:shd w:val="clear" w:color="auto" w:fill="auto"/>
          </w:tcPr>
          <w:p w14:paraId="5C7C78E9" w14:textId="77777777" w:rsidR="0008009C" w:rsidRDefault="0008009C">
            <w:pPr>
              <w:rPr>
                <w:rFonts w:ascii="宋体"/>
                <w:vanish/>
              </w:rPr>
            </w:pPr>
          </w:p>
        </w:tc>
      </w:tr>
      <w:tr w:rsidR="0008009C" w14:paraId="5C7C78F4" w14:textId="77777777">
        <w:trPr>
          <w:hidden/>
        </w:trPr>
        <w:tc>
          <w:tcPr>
            <w:tcW w:w="0" w:type="auto"/>
            <w:gridSpan w:val="3"/>
            <w:shd w:val="clear" w:color="auto" w:fill="auto"/>
          </w:tcPr>
          <w:p w14:paraId="5C7C78EB" w14:textId="77777777" w:rsidR="0008009C" w:rsidRDefault="0008009C">
            <w:pPr>
              <w:rPr>
                <w:rFonts w:ascii="宋体"/>
                <w:vanish/>
              </w:rPr>
            </w:pPr>
          </w:p>
        </w:tc>
        <w:tc>
          <w:tcPr>
            <w:tcW w:w="0" w:type="auto"/>
            <w:gridSpan w:val="3"/>
            <w:shd w:val="clear" w:color="auto" w:fill="auto"/>
          </w:tcPr>
          <w:p w14:paraId="5C7C78EC" w14:textId="77777777" w:rsidR="0008009C" w:rsidRDefault="0008009C">
            <w:pPr>
              <w:rPr>
                <w:rFonts w:ascii="宋体"/>
                <w:vanish/>
              </w:rPr>
            </w:pPr>
          </w:p>
        </w:tc>
        <w:tc>
          <w:tcPr>
            <w:tcW w:w="0" w:type="auto"/>
            <w:gridSpan w:val="3"/>
            <w:shd w:val="clear" w:color="auto" w:fill="auto"/>
          </w:tcPr>
          <w:p w14:paraId="5C7C78ED" w14:textId="77777777" w:rsidR="0008009C" w:rsidRDefault="0008009C">
            <w:pPr>
              <w:rPr>
                <w:rFonts w:ascii="宋体"/>
                <w:vanish/>
              </w:rPr>
            </w:pPr>
          </w:p>
        </w:tc>
        <w:tc>
          <w:tcPr>
            <w:tcW w:w="0" w:type="auto"/>
            <w:gridSpan w:val="3"/>
            <w:shd w:val="clear" w:color="auto" w:fill="auto"/>
          </w:tcPr>
          <w:p w14:paraId="5C7C78EE" w14:textId="77777777" w:rsidR="0008009C" w:rsidRDefault="0008009C">
            <w:pPr>
              <w:rPr>
                <w:rFonts w:ascii="宋体"/>
                <w:vanish/>
              </w:rPr>
            </w:pPr>
          </w:p>
        </w:tc>
        <w:tc>
          <w:tcPr>
            <w:tcW w:w="0" w:type="auto"/>
            <w:gridSpan w:val="3"/>
            <w:shd w:val="clear" w:color="auto" w:fill="auto"/>
          </w:tcPr>
          <w:p w14:paraId="5C7C78EF" w14:textId="77777777" w:rsidR="0008009C" w:rsidRDefault="0008009C">
            <w:pPr>
              <w:rPr>
                <w:rFonts w:ascii="宋体"/>
                <w:vanish/>
              </w:rPr>
            </w:pPr>
          </w:p>
        </w:tc>
        <w:tc>
          <w:tcPr>
            <w:tcW w:w="0" w:type="auto"/>
            <w:shd w:val="clear" w:color="auto" w:fill="auto"/>
          </w:tcPr>
          <w:p w14:paraId="5C7C78F0" w14:textId="77777777" w:rsidR="0008009C" w:rsidRDefault="0008009C">
            <w:pPr>
              <w:rPr>
                <w:rFonts w:ascii="宋体"/>
                <w:vanish/>
              </w:rPr>
            </w:pPr>
          </w:p>
        </w:tc>
        <w:tc>
          <w:tcPr>
            <w:tcW w:w="0" w:type="auto"/>
            <w:shd w:val="clear" w:color="auto" w:fill="auto"/>
          </w:tcPr>
          <w:p w14:paraId="5C7C78F1" w14:textId="77777777" w:rsidR="0008009C" w:rsidRDefault="0008009C">
            <w:pPr>
              <w:rPr>
                <w:rFonts w:ascii="宋体"/>
                <w:vanish/>
              </w:rPr>
            </w:pPr>
          </w:p>
        </w:tc>
        <w:tc>
          <w:tcPr>
            <w:tcW w:w="0" w:type="auto"/>
            <w:gridSpan w:val="3"/>
            <w:shd w:val="clear" w:color="auto" w:fill="auto"/>
          </w:tcPr>
          <w:p w14:paraId="5C7C78F2" w14:textId="77777777" w:rsidR="0008009C" w:rsidRDefault="0008009C">
            <w:pPr>
              <w:rPr>
                <w:rFonts w:ascii="宋体"/>
                <w:vanish/>
              </w:rPr>
            </w:pPr>
          </w:p>
        </w:tc>
        <w:tc>
          <w:tcPr>
            <w:tcW w:w="0" w:type="auto"/>
            <w:gridSpan w:val="3"/>
            <w:shd w:val="clear" w:color="auto" w:fill="auto"/>
          </w:tcPr>
          <w:p w14:paraId="5C7C78F3" w14:textId="77777777" w:rsidR="0008009C" w:rsidRDefault="0008009C">
            <w:pPr>
              <w:rPr>
                <w:rFonts w:ascii="宋体"/>
                <w:vanish/>
              </w:rPr>
            </w:pPr>
          </w:p>
        </w:tc>
      </w:tr>
      <w:tr w:rsidR="0008009C" w14:paraId="5C7C78FE" w14:textId="77777777">
        <w:trPr>
          <w:hidden/>
        </w:trPr>
        <w:tc>
          <w:tcPr>
            <w:tcW w:w="0" w:type="auto"/>
            <w:gridSpan w:val="3"/>
            <w:shd w:val="clear" w:color="auto" w:fill="auto"/>
          </w:tcPr>
          <w:p w14:paraId="5C7C78F5" w14:textId="77777777" w:rsidR="0008009C" w:rsidRDefault="0008009C">
            <w:pPr>
              <w:rPr>
                <w:rFonts w:ascii="宋体"/>
                <w:vanish/>
              </w:rPr>
            </w:pPr>
          </w:p>
        </w:tc>
        <w:tc>
          <w:tcPr>
            <w:tcW w:w="0" w:type="auto"/>
            <w:gridSpan w:val="3"/>
            <w:shd w:val="clear" w:color="auto" w:fill="auto"/>
          </w:tcPr>
          <w:p w14:paraId="5C7C78F6" w14:textId="77777777" w:rsidR="0008009C" w:rsidRDefault="0008009C">
            <w:pPr>
              <w:rPr>
                <w:rFonts w:ascii="宋体"/>
                <w:vanish/>
              </w:rPr>
            </w:pPr>
          </w:p>
        </w:tc>
        <w:tc>
          <w:tcPr>
            <w:tcW w:w="0" w:type="auto"/>
            <w:gridSpan w:val="3"/>
            <w:shd w:val="clear" w:color="auto" w:fill="auto"/>
          </w:tcPr>
          <w:p w14:paraId="5C7C78F7" w14:textId="77777777" w:rsidR="0008009C" w:rsidRDefault="0008009C">
            <w:pPr>
              <w:rPr>
                <w:rFonts w:ascii="宋体"/>
                <w:vanish/>
              </w:rPr>
            </w:pPr>
          </w:p>
        </w:tc>
        <w:tc>
          <w:tcPr>
            <w:tcW w:w="0" w:type="auto"/>
            <w:gridSpan w:val="3"/>
            <w:shd w:val="clear" w:color="auto" w:fill="auto"/>
          </w:tcPr>
          <w:p w14:paraId="5C7C78F8" w14:textId="77777777" w:rsidR="0008009C" w:rsidRDefault="0008009C">
            <w:pPr>
              <w:rPr>
                <w:rFonts w:ascii="宋体"/>
                <w:vanish/>
              </w:rPr>
            </w:pPr>
          </w:p>
        </w:tc>
        <w:tc>
          <w:tcPr>
            <w:tcW w:w="0" w:type="auto"/>
            <w:gridSpan w:val="3"/>
            <w:shd w:val="clear" w:color="auto" w:fill="auto"/>
          </w:tcPr>
          <w:p w14:paraId="5C7C78F9" w14:textId="77777777" w:rsidR="0008009C" w:rsidRDefault="0008009C">
            <w:pPr>
              <w:rPr>
                <w:rFonts w:ascii="宋体"/>
                <w:vanish/>
              </w:rPr>
            </w:pPr>
          </w:p>
        </w:tc>
        <w:tc>
          <w:tcPr>
            <w:tcW w:w="0" w:type="auto"/>
            <w:shd w:val="clear" w:color="auto" w:fill="auto"/>
          </w:tcPr>
          <w:p w14:paraId="5C7C78FA" w14:textId="77777777" w:rsidR="0008009C" w:rsidRDefault="0008009C">
            <w:pPr>
              <w:rPr>
                <w:rFonts w:ascii="宋体"/>
                <w:vanish/>
              </w:rPr>
            </w:pPr>
          </w:p>
        </w:tc>
        <w:tc>
          <w:tcPr>
            <w:tcW w:w="0" w:type="auto"/>
            <w:shd w:val="clear" w:color="auto" w:fill="auto"/>
          </w:tcPr>
          <w:p w14:paraId="5C7C78FB" w14:textId="77777777" w:rsidR="0008009C" w:rsidRDefault="0008009C">
            <w:pPr>
              <w:rPr>
                <w:rFonts w:ascii="宋体"/>
                <w:vanish/>
              </w:rPr>
            </w:pPr>
          </w:p>
        </w:tc>
        <w:tc>
          <w:tcPr>
            <w:tcW w:w="0" w:type="auto"/>
            <w:gridSpan w:val="3"/>
            <w:shd w:val="clear" w:color="auto" w:fill="auto"/>
          </w:tcPr>
          <w:p w14:paraId="5C7C78FC" w14:textId="77777777" w:rsidR="0008009C" w:rsidRDefault="0008009C">
            <w:pPr>
              <w:rPr>
                <w:rFonts w:ascii="宋体"/>
                <w:vanish/>
              </w:rPr>
            </w:pPr>
          </w:p>
        </w:tc>
        <w:tc>
          <w:tcPr>
            <w:tcW w:w="0" w:type="auto"/>
            <w:gridSpan w:val="3"/>
            <w:shd w:val="clear" w:color="auto" w:fill="auto"/>
          </w:tcPr>
          <w:p w14:paraId="5C7C78FD" w14:textId="77777777" w:rsidR="0008009C" w:rsidRDefault="0008009C">
            <w:pPr>
              <w:rPr>
                <w:rFonts w:ascii="宋体"/>
                <w:vanish/>
              </w:rPr>
            </w:pPr>
          </w:p>
        </w:tc>
      </w:tr>
      <w:tr w:rsidR="0008009C" w14:paraId="5C7C790A" w14:textId="77777777">
        <w:tc>
          <w:tcPr>
            <w:tcW w:w="0" w:type="auto"/>
            <w:gridSpan w:val="3"/>
            <w:shd w:val="clear" w:color="auto" w:fill="auto"/>
            <w:tcMar>
              <w:top w:w="40" w:type="dxa"/>
              <w:left w:w="245" w:type="dxa"/>
              <w:bottom w:w="40" w:type="dxa"/>
              <w:right w:w="20" w:type="dxa"/>
            </w:tcMar>
            <w:vAlign w:val="bottom"/>
          </w:tcPr>
          <w:p w14:paraId="5C7C78FF" w14:textId="77777777" w:rsidR="0008009C" w:rsidRDefault="00936FDF">
            <w:pPr>
              <w:textAlignment w:val="bottom"/>
            </w:pPr>
            <w:r>
              <w:rPr>
                <w:rFonts w:ascii="Arial" w:eastAsia="宋体" w:hAnsi="Arial" w:cs="Arial"/>
                <w:color w:val="262626"/>
                <w:sz w:val="18"/>
                <w:szCs w:val="18"/>
              </w:rPr>
              <w:t xml:space="preserve">Ongoing mark-to-market on marketable equity securities </w:t>
            </w:r>
          </w:p>
        </w:tc>
        <w:tc>
          <w:tcPr>
            <w:tcW w:w="0" w:type="auto"/>
            <w:gridSpan w:val="3"/>
            <w:shd w:val="clear" w:color="auto" w:fill="auto"/>
            <w:tcMar>
              <w:top w:w="0" w:type="dxa"/>
              <w:left w:w="20" w:type="dxa"/>
              <w:bottom w:w="0" w:type="dxa"/>
              <w:right w:w="20" w:type="dxa"/>
            </w:tcMar>
          </w:tcPr>
          <w:p w14:paraId="5C7C7900"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901" w14:textId="77777777" w:rsidR="0008009C" w:rsidRDefault="00936FDF">
            <w:pPr>
              <w:jc w:val="right"/>
              <w:textAlignment w:val="bottom"/>
            </w:pPr>
            <w:r>
              <w:rPr>
                <w:rFonts w:ascii="Arial" w:eastAsia="宋体" w:hAnsi="Arial" w:cs="Arial"/>
                <w:color w:val="0068B5"/>
                <w:sz w:val="18"/>
                <w:szCs w:val="18"/>
              </w:rPr>
              <w:t>0.07 </w:t>
            </w:r>
          </w:p>
        </w:tc>
        <w:tc>
          <w:tcPr>
            <w:tcW w:w="0" w:type="auto"/>
            <w:shd w:val="clear" w:color="auto" w:fill="auto"/>
            <w:tcMar>
              <w:top w:w="40" w:type="dxa"/>
              <w:left w:w="0" w:type="dxa"/>
              <w:bottom w:w="40" w:type="dxa"/>
              <w:right w:w="20" w:type="dxa"/>
            </w:tcMar>
            <w:vAlign w:val="bottom"/>
          </w:tcPr>
          <w:p w14:paraId="5C7C7902"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903"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904" w14:textId="77777777" w:rsidR="0008009C" w:rsidRDefault="00936FDF">
            <w:pPr>
              <w:jc w:val="right"/>
              <w:textAlignment w:val="bottom"/>
            </w:pPr>
            <w:r>
              <w:rPr>
                <w:rFonts w:ascii="Arial" w:eastAsia="宋体" w:hAnsi="Arial" w:cs="Arial"/>
                <w:color w:val="262626"/>
                <w:sz w:val="18"/>
                <w:szCs w:val="18"/>
              </w:rPr>
              <w:t>0.03 </w:t>
            </w:r>
          </w:p>
        </w:tc>
        <w:tc>
          <w:tcPr>
            <w:tcW w:w="0" w:type="auto"/>
            <w:shd w:val="clear" w:color="auto" w:fill="auto"/>
            <w:tcMar>
              <w:top w:w="40" w:type="dxa"/>
              <w:left w:w="0" w:type="dxa"/>
              <w:bottom w:w="40" w:type="dxa"/>
              <w:right w:w="20" w:type="dxa"/>
            </w:tcMar>
            <w:vAlign w:val="bottom"/>
          </w:tcPr>
          <w:p w14:paraId="5C7C7905" w14:textId="77777777" w:rsidR="0008009C" w:rsidRDefault="0008009C">
            <w:pPr>
              <w:jc w:val="right"/>
              <w:rPr>
                <w:rFonts w:ascii="宋体"/>
              </w:rPr>
            </w:pPr>
          </w:p>
        </w:tc>
        <w:tc>
          <w:tcPr>
            <w:tcW w:w="0" w:type="auto"/>
            <w:shd w:val="clear" w:color="auto" w:fill="auto"/>
          </w:tcPr>
          <w:p w14:paraId="5C7C7906" w14:textId="77777777" w:rsidR="0008009C" w:rsidRDefault="0008009C">
            <w:pPr>
              <w:rPr>
                <w:rFonts w:ascii="宋体"/>
                <w:vanish/>
              </w:rPr>
            </w:pPr>
          </w:p>
        </w:tc>
        <w:tc>
          <w:tcPr>
            <w:tcW w:w="0" w:type="auto"/>
            <w:shd w:val="clear" w:color="auto" w:fill="auto"/>
          </w:tcPr>
          <w:p w14:paraId="5C7C7907" w14:textId="77777777" w:rsidR="0008009C" w:rsidRDefault="0008009C">
            <w:pPr>
              <w:rPr>
                <w:rFonts w:ascii="宋体"/>
                <w:vanish/>
              </w:rPr>
            </w:pPr>
          </w:p>
        </w:tc>
        <w:tc>
          <w:tcPr>
            <w:tcW w:w="0" w:type="auto"/>
            <w:gridSpan w:val="3"/>
            <w:shd w:val="clear" w:color="auto" w:fill="auto"/>
          </w:tcPr>
          <w:p w14:paraId="5C7C7908" w14:textId="77777777" w:rsidR="0008009C" w:rsidRDefault="0008009C">
            <w:pPr>
              <w:rPr>
                <w:rFonts w:ascii="宋体"/>
                <w:vanish/>
              </w:rPr>
            </w:pPr>
          </w:p>
        </w:tc>
        <w:tc>
          <w:tcPr>
            <w:tcW w:w="0" w:type="auto"/>
            <w:gridSpan w:val="3"/>
            <w:shd w:val="clear" w:color="auto" w:fill="auto"/>
          </w:tcPr>
          <w:p w14:paraId="5C7C7909" w14:textId="77777777" w:rsidR="0008009C" w:rsidRDefault="0008009C">
            <w:pPr>
              <w:rPr>
                <w:rFonts w:ascii="宋体"/>
                <w:vanish/>
              </w:rPr>
            </w:pPr>
          </w:p>
        </w:tc>
      </w:tr>
      <w:tr w:rsidR="0008009C" w14:paraId="5C7C7914" w14:textId="77777777">
        <w:trPr>
          <w:hidden/>
        </w:trPr>
        <w:tc>
          <w:tcPr>
            <w:tcW w:w="0" w:type="auto"/>
            <w:gridSpan w:val="3"/>
            <w:shd w:val="clear" w:color="auto" w:fill="auto"/>
          </w:tcPr>
          <w:p w14:paraId="5C7C790B" w14:textId="77777777" w:rsidR="0008009C" w:rsidRDefault="0008009C">
            <w:pPr>
              <w:rPr>
                <w:rFonts w:ascii="宋体"/>
                <w:vanish/>
              </w:rPr>
            </w:pPr>
          </w:p>
        </w:tc>
        <w:tc>
          <w:tcPr>
            <w:tcW w:w="0" w:type="auto"/>
            <w:gridSpan w:val="3"/>
            <w:shd w:val="clear" w:color="auto" w:fill="auto"/>
          </w:tcPr>
          <w:p w14:paraId="5C7C790C" w14:textId="77777777" w:rsidR="0008009C" w:rsidRDefault="0008009C">
            <w:pPr>
              <w:rPr>
                <w:rFonts w:ascii="宋体"/>
                <w:vanish/>
              </w:rPr>
            </w:pPr>
          </w:p>
        </w:tc>
        <w:tc>
          <w:tcPr>
            <w:tcW w:w="0" w:type="auto"/>
            <w:gridSpan w:val="3"/>
            <w:shd w:val="clear" w:color="auto" w:fill="auto"/>
          </w:tcPr>
          <w:p w14:paraId="5C7C790D" w14:textId="77777777" w:rsidR="0008009C" w:rsidRDefault="0008009C">
            <w:pPr>
              <w:rPr>
                <w:rFonts w:ascii="宋体"/>
                <w:vanish/>
              </w:rPr>
            </w:pPr>
          </w:p>
        </w:tc>
        <w:tc>
          <w:tcPr>
            <w:tcW w:w="0" w:type="auto"/>
            <w:gridSpan w:val="3"/>
            <w:shd w:val="clear" w:color="auto" w:fill="auto"/>
          </w:tcPr>
          <w:p w14:paraId="5C7C790E" w14:textId="77777777" w:rsidR="0008009C" w:rsidRDefault="0008009C">
            <w:pPr>
              <w:rPr>
                <w:rFonts w:ascii="宋体"/>
                <w:vanish/>
              </w:rPr>
            </w:pPr>
          </w:p>
        </w:tc>
        <w:tc>
          <w:tcPr>
            <w:tcW w:w="0" w:type="auto"/>
            <w:gridSpan w:val="3"/>
            <w:shd w:val="clear" w:color="auto" w:fill="auto"/>
          </w:tcPr>
          <w:p w14:paraId="5C7C790F" w14:textId="77777777" w:rsidR="0008009C" w:rsidRDefault="0008009C">
            <w:pPr>
              <w:rPr>
                <w:rFonts w:ascii="宋体"/>
                <w:vanish/>
              </w:rPr>
            </w:pPr>
          </w:p>
        </w:tc>
        <w:tc>
          <w:tcPr>
            <w:tcW w:w="0" w:type="auto"/>
            <w:shd w:val="clear" w:color="auto" w:fill="auto"/>
          </w:tcPr>
          <w:p w14:paraId="5C7C7910" w14:textId="77777777" w:rsidR="0008009C" w:rsidRDefault="0008009C">
            <w:pPr>
              <w:rPr>
                <w:rFonts w:ascii="宋体"/>
                <w:vanish/>
              </w:rPr>
            </w:pPr>
          </w:p>
        </w:tc>
        <w:tc>
          <w:tcPr>
            <w:tcW w:w="0" w:type="auto"/>
            <w:shd w:val="clear" w:color="auto" w:fill="auto"/>
          </w:tcPr>
          <w:p w14:paraId="5C7C7911" w14:textId="77777777" w:rsidR="0008009C" w:rsidRDefault="0008009C">
            <w:pPr>
              <w:rPr>
                <w:rFonts w:ascii="宋体"/>
                <w:vanish/>
              </w:rPr>
            </w:pPr>
          </w:p>
        </w:tc>
        <w:tc>
          <w:tcPr>
            <w:tcW w:w="0" w:type="auto"/>
            <w:gridSpan w:val="3"/>
            <w:shd w:val="clear" w:color="auto" w:fill="auto"/>
          </w:tcPr>
          <w:p w14:paraId="5C7C7912" w14:textId="77777777" w:rsidR="0008009C" w:rsidRDefault="0008009C">
            <w:pPr>
              <w:rPr>
                <w:rFonts w:ascii="宋体"/>
                <w:vanish/>
              </w:rPr>
            </w:pPr>
          </w:p>
        </w:tc>
        <w:tc>
          <w:tcPr>
            <w:tcW w:w="0" w:type="auto"/>
            <w:gridSpan w:val="3"/>
            <w:shd w:val="clear" w:color="auto" w:fill="auto"/>
          </w:tcPr>
          <w:p w14:paraId="5C7C7913" w14:textId="77777777" w:rsidR="0008009C" w:rsidRDefault="0008009C">
            <w:pPr>
              <w:rPr>
                <w:rFonts w:ascii="宋体"/>
                <w:vanish/>
              </w:rPr>
            </w:pPr>
          </w:p>
        </w:tc>
      </w:tr>
      <w:tr w:rsidR="0008009C" w14:paraId="5C7C7920" w14:textId="77777777">
        <w:tc>
          <w:tcPr>
            <w:tcW w:w="0" w:type="auto"/>
            <w:gridSpan w:val="3"/>
            <w:shd w:val="clear" w:color="auto" w:fill="auto"/>
            <w:tcMar>
              <w:top w:w="40" w:type="dxa"/>
              <w:left w:w="245" w:type="dxa"/>
              <w:bottom w:w="40" w:type="dxa"/>
              <w:right w:w="20" w:type="dxa"/>
            </w:tcMar>
            <w:vAlign w:val="bottom"/>
          </w:tcPr>
          <w:p w14:paraId="5C7C7915" w14:textId="77777777" w:rsidR="0008009C" w:rsidRDefault="00936FDF">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tcPr>
          <w:p w14:paraId="5C7C7916"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917" w14:textId="77777777" w:rsidR="0008009C" w:rsidRDefault="00936FDF">
            <w:pPr>
              <w:jc w:val="right"/>
              <w:textAlignment w:val="bottom"/>
            </w:pPr>
            <w:r>
              <w:rPr>
                <w:rFonts w:ascii="Arial" w:eastAsia="宋体" w:hAnsi="Arial" w:cs="Arial"/>
                <w:color w:val="0068B5"/>
                <w:sz w:val="18"/>
                <w:szCs w:val="18"/>
              </w:rPr>
              <w:t>(0.04)</w:t>
            </w:r>
          </w:p>
        </w:tc>
        <w:tc>
          <w:tcPr>
            <w:tcW w:w="0" w:type="auto"/>
            <w:shd w:val="clear" w:color="auto" w:fill="auto"/>
            <w:tcMar>
              <w:top w:w="40" w:type="dxa"/>
              <w:left w:w="0" w:type="dxa"/>
              <w:bottom w:w="40" w:type="dxa"/>
              <w:right w:w="20" w:type="dxa"/>
            </w:tcMar>
            <w:vAlign w:val="bottom"/>
          </w:tcPr>
          <w:p w14:paraId="5C7C7918"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919"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91A" w14:textId="77777777" w:rsidR="0008009C" w:rsidRDefault="00936FDF">
            <w:pPr>
              <w:jc w:val="right"/>
              <w:textAlignment w:val="bottom"/>
            </w:pPr>
            <w:r>
              <w:rPr>
                <w:rFonts w:ascii="Arial" w:eastAsia="宋体" w:hAnsi="Arial" w:cs="Arial"/>
                <w:color w:val="262626"/>
                <w:sz w:val="18"/>
                <w:szCs w:val="18"/>
              </w:rPr>
              <w:t>(0.05)</w:t>
            </w:r>
          </w:p>
        </w:tc>
        <w:tc>
          <w:tcPr>
            <w:tcW w:w="0" w:type="auto"/>
            <w:shd w:val="clear" w:color="auto" w:fill="auto"/>
            <w:tcMar>
              <w:top w:w="40" w:type="dxa"/>
              <w:left w:w="0" w:type="dxa"/>
              <w:bottom w:w="40" w:type="dxa"/>
              <w:right w:w="20" w:type="dxa"/>
            </w:tcMar>
            <w:vAlign w:val="bottom"/>
          </w:tcPr>
          <w:p w14:paraId="5C7C791B" w14:textId="77777777" w:rsidR="0008009C" w:rsidRDefault="0008009C">
            <w:pPr>
              <w:jc w:val="right"/>
              <w:rPr>
                <w:rFonts w:ascii="宋体"/>
              </w:rPr>
            </w:pPr>
          </w:p>
        </w:tc>
        <w:tc>
          <w:tcPr>
            <w:tcW w:w="0" w:type="auto"/>
            <w:shd w:val="clear" w:color="auto" w:fill="auto"/>
          </w:tcPr>
          <w:p w14:paraId="5C7C791C" w14:textId="77777777" w:rsidR="0008009C" w:rsidRDefault="0008009C">
            <w:pPr>
              <w:rPr>
                <w:rFonts w:ascii="宋体"/>
                <w:vanish/>
              </w:rPr>
            </w:pPr>
          </w:p>
        </w:tc>
        <w:tc>
          <w:tcPr>
            <w:tcW w:w="0" w:type="auto"/>
            <w:shd w:val="clear" w:color="auto" w:fill="auto"/>
          </w:tcPr>
          <w:p w14:paraId="5C7C791D" w14:textId="77777777" w:rsidR="0008009C" w:rsidRDefault="0008009C">
            <w:pPr>
              <w:rPr>
                <w:rFonts w:ascii="宋体"/>
                <w:vanish/>
              </w:rPr>
            </w:pPr>
          </w:p>
        </w:tc>
        <w:tc>
          <w:tcPr>
            <w:tcW w:w="0" w:type="auto"/>
            <w:gridSpan w:val="3"/>
            <w:shd w:val="clear" w:color="auto" w:fill="auto"/>
          </w:tcPr>
          <w:p w14:paraId="5C7C791E" w14:textId="77777777" w:rsidR="0008009C" w:rsidRDefault="0008009C">
            <w:pPr>
              <w:rPr>
                <w:rFonts w:ascii="宋体"/>
                <w:vanish/>
              </w:rPr>
            </w:pPr>
          </w:p>
        </w:tc>
        <w:tc>
          <w:tcPr>
            <w:tcW w:w="0" w:type="auto"/>
            <w:gridSpan w:val="3"/>
            <w:shd w:val="clear" w:color="auto" w:fill="auto"/>
          </w:tcPr>
          <w:p w14:paraId="5C7C791F" w14:textId="77777777" w:rsidR="0008009C" w:rsidRDefault="0008009C">
            <w:pPr>
              <w:rPr>
                <w:rFonts w:ascii="宋体"/>
                <w:vanish/>
              </w:rPr>
            </w:pPr>
          </w:p>
        </w:tc>
      </w:tr>
      <w:tr w:rsidR="0008009C" w14:paraId="5C7C792C" w14:textId="77777777">
        <w:tc>
          <w:tcPr>
            <w:tcW w:w="0" w:type="auto"/>
            <w:gridSpan w:val="3"/>
            <w:shd w:val="clear" w:color="auto" w:fill="auto"/>
            <w:tcMar>
              <w:top w:w="40" w:type="dxa"/>
              <w:left w:w="245" w:type="dxa"/>
              <w:bottom w:w="40" w:type="dxa"/>
              <w:right w:w="20" w:type="dxa"/>
            </w:tcMar>
            <w:vAlign w:val="bottom"/>
          </w:tcPr>
          <w:p w14:paraId="5C7C7921" w14:textId="77777777" w:rsidR="0008009C" w:rsidRDefault="00936FDF">
            <w:pPr>
              <w:textAlignment w:val="bottom"/>
            </w:pPr>
            <w:r>
              <w:rPr>
                <w:rFonts w:ascii="Arial" w:eastAsia="宋体" w:hAnsi="Arial" w:cs="Arial"/>
                <w:color w:val="262626"/>
                <w:sz w:val="18"/>
                <w:szCs w:val="18"/>
              </w:rPr>
              <w:t>Income tax effects</w:t>
            </w:r>
          </w:p>
        </w:tc>
        <w:tc>
          <w:tcPr>
            <w:tcW w:w="0" w:type="auto"/>
            <w:gridSpan w:val="3"/>
            <w:shd w:val="clear" w:color="auto" w:fill="auto"/>
            <w:tcMar>
              <w:top w:w="0" w:type="dxa"/>
              <w:left w:w="20" w:type="dxa"/>
              <w:bottom w:w="0" w:type="dxa"/>
              <w:right w:w="20" w:type="dxa"/>
            </w:tcMar>
          </w:tcPr>
          <w:p w14:paraId="5C7C7922"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923" w14:textId="77777777" w:rsidR="0008009C" w:rsidRDefault="00936FDF">
            <w:pPr>
              <w:jc w:val="right"/>
              <w:textAlignment w:val="bottom"/>
            </w:pPr>
            <w:r>
              <w:rPr>
                <w:rFonts w:ascii="Arial" w:eastAsia="宋体" w:hAnsi="Arial" w:cs="Arial"/>
                <w:color w:val="0068B5"/>
                <w:sz w:val="18"/>
                <w:szCs w:val="18"/>
              </w:rPr>
              <w:t>(0.09)</w:t>
            </w:r>
          </w:p>
        </w:tc>
        <w:tc>
          <w:tcPr>
            <w:tcW w:w="0" w:type="auto"/>
            <w:shd w:val="clear" w:color="auto" w:fill="auto"/>
            <w:tcMar>
              <w:top w:w="40" w:type="dxa"/>
              <w:left w:w="0" w:type="dxa"/>
              <w:bottom w:w="40" w:type="dxa"/>
              <w:right w:w="20" w:type="dxa"/>
            </w:tcMar>
            <w:vAlign w:val="bottom"/>
          </w:tcPr>
          <w:p w14:paraId="5C7C792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925"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926" w14:textId="77777777" w:rsidR="0008009C" w:rsidRDefault="00936FDF">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7927" w14:textId="77777777" w:rsidR="0008009C" w:rsidRDefault="0008009C">
            <w:pPr>
              <w:jc w:val="right"/>
              <w:rPr>
                <w:rFonts w:ascii="宋体"/>
              </w:rPr>
            </w:pPr>
          </w:p>
        </w:tc>
        <w:tc>
          <w:tcPr>
            <w:tcW w:w="0" w:type="auto"/>
            <w:shd w:val="clear" w:color="auto" w:fill="auto"/>
          </w:tcPr>
          <w:p w14:paraId="5C7C7928" w14:textId="77777777" w:rsidR="0008009C" w:rsidRDefault="0008009C">
            <w:pPr>
              <w:rPr>
                <w:rFonts w:ascii="宋体"/>
                <w:vanish/>
              </w:rPr>
            </w:pPr>
          </w:p>
        </w:tc>
        <w:tc>
          <w:tcPr>
            <w:tcW w:w="0" w:type="auto"/>
            <w:shd w:val="clear" w:color="auto" w:fill="auto"/>
          </w:tcPr>
          <w:p w14:paraId="5C7C7929" w14:textId="77777777" w:rsidR="0008009C" w:rsidRDefault="0008009C">
            <w:pPr>
              <w:rPr>
                <w:rFonts w:ascii="宋体"/>
                <w:vanish/>
              </w:rPr>
            </w:pPr>
          </w:p>
        </w:tc>
        <w:tc>
          <w:tcPr>
            <w:tcW w:w="0" w:type="auto"/>
            <w:gridSpan w:val="3"/>
            <w:shd w:val="clear" w:color="auto" w:fill="auto"/>
          </w:tcPr>
          <w:p w14:paraId="5C7C792A" w14:textId="77777777" w:rsidR="0008009C" w:rsidRDefault="0008009C">
            <w:pPr>
              <w:rPr>
                <w:rFonts w:ascii="宋体"/>
                <w:vanish/>
              </w:rPr>
            </w:pPr>
          </w:p>
        </w:tc>
        <w:tc>
          <w:tcPr>
            <w:tcW w:w="0" w:type="auto"/>
            <w:gridSpan w:val="3"/>
            <w:shd w:val="clear" w:color="auto" w:fill="auto"/>
          </w:tcPr>
          <w:p w14:paraId="5C7C792B" w14:textId="77777777" w:rsidR="0008009C" w:rsidRDefault="0008009C">
            <w:pPr>
              <w:rPr>
                <w:rFonts w:ascii="宋体"/>
                <w:vanish/>
              </w:rPr>
            </w:pPr>
          </w:p>
        </w:tc>
      </w:tr>
      <w:tr w:rsidR="0008009C" w14:paraId="5C7C7936" w14:textId="77777777">
        <w:trPr>
          <w:hidden/>
        </w:trPr>
        <w:tc>
          <w:tcPr>
            <w:tcW w:w="0" w:type="auto"/>
            <w:gridSpan w:val="3"/>
            <w:shd w:val="clear" w:color="auto" w:fill="auto"/>
          </w:tcPr>
          <w:p w14:paraId="5C7C792D" w14:textId="77777777" w:rsidR="0008009C" w:rsidRDefault="0008009C">
            <w:pPr>
              <w:rPr>
                <w:rFonts w:ascii="宋体"/>
                <w:vanish/>
              </w:rPr>
            </w:pPr>
          </w:p>
        </w:tc>
        <w:tc>
          <w:tcPr>
            <w:tcW w:w="0" w:type="auto"/>
            <w:gridSpan w:val="3"/>
            <w:shd w:val="clear" w:color="auto" w:fill="auto"/>
          </w:tcPr>
          <w:p w14:paraId="5C7C792E" w14:textId="77777777" w:rsidR="0008009C" w:rsidRDefault="0008009C">
            <w:pPr>
              <w:rPr>
                <w:rFonts w:ascii="宋体"/>
                <w:vanish/>
              </w:rPr>
            </w:pPr>
          </w:p>
        </w:tc>
        <w:tc>
          <w:tcPr>
            <w:tcW w:w="0" w:type="auto"/>
            <w:gridSpan w:val="3"/>
            <w:shd w:val="clear" w:color="auto" w:fill="auto"/>
          </w:tcPr>
          <w:p w14:paraId="5C7C792F" w14:textId="77777777" w:rsidR="0008009C" w:rsidRDefault="0008009C">
            <w:pPr>
              <w:rPr>
                <w:rFonts w:ascii="宋体"/>
                <w:vanish/>
              </w:rPr>
            </w:pPr>
          </w:p>
        </w:tc>
        <w:tc>
          <w:tcPr>
            <w:tcW w:w="0" w:type="auto"/>
            <w:gridSpan w:val="3"/>
            <w:shd w:val="clear" w:color="auto" w:fill="auto"/>
          </w:tcPr>
          <w:p w14:paraId="5C7C7930" w14:textId="77777777" w:rsidR="0008009C" w:rsidRDefault="0008009C">
            <w:pPr>
              <w:rPr>
                <w:rFonts w:ascii="宋体"/>
                <w:vanish/>
              </w:rPr>
            </w:pPr>
          </w:p>
        </w:tc>
        <w:tc>
          <w:tcPr>
            <w:tcW w:w="0" w:type="auto"/>
            <w:gridSpan w:val="3"/>
            <w:shd w:val="clear" w:color="auto" w:fill="auto"/>
          </w:tcPr>
          <w:p w14:paraId="5C7C7931" w14:textId="77777777" w:rsidR="0008009C" w:rsidRDefault="0008009C">
            <w:pPr>
              <w:rPr>
                <w:rFonts w:ascii="宋体"/>
                <w:vanish/>
              </w:rPr>
            </w:pPr>
          </w:p>
        </w:tc>
        <w:tc>
          <w:tcPr>
            <w:tcW w:w="0" w:type="auto"/>
            <w:shd w:val="clear" w:color="auto" w:fill="auto"/>
          </w:tcPr>
          <w:p w14:paraId="5C7C7932" w14:textId="77777777" w:rsidR="0008009C" w:rsidRDefault="0008009C">
            <w:pPr>
              <w:rPr>
                <w:rFonts w:ascii="宋体"/>
                <w:vanish/>
              </w:rPr>
            </w:pPr>
          </w:p>
        </w:tc>
        <w:tc>
          <w:tcPr>
            <w:tcW w:w="0" w:type="auto"/>
            <w:shd w:val="clear" w:color="auto" w:fill="auto"/>
          </w:tcPr>
          <w:p w14:paraId="5C7C7933" w14:textId="77777777" w:rsidR="0008009C" w:rsidRDefault="0008009C">
            <w:pPr>
              <w:rPr>
                <w:rFonts w:ascii="宋体"/>
                <w:vanish/>
              </w:rPr>
            </w:pPr>
          </w:p>
        </w:tc>
        <w:tc>
          <w:tcPr>
            <w:tcW w:w="0" w:type="auto"/>
            <w:gridSpan w:val="3"/>
            <w:shd w:val="clear" w:color="auto" w:fill="auto"/>
          </w:tcPr>
          <w:p w14:paraId="5C7C7934" w14:textId="77777777" w:rsidR="0008009C" w:rsidRDefault="0008009C">
            <w:pPr>
              <w:rPr>
                <w:rFonts w:ascii="宋体"/>
                <w:vanish/>
              </w:rPr>
            </w:pPr>
          </w:p>
        </w:tc>
        <w:tc>
          <w:tcPr>
            <w:tcW w:w="0" w:type="auto"/>
            <w:gridSpan w:val="3"/>
            <w:shd w:val="clear" w:color="auto" w:fill="auto"/>
          </w:tcPr>
          <w:p w14:paraId="5C7C7935" w14:textId="77777777" w:rsidR="0008009C" w:rsidRDefault="0008009C">
            <w:pPr>
              <w:rPr>
                <w:rFonts w:ascii="宋体"/>
                <w:vanish/>
              </w:rPr>
            </w:pPr>
          </w:p>
        </w:tc>
      </w:tr>
      <w:tr w:rsidR="0008009C" w14:paraId="5C7C7944" w14:textId="77777777">
        <w:tc>
          <w:tcPr>
            <w:tcW w:w="0" w:type="auto"/>
            <w:gridSpan w:val="3"/>
            <w:shd w:val="clear" w:color="auto" w:fill="auto"/>
            <w:tcMar>
              <w:top w:w="40" w:type="dxa"/>
              <w:left w:w="20" w:type="dxa"/>
              <w:bottom w:w="40" w:type="dxa"/>
              <w:right w:w="20" w:type="dxa"/>
            </w:tcMar>
            <w:vAlign w:val="bottom"/>
          </w:tcPr>
          <w:p w14:paraId="5C7C7937" w14:textId="77777777" w:rsidR="0008009C" w:rsidRDefault="00936FDF">
            <w:pPr>
              <w:textAlignment w:val="bottom"/>
            </w:pPr>
            <w:r>
              <w:rPr>
                <w:rFonts w:ascii="Arial" w:eastAsia="宋体" w:hAnsi="Arial" w:cs="Arial"/>
                <w:b/>
                <w:bCs/>
                <w:color w:val="262626"/>
                <w:sz w:val="18"/>
                <w:szCs w:val="18"/>
              </w:rPr>
              <w:t>Non-GAAP earnings per share—diluted</w:t>
            </w:r>
          </w:p>
        </w:tc>
        <w:tc>
          <w:tcPr>
            <w:tcW w:w="0" w:type="auto"/>
            <w:gridSpan w:val="3"/>
            <w:shd w:val="clear" w:color="auto" w:fill="auto"/>
            <w:tcMar>
              <w:top w:w="0" w:type="dxa"/>
              <w:left w:w="20" w:type="dxa"/>
              <w:bottom w:w="0" w:type="dxa"/>
              <w:right w:w="20" w:type="dxa"/>
            </w:tcMar>
          </w:tcPr>
          <w:p w14:paraId="5C7C7938"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7939"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793A" w14:textId="77777777" w:rsidR="0008009C" w:rsidRDefault="00936FDF">
            <w:pPr>
              <w:jc w:val="right"/>
              <w:textAlignment w:val="bottom"/>
            </w:pPr>
            <w:r>
              <w:rPr>
                <w:rFonts w:ascii="Arial" w:eastAsia="宋体" w:hAnsi="Arial" w:cs="Arial"/>
                <w:b/>
                <w:bCs/>
                <w:color w:val="0068B5"/>
                <w:sz w:val="18"/>
                <w:szCs w:val="18"/>
              </w:rPr>
              <w:t>1.39</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793B"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93C" w14:textId="77777777" w:rsidR="0008009C" w:rsidRDefault="0008009C">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793D"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5C7C793E" w14:textId="77777777" w:rsidR="0008009C" w:rsidRDefault="00936FDF">
            <w:pPr>
              <w:jc w:val="right"/>
              <w:textAlignment w:val="bottom"/>
            </w:pPr>
            <w:r>
              <w:rPr>
                <w:rFonts w:ascii="Arial" w:eastAsia="宋体" w:hAnsi="Arial" w:cs="Arial"/>
                <w:b/>
                <w:bCs/>
                <w:color w:val="262626"/>
                <w:sz w:val="18"/>
                <w:szCs w:val="18"/>
              </w:rPr>
              <w:t>1.41</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793F" w14:textId="77777777" w:rsidR="0008009C" w:rsidRDefault="0008009C">
            <w:pPr>
              <w:jc w:val="right"/>
              <w:rPr>
                <w:rFonts w:ascii="宋体"/>
              </w:rPr>
            </w:pPr>
          </w:p>
        </w:tc>
        <w:tc>
          <w:tcPr>
            <w:tcW w:w="0" w:type="auto"/>
            <w:shd w:val="clear" w:color="auto" w:fill="auto"/>
          </w:tcPr>
          <w:p w14:paraId="5C7C7940" w14:textId="77777777" w:rsidR="0008009C" w:rsidRDefault="0008009C">
            <w:pPr>
              <w:rPr>
                <w:rFonts w:ascii="宋体"/>
                <w:vanish/>
              </w:rPr>
            </w:pPr>
          </w:p>
        </w:tc>
        <w:tc>
          <w:tcPr>
            <w:tcW w:w="0" w:type="auto"/>
            <w:shd w:val="clear" w:color="auto" w:fill="auto"/>
          </w:tcPr>
          <w:p w14:paraId="5C7C7941" w14:textId="77777777" w:rsidR="0008009C" w:rsidRDefault="0008009C">
            <w:pPr>
              <w:rPr>
                <w:rFonts w:ascii="宋体"/>
                <w:vanish/>
              </w:rPr>
            </w:pPr>
          </w:p>
        </w:tc>
        <w:tc>
          <w:tcPr>
            <w:tcW w:w="0" w:type="auto"/>
            <w:gridSpan w:val="3"/>
            <w:shd w:val="clear" w:color="auto" w:fill="auto"/>
          </w:tcPr>
          <w:p w14:paraId="5C7C7942" w14:textId="77777777" w:rsidR="0008009C" w:rsidRDefault="0008009C">
            <w:pPr>
              <w:rPr>
                <w:rFonts w:ascii="宋体"/>
                <w:vanish/>
              </w:rPr>
            </w:pPr>
          </w:p>
        </w:tc>
        <w:tc>
          <w:tcPr>
            <w:tcW w:w="0" w:type="auto"/>
            <w:gridSpan w:val="3"/>
            <w:shd w:val="clear" w:color="auto" w:fill="auto"/>
          </w:tcPr>
          <w:p w14:paraId="5C7C7943" w14:textId="77777777" w:rsidR="0008009C" w:rsidRDefault="0008009C">
            <w:pPr>
              <w:rPr>
                <w:rFonts w:ascii="宋体"/>
                <w:vanish/>
              </w:rPr>
            </w:pPr>
          </w:p>
        </w:tc>
      </w:tr>
    </w:tbl>
    <w:p w14:paraId="5C7C7945" w14:textId="77777777" w:rsidR="0008009C" w:rsidRDefault="00936FDF">
      <w:pPr>
        <w:spacing w:after="180"/>
      </w:pPr>
      <w:r>
        <w:rPr>
          <w:rFonts w:ascii="Arial" w:eastAsia="宋体" w:hAnsi="Arial" w:cs="Arial"/>
          <w:i/>
          <w:iCs/>
          <w:color w:val="262626"/>
          <w:sz w:val="10"/>
          <w:szCs w:val="10"/>
        </w:rPr>
        <w:t xml:space="preserve">1 </w:t>
      </w:r>
      <w:r>
        <w:rPr>
          <w:rFonts w:ascii="Arial" w:eastAsia="宋体" w:hAnsi="Arial" w:cs="Arial"/>
          <w:i/>
          <w:iCs/>
          <w:color w:val="262626"/>
          <w:sz w:val="16"/>
          <w:szCs w:val="16"/>
        </w:rPr>
        <w:t>Our reconciliation of GAAP to non-GAAP operating margin percentage reflects the exclusion of our NAND memory business from net revenue.</w:t>
      </w:r>
    </w:p>
    <w:tbl>
      <w:tblPr>
        <w:tblW w:w="5000" w:type="pct"/>
        <w:tblCellMar>
          <w:top w:w="15" w:type="dxa"/>
          <w:left w:w="15" w:type="dxa"/>
          <w:bottom w:w="15" w:type="dxa"/>
          <w:right w:w="15" w:type="dxa"/>
        </w:tblCellMar>
        <w:tblLook w:val="04A0" w:firstRow="1" w:lastRow="0" w:firstColumn="1" w:lastColumn="0" w:noHBand="0" w:noVBand="1"/>
      </w:tblPr>
      <w:tblGrid>
        <w:gridCol w:w="39"/>
        <w:gridCol w:w="6073"/>
        <w:gridCol w:w="38"/>
        <w:gridCol w:w="36"/>
        <w:gridCol w:w="36"/>
        <w:gridCol w:w="36"/>
        <w:gridCol w:w="121"/>
        <w:gridCol w:w="828"/>
        <w:gridCol w:w="36"/>
        <w:gridCol w:w="36"/>
        <w:gridCol w:w="36"/>
        <w:gridCol w:w="36"/>
        <w:gridCol w:w="121"/>
        <w:gridCol w:w="828"/>
        <w:gridCol w:w="36"/>
      </w:tblGrid>
      <w:tr w:rsidR="0008009C" w14:paraId="5C7C7955" w14:textId="77777777">
        <w:tc>
          <w:tcPr>
            <w:tcW w:w="50" w:type="pct"/>
            <w:shd w:val="clear" w:color="auto" w:fill="auto"/>
          </w:tcPr>
          <w:p w14:paraId="5C7C7946" w14:textId="77777777" w:rsidR="0008009C" w:rsidRDefault="0008009C">
            <w:pPr>
              <w:rPr>
                <w:rFonts w:ascii="宋体"/>
              </w:rPr>
            </w:pPr>
          </w:p>
        </w:tc>
        <w:tc>
          <w:tcPr>
            <w:tcW w:w="3701" w:type="pct"/>
            <w:shd w:val="clear" w:color="auto" w:fill="auto"/>
          </w:tcPr>
          <w:p w14:paraId="5C7C7947" w14:textId="77777777" w:rsidR="0008009C" w:rsidRDefault="0008009C">
            <w:pPr>
              <w:rPr>
                <w:rFonts w:ascii="宋体"/>
              </w:rPr>
            </w:pPr>
          </w:p>
        </w:tc>
        <w:tc>
          <w:tcPr>
            <w:tcW w:w="5" w:type="pct"/>
            <w:shd w:val="clear" w:color="auto" w:fill="auto"/>
          </w:tcPr>
          <w:p w14:paraId="5C7C7948" w14:textId="77777777" w:rsidR="0008009C" w:rsidRDefault="0008009C">
            <w:pPr>
              <w:rPr>
                <w:rFonts w:ascii="宋体"/>
              </w:rPr>
            </w:pPr>
          </w:p>
        </w:tc>
        <w:tc>
          <w:tcPr>
            <w:tcW w:w="5" w:type="pct"/>
            <w:shd w:val="clear" w:color="auto" w:fill="auto"/>
          </w:tcPr>
          <w:p w14:paraId="5C7C7949" w14:textId="77777777" w:rsidR="0008009C" w:rsidRDefault="0008009C">
            <w:pPr>
              <w:rPr>
                <w:rFonts w:ascii="宋体"/>
              </w:rPr>
            </w:pPr>
          </w:p>
        </w:tc>
        <w:tc>
          <w:tcPr>
            <w:tcW w:w="17" w:type="pct"/>
            <w:shd w:val="clear" w:color="auto" w:fill="auto"/>
          </w:tcPr>
          <w:p w14:paraId="5C7C794A" w14:textId="77777777" w:rsidR="0008009C" w:rsidRDefault="0008009C">
            <w:pPr>
              <w:rPr>
                <w:rFonts w:ascii="宋体"/>
              </w:rPr>
            </w:pPr>
          </w:p>
        </w:tc>
        <w:tc>
          <w:tcPr>
            <w:tcW w:w="5" w:type="pct"/>
            <w:shd w:val="clear" w:color="auto" w:fill="auto"/>
          </w:tcPr>
          <w:p w14:paraId="5C7C794B" w14:textId="77777777" w:rsidR="0008009C" w:rsidRDefault="0008009C">
            <w:pPr>
              <w:rPr>
                <w:rFonts w:ascii="宋体"/>
              </w:rPr>
            </w:pPr>
          </w:p>
        </w:tc>
        <w:tc>
          <w:tcPr>
            <w:tcW w:w="50" w:type="pct"/>
            <w:shd w:val="clear" w:color="auto" w:fill="auto"/>
          </w:tcPr>
          <w:p w14:paraId="5C7C794C" w14:textId="77777777" w:rsidR="0008009C" w:rsidRDefault="0008009C">
            <w:pPr>
              <w:rPr>
                <w:rFonts w:ascii="宋体"/>
              </w:rPr>
            </w:pPr>
          </w:p>
        </w:tc>
        <w:tc>
          <w:tcPr>
            <w:tcW w:w="539" w:type="pct"/>
            <w:shd w:val="clear" w:color="auto" w:fill="auto"/>
          </w:tcPr>
          <w:p w14:paraId="5C7C794D" w14:textId="77777777" w:rsidR="0008009C" w:rsidRDefault="0008009C">
            <w:pPr>
              <w:rPr>
                <w:rFonts w:ascii="宋体"/>
              </w:rPr>
            </w:pPr>
          </w:p>
        </w:tc>
        <w:tc>
          <w:tcPr>
            <w:tcW w:w="5" w:type="pct"/>
            <w:shd w:val="clear" w:color="auto" w:fill="auto"/>
          </w:tcPr>
          <w:p w14:paraId="5C7C794E" w14:textId="77777777" w:rsidR="0008009C" w:rsidRDefault="0008009C">
            <w:pPr>
              <w:rPr>
                <w:rFonts w:ascii="宋体"/>
              </w:rPr>
            </w:pPr>
          </w:p>
        </w:tc>
        <w:tc>
          <w:tcPr>
            <w:tcW w:w="5" w:type="pct"/>
            <w:shd w:val="clear" w:color="auto" w:fill="auto"/>
          </w:tcPr>
          <w:p w14:paraId="5C7C794F" w14:textId="77777777" w:rsidR="0008009C" w:rsidRDefault="0008009C">
            <w:pPr>
              <w:rPr>
                <w:rFonts w:ascii="宋体"/>
              </w:rPr>
            </w:pPr>
          </w:p>
        </w:tc>
        <w:tc>
          <w:tcPr>
            <w:tcW w:w="17" w:type="pct"/>
            <w:shd w:val="clear" w:color="auto" w:fill="auto"/>
          </w:tcPr>
          <w:p w14:paraId="5C7C7950" w14:textId="77777777" w:rsidR="0008009C" w:rsidRDefault="0008009C">
            <w:pPr>
              <w:rPr>
                <w:rFonts w:ascii="宋体"/>
              </w:rPr>
            </w:pPr>
          </w:p>
        </w:tc>
        <w:tc>
          <w:tcPr>
            <w:tcW w:w="5" w:type="pct"/>
            <w:shd w:val="clear" w:color="auto" w:fill="auto"/>
          </w:tcPr>
          <w:p w14:paraId="5C7C7951" w14:textId="77777777" w:rsidR="0008009C" w:rsidRDefault="0008009C">
            <w:pPr>
              <w:rPr>
                <w:rFonts w:ascii="宋体"/>
              </w:rPr>
            </w:pPr>
          </w:p>
        </w:tc>
        <w:tc>
          <w:tcPr>
            <w:tcW w:w="50" w:type="pct"/>
            <w:shd w:val="clear" w:color="auto" w:fill="auto"/>
          </w:tcPr>
          <w:p w14:paraId="5C7C7952" w14:textId="77777777" w:rsidR="0008009C" w:rsidRDefault="0008009C">
            <w:pPr>
              <w:rPr>
                <w:rFonts w:ascii="宋体"/>
              </w:rPr>
            </w:pPr>
          </w:p>
        </w:tc>
        <w:tc>
          <w:tcPr>
            <w:tcW w:w="539" w:type="pct"/>
            <w:shd w:val="clear" w:color="auto" w:fill="auto"/>
          </w:tcPr>
          <w:p w14:paraId="5C7C7953" w14:textId="77777777" w:rsidR="0008009C" w:rsidRDefault="0008009C">
            <w:pPr>
              <w:rPr>
                <w:rFonts w:ascii="宋体"/>
              </w:rPr>
            </w:pPr>
          </w:p>
        </w:tc>
        <w:tc>
          <w:tcPr>
            <w:tcW w:w="5" w:type="pct"/>
            <w:shd w:val="clear" w:color="auto" w:fill="auto"/>
          </w:tcPr>
          <w:p w14:paraId="5C7C7954" w14:textId="77777777" w:rsidR="0008009C" w:rsidRDefault="0008009C">
            <w:pPr>
              <w:rPr>
                <w:rFonts w:ascii="宋体"/>
              </w:rPr>
            </w:pPr>
          </w:p>
        </w:tc>
      </w:tr>
      <w:tr w:rsidR="0008009C" w14:paraId="5C7C7959" w14:textId="77777777">
        <w:tc>
          <w:tcPr>
            <w:tcW w:w="0" w:type="auto"/>
            <w:gridSpan w:val="3"/>
            <w:shd w:val="clear" w:color="auto" w:fill="auto"/>
            <w:tcMar>
              <w:top w:w="0" w:type="dxa"/>
              <w:left w:w="20" w:type="dxa"/>
              <w:bottom w:w="0" w:type="dxa"/>
              <w:right w:w="20" w:type="dxa"/>
            </w:tcMar>
          </w:tcPr>
          <w:p w14:paraId="5C7C795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957" w14:textId="77777777" w:rsidR="0008009C" w:rsidRDefault="0008009C">
            <w:pPr>
              <w:rPr>
                <w:rFonts w:ascii="宋体"/>
              </w:rPr>
            </w:pPr>
          </w:p>
        </w:tc>
        <w:tc>
          <w:tcPr>
            <w:tcW w:w="0" w:type="auto"/>
            <w:gridSpan w:val="9"/>
            <w:shd w:val="clear" w:color="auto" w:fill="auto"/>
            <w:tcMar>
              <w:top w:w="40" w:type="dxa"/>
              <w:left w:w="20" w:type="dxa"/>
              <w:bottom w:w="40" w:type="dxa"/>
              <w:right w:w="20" w:type="dxa"/>
            </w:tcMar>
            <w:vAlign w:val="bottom"/>
          </w:tcPr>
          <w:p w14:paraId="5C7C7958" w14:textId="77777777" w:rsidR="0008009C" w:rsidRDefault="00936FDF">
            <w:pPr>
              <w:jc w:val="center"/>
              <w:textAlignment w:val="bottom"/>
            </w:pPr>
            <w:r>
              <w:rPr>
                <w:rFonts w:ascii="Arial" w:eastAsia="宋体" w:hAnsi="Arial" w:cs="Arial"/>
                <w:b/>
                <w:bCs/>
                <w:color w:val="262626"/>
                <w:sz w:val="18"/>
                <w:szCs w:val="18"/>
              </w:rPr>
              <w:t>Three Months Ended</w:t>
            </w:r>
          </w:p>
        </w:tc>
      </w:tr>
      <w:tr w:rsidR="0008009C" w14:paraId="5C7C795F" w14:textId="77777777">
        <w:tc>
          <w:tcPr>
            <w:tcW w:w="0" w:type="auto"/>
            <w:gridSpan w:val="3"/>
            <w:shd w:val="clear" w:color="auto" w:fill="auto"/>
            <w:tcMar>
              <w:top w:w="40" w:type="dxa"/>
              <w:left w:w="20" w:type="dxa"/>
              <w:bottom w:w="40" w:type="dxa"/>
              <w:right w:w="20" w:type="dxa"/>
            </w:tcMar>
            <w:vAlign w:val="bottom"/>
          </w:tcPr>
          <w:p w14:paraId="5C7C795A" w14:textId="77777777" w:rsidR="0008009C" w:rsidRDefault="00936FDF">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5C7C795B"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95C" w14:textId="77777777" w:rsidR="0008009C" w:rsidRDefault="00936FDF">
            <w:pPr>
              <w:jc w:val="center"/>
              <w:textAlignment w:val="bottom"/>
            </w:pPr>
            <w:r>
              <w:rPr>
                <w:rFonts w:ascii="Arial" w:eastAsia="宋体" w:hAnsi="Arial" w:cs="Arial"/>
                <w:b/>
                <w:bCs/>
                <w:color w:val="262626"/>
                <w:sz w:val="18"/>
                <w:szCs w:val="18"/>
              </w:rPr>
              <w:t>Mar 27, 2021</w:t>
            </w:r>
          </w:p>
        </w:tc>
        <w:tc>
          <w:tcPr>
            <w:tcW w:w="0" w:type="auto"/>
            <w:gridSpan w:val="3"/>
            <w:tcBorders>
              <w:top w:val="single" w:sz="8" w:space="0" w:color="0068B5"/>
            </w:tcBorders>
            <w:shd w:val="clear" w:color="auto" w:fill="auto"/>
            <w:tcMar>
              <w:top w:w="0" w:type="dxa"/>
              <w:left w:w="20" w:type="dxa"/>
              <w:bottom w:w="0" w:type="dxa"/>
              <w:right w:w="20" w:type="dxa"/>
            </w:tcMar>
          </w:tcPr>
          <w:p w14:paraId="5C7C795D"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95E" w14:textId="77777777" w:rsidR="0008009C" w:rsidRDefault="00936FDF">
            <w:pPr>
              <w:jc w:val="center"/>
              <w:textAlignment w:val="bottom"/>
            </w:pPr>
            <w:r>
              <w:rPr>
                <w:rFonts w:ascii="Arial" w:eastAsia="宋体" w:hAnsi="Arial" w:cs="Arial"/>
                <w:b/>
                <w:bCs/>
                <w:color w:val="262626"/>
                <w:sz w:val="18"/>
                <w:szCs w:val="18"/>
              </w:rPr>
              <w:t>Mar 28, 2020</w:t>
            </w:r>
          </w:p>
        </w:tc>
      </w:tr>
      <w:tr w:rsidR="0008009C" w14:paraId="5C7C7969"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960" w14:textId="77777777" w:rsidR="0008009C" w:rsidRDefault="00936FDF">
            <w:pPr>
              <w:textAlignment w:val="bottom"/>
            </w:pPr>
            <w:r>
              <w:rPr>
                <w:rFonts w:ascii="Arial" w:eastAsia="宋体" w:hAnsi="Arial" w:cs="Arial"/>
                <w:b/>
                <w:bCs/>
                <w:color w:val="262626"/>
                <w:sz w:val="18"/>
                <w:szCs w:val="18"/>
              </w:rPr>
              <w:t xml:space="preserve">Net cash provided by </w:t>
            </w:r>
            <w:r>
              <w:rPr>
                <w:rFonts w:ascii="Arial" w:eastAsia="宋体" w:hAnsi="Arial" w:cs="Arial"/>
                <w:b/>
                <w:bCs/>
                <w:color w:val="262626"/>
                <w:sz w:val="18"/>
                <w:szCs w:val="18"/>
              </w:rPr>
              <w:t>operating activities</w:t>
            </w:r>
          </w:p>
        </w:tc>
        <w:tc>
          <w:tcPr>
            <w:tcW w:w="0" w:type="auto"/>
            <w:gridSpan w:val="3"/>
            <w:shd w:val="clear" w:color="auto" w:fill="auto"/>
            <w:tcMar>
              <w:top w:w="0" w:type="dxa"/>
              <w:left w:w="20" w:type="dxa"/>
              <w:bottom w:w="0" w:type="dxa"/>
              <w:right w:w="20" w:type="dxa"/>
            </w:tcMar>
          </w:tcPr>
          <w:p w14:paraId="5C7C7961"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7962"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963" w14:textId="77777777" w:rsidR="0008009C" w:rsidRDefault="00936FDF">
            <w:pPr>
              <w:jc w:val="right"/>
              <w:textAlignment w:val="bottom"/>
            </w:pPr>
            <w:r>
              <w:rPr>
                <w:rFonts w:ascii="Arial" w:eastAsia="宋体" w:hAnsi="Arial" w:cs="Arial"/>
                <w:b/>
                <w:bCs/>
                <w:color w:val="0068B5"/>
                <w:sz w:val="18"/>
                <w:szCs w:val="18"/>
              </w:rPr>
              <w:t>5,548</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96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965" w14:textId="77777777" w:rsidR="0008009C" w:rsidRDefault="0008009C">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5C7C7966"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5C7C7967" w14:textId="77777777" w:rsidR="0008009C" w:rsidRDefault="00936FDF">
            <w:pPr>
              <w:jc w:val="right"/>
              <w:textAlignment w:val="bottom"/>
            </w:pPr>
            <w:r>
              <w:rPr>
                <w:rFonts w:ascii="Arial" w:eastAsia="宋体" w:hAnsi="Arial" w:cs="Arial"/>
                <w:b/>
                <w:bCs/>
                <w:color w:val="262626"/>
                <w:sz w:val="18"/>
                <w:szCs w:val="18"/>
              </w:rPr>
              <w:t>6,158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5C7C7968" w14:textId="77777777" w:rsidR="0008009C" w:rsidRDefault="0008009C">
            <w:pPr>
              <w:jc w:val="right"/>
              <w:rPr>
                <w:rFonts w:ascii="宋体"/>
              </w:rPr>
            </w:pPr>
          </w:p>
        </w:tc>
      </w:tr>
      <w:tr w:rsidR="0008009C" w14:paraId="5C7C7971" w14:textId="77777777">
        <w:tc>
          <w:tcPr>
            <w:tcW w:w="0" w:type="auto"/>
            <w:gridSpan w:val="3"/>
            <w:shd w:val="clear" w:color="auto" w:fill="auto"/>
            <w:tcMar>
              <w:top w:w="40" w:type="dxa"/>
              <w:left w:w="155" w:type="dxa"/>
              <w:bottom w:w="40" w:type="dxa"/>
              <w:right w:w="20" w:type="dxa"/>
            </w:tcMar>
            <w:vAlign w:val="bottom"/>
          </w:tcPr>
          <w:p w14:paraId="5C7C796A" w14:textId="77777777" w:rsidR="0008009C" w:rsidRDefault="00936FDF">
            <w:pPr>
              <w:textAlignment w:val="bottom"/>
            </w:pPr>
            <w:r>
              <w:rPr>
                <w:rFonts w:ascii="Arial" w:eastAsia="宋体" w:hAnsi="Arial" w:cs="Arial"/>
                <w:color w:val="262626"/>
                <w:sz w:val="18"/>
                <w:szCs w:val="18"/>
              </w:rPr>
              <w:t>Additions to property, plant and equipment</w:t>
            </w:r>
          </w:p>
        </w:tc>
        <w:tc>
          <w:tcPr>
            <w:tcW w:w="0" w:type="auto"/>
            <w:gridSpan w:val="3"/>
            <w:shd w:val="clear" w:color="auto" w:fill="auto"/>
            <w:tcMar>
              <w:top w:w="0" w:type="dxa"/>
              <w:left w:w="20" w:type="dxa"/>
              <w:bottom w:w="0" w:type="dxa"/>
              <w:right w:w="20" w:type="dxa"/>
            </w:tcMar>
          </w:tcPr>
          <w:p w14:paraId="5C7C796B"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96C" w14:textId="77777777" w:rsidR="0008009C" w:rsidRDefault="00936FDF">
            <w:pPr>
              <w:jc w:val="right"/>
              <w:textAlignment w:val="bottom"/>
            </w:pPr>
            <w:r>
              <w:rPr>
                <w:rFonts w:ascii="Arial" w:eastAsia="宋体" w:hAnsi="Arial" w:cs="Arial"/>
                <w:color w:val="0068B5"/>
                <w:sz w:val="18"/>
                <w:szCs w:val="18"/>
              </w:rPr>
              <w:t>(3,972)</w:t>
            </w:r>
          </w:p>
        </w:tc>
        <w:tc>
          <w:tcPr>
            <w:tcW w:w="0" w:type="auto"/>
            <w:shd w:val="clear" w:color="auto" w:fill="auto"/>
            <w:tcMar>
              <w:top w:w="40" w:type="dxa"/>
              <w:left w:w="0" w:type="dxa"/>
              <w:bottom w:w="40" w:type="dxa"/>
              <w:right w:w="20" w:type="dxa"/>
            </w:tcMar>
            <w:vAlign w:val="bottom"/>
          </w:tcPr>
          <w:p w14:paraId="5C7C796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96E" w14:textId="77777777" w:rsidR="0008009C" w:rsidRDefault="0008009C">
            <w:pPr>
              <w:rPr>
                <w:rFonts w:ascii="宋体"/>
              </w:rPr>
            </w:pPr>
          </w:p>
        </w:tc>
        <w:tc>
          <w:tcPr>
            <w:tcW w:w="0" w:type="auto"/>
            <w:gridSpan w:val="2"/>
            <w:shd w:val="clear" w:color="auto" w:fill="auto"/>
            <w:tcMar>
              <w:top w:w="40" w:type="dxa"/>
              <w:left w:w="20" w:type="dxa"/>
              <w:bottom w:w="40" w:type="dxa"/>
              <w:right w:w="0" w:type="dxa"/>
            </w:tcMar>
            <w:vAlign w:val="bottom"/>
          </w:tcPr>
          <w:p w14:paraId="5C7C796F" w14:textId="77777777" w:rsidR="0008009C" w:rsidRDefault="00936FDF">
            <w:pPr>
              <w:jc w:val="right"/>
              <w:textAlignment w:val="bottom"/>
            </w:pPr>
            <w:r>
              <w:rPr>
                <w:rFonts w:ascii="Arial" w:eastAsia="宋体" w:hAnsi="Arial" w:cs="Arial"/>
                <w:color w:val="262626"/>
                <w:sz w:val="18"/>
                <w:szCs w:val="18"/>
              </w:rPr>
              <w:t>(3,268)</w:t>
            </w:r>
          </w:p>
        </w:tc>
        <w:tc>
          <w:tcPr>
            <w:tcW w:w="0" w:type="auto"/>
            <w:shd w:val="clear" w:color="auto" w:fill="auto"/>
            <w:tcMar>
              <w:top w:w="40" w:type="dxa"/>
              <w:left w:w="0" w:type="dxa"/>
              <w:bottom w:w="40" w:type="dxa"/>
              <w:right w:w="20" w:type="dxa"/>
            </w:tcMar>
            <w:vAlign w:val="bottom"/>
          </w:tcPr>
          <w:p w14:paraId="5C7C7970" w14:textId="77777777" w:rsidR="0008009C" w:rsidRDefault="0008009C">
            <w:pPr>
              <w:jc w:val="right"/>
              <w:rPr>
                <w:rFonts w:ascii="宋体"/>
              </w:rPr>
            </w:pPr>
          </w:p>
        </w:tc>
      </w:tr>
      <w:tr w:rsidR="0008009C" w14:paraId="5C7C797B" w14:textId="77777777">
        <w:tc>
          <w:tcPr>
            <w:tcW w:w="0" w:type="auto"/>
            <w:gridSpan w:val="3"/>
            <w:shd w:val="clear" w:color="auto" w:fill="auto"/>
            <w:tcMar>
              <w:top w:w="40" w:type="dxa"/>
              <w:left w:w="20" w:type="dxa"/>
              <w:bottom w:w="40" w:type="dxa"/>
              <w:right w:w="20" w:type="dxa"/>
            </w:tcMar>
            <w:vAlign w:val="bottom"/>
          </w:tcPr>
          <w:p w14:paraId="5C7C7972" w14:textId="77777777" w:rsidR="0008009C" w:rsidRDefault="00936FDF">
            <w:pPr>
              <w:textAlignment w:val="bottom"/>
            </w:pPr>
            <w:r>
              <w:rPr>
                <w:rFonts w:ascii="Arial" w:eastAsia="宋体" w:hAnsi="Arial" w:cs="Arial"/>
                <w:b/>
                <w:bCs/>
                <w:color w:val="262626"/>
                <w:sz w:val="18"/>
                <w:szCs w:val="18"/>
              </w:rPr>
              <w:t>Free cash flow</w:t>
            </w:r>
          </w:p>
        </w:tc>
        <w:tc>
          <w:tcPr>
            <w:tcW w:w="0" w:type="auto"/>
            <w:gridSpan w:val="3"/>
            <w:shd w:val="clear" w:color="auto" w:fill="auto"/>
            <w:tcMar>
              <w:top w:w="0" w:type="dxa"/>
              <w:left w:w="20" w:type="dxa"/>
              <w:bottom w:w="0" w:type="dxa"/>
              <w:right w:w="20" w:type="dxa"/>
            </w:tcMar>
          </w:tcPr>
          <w:p w14:paraId="5C7C7973"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7974" w14:textId="77777777" w:rsidR="0008009C" w:rsidRDefault="00936FDF">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7975" w14:textId="77777777" w:rsidR="0008009C" w:rsidRDefault="00936FDF">
            <w:pPr>
              <w:jc w:val="right"/>
              <w:textAlignment w:val="bottom"/>
            </w:pPr>
            <w:r>
              <w:rPr>
                <w:rFonts w:ascii="Arial" w:eastAsia="宋体" w:hAnsi="Arial" w:cs="Arial"/>
                <w:b/>
                <w:bCs/>
                <w:color w:val="0068B5"/>
                <w:sz w:val="18"/>
                <w:szCs w:val="18"/>
              </w:rPr>
              <w:t>1,576</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97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977" w14:textId="77777777" w:rsidR="0008009C" w:rsidRDefault="0008009C">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5C7C7978" w14:textId="77777777" w:rsidR="0008009C" w:rsidRDefault="00936FDF">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5C7C7979" w14:textId="77777777" w:rsidR="0008009C" w:rsidRDefault="00936FDF">
            <w:pPr>
              <w:jc w:val="right"/>
              <w:textAlignment w:val="bottom"/>
            </w:pPr>
            <w:r>
              <w:rPr>
                <w:rFonts w:ascii="Arial" w:eastAsia="宋体" w:hAnsi="Arial" w:cs="Arial"/>
                <w:b/>
                <w:bCs/>
                <w:color w:val="262626"/>
                <w:sz w:val="18"/>
                <w:szCs w:val="18"/>
              </w:rPr>
              <w:t>2,890</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5C7C797A" w14:textId="77777777" w:rsidR="0008009C" w:rsidRDefault="0008009C">
            <w:pPr>
              <w:jc w:val="right"/>
              <w:rPr>
                <w:rFonts w:ascii="宋体"/>
              </w:rPr>
            </w:pPr>
          </w:p>
        </w:tc>
      </w:tr>
      <w:tr w:rsidR="0008009C" w14:paraId="5C7C7981" w14:textId="77777777">
        <w:trPr>
          <w:trHeight w:val="100"/>
        </w:trPr>
        <w:tc>
          <w:tcPr>
            <w:tcW w:w="0" w:type="auto"/>
            <w:gridSpan w:val="3"/>
            <w:shd w:val="clear" w:color="auto" w:fill="auto"/>
            <w:tcMar>
              <w:top w:w="0" w:type="dxa"/>
              <w:left w:w="20" w:type="dxa"/>
              <w:bottom w:w="0" w:type="dxa"/>
              <w:right w:w="20" w:type="dxa"/>
            </w:tcMar>
          </w:tcPr>
          <w:p w14:paraId="5C7C797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97D"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797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97F" w14:textId="77777777" w:rsidR="0008009C" w:rsidRDefault="0008009C">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5C7C7980" w14:textId="77777777" w:rsidR="0008009C" w:rsidRDefault="0008009C">
            <w:pPr>
              <w:rPr>
                <w:rFonts w:ascii="宋体"/>
              </w:rPr>
            </w:pPr>
          </w:p>
        </w:tc>
      </w:tr>
      <w:tr w:rsidR="0008009C" w14:paraId="5C7C798B" w14:textId="77777777">
        <w:tc>
          <w:tcPr>
            <w:tcW w:w="0" w:type="auto"/>
            <w:gridSpan w:val="3"/>
            <w:shd w:val="clear" w:color="auto" w:fill="auto"/>
            <w:tcMar>
              <w:top w:w="40" w:type="dxa"/>
              <w:left w:w="20" w:type="dxa"/>
              <w:bottom w:w="40" w:type="dxa"/>
              <w:right w:w="20" w:type="dxa"/>
            </w:tcMar>
            <w:vAlign w:val="bottom"/>
          </w:tcPr>
          <w:p w14:paraId="5C7C7982" w14:textId="77777777" w:rsidR="0008009C" w:rsidRDefault="00936FDF">
            <w:pPr>
              <w:textAlignment w:val="bottom"/>
            </w:pPr>
            <w:r>
              <w:rPr>
                <w:rFonts w:ascii="Arial" w:eastAsia="宋体" w:hAnsi="Arial" w:cs="Arial"/>
                <w:b/>
                <w:bCs/>
                <w:color w:val="262626"/>
                <w:sz w:val="18"/>
                <w:szCs w:val="18"/>
              </w:rPr>
              <w:t>Net cash used for investing activities</w:t>
            </w:r>
          </w:p>
        </w:tc>
        <w:tc>
          <w:tcPr>
            <w:tcW w:w="0" w:type="auto"/>
            <w:gridSpan w:val="3"/>
            <w:shd w:val="clear" w:color="auto" w:fill="auto"/>
            <w:tcMar>
              <w:top w:w="0" w:type="dxa"/>
              <w:left w:w="20" w:type="dxa"/>
              <w:bottom w:w="0" w:type="dxa"/>
              <w:right w:w="20" w:type="dxa"/>
            </w:tcMar>
          </w:tcPr>
          <w:p w14:paraId="5C7C7983"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7984" w14:textId="77777777" w:rsidR="0008009C" w:rsidRDefault="00936FDF">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5C7C7985" w14:textId="77777777" w:rsidR="0008009C" w:rsidRDefault="00936FDF">
            <w:pPr>
              <w:jc w:val="right"/>
              <w:textAlignment w:val="bottom"/>
            </w:pPr>
            <w:r>
              <w:rPr>
                <w:rFonts w:ascii="Arial" w:eastAsia="宋体" w:hAnsi="Arial" w:cs="Arial"/>
                <w:b/>
                <w:bCs/>
                <w:color w:val="0068B5"/>
                <w:sz w:val="18"/>
                <w:szCs w:val="18"/>
              </w:rPr>
              <w:t>(2,547)</w:t>
            </w:r>
          </w:p>
        </w:tc>
        <w:tc>
          <w:tcPr>
            <w:tcW w:w="0" w:type="auto"/>
            <w:shd w:val="clear" w:color="auto" w:fill="auto"/>
            <w:tcMar>
              <w:top w:w="40" w:type="dxa"/>
              <w:left w:w="0" w:type="dxa"/>
              <w:bottom w:w="40" w:type="dxa"/>
              <w:right w:w="20" w:type="dxa"/>
            </w:tcMar>
            <w:vAlign w:val="bottom"/>
          </w:tcPr>
          <w:p w14:paraId="5C7C7986"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987"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7988" w14:textId="77777777" w:rsidR="0008009C" w:rsidRDefault="00936FDF">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C7C7989" w14:textId="77777777" w:rsidR="0008009C" w:rsidRDefault="00936FDF">
            <w:pPr>
              <w:jc w:val="right"/>
              <w:textAlignment w:val="bottom"/>
            </w:pPr>
            <w:r>
              <w:rPr>
                <w:rFonts w:ascii="Arial" w:eastAsia="宋体" w:hAnsi="Arial" w:cs="Arial"/>
                <w:b/>
                <w:bCs/>
                <w:color w:val="262626"/>
                <w:sz w:val="18"/>
                <w:szCs w:val="18"/>
              </w:rPr>
              <w:t>(3,736)</w:t>
            </w:r>
          </w:p>
        </w:tc>
        <w:tc>
          <w:tcPr>
            <w:tcW w:w="0" w:type="auto"/>
            <w:shd w:val="clear" w:color="auto" w:fill="auto"/>
            <w:tcMar>
              <w:top w:w="40" w:type="dxa"/>
              <w:left w:w="0" w:type="dxa"/>
              <w:bottom w:w="40" w:type="dxa"/>
              <w:right w:w="20" w:type="dxa"/>
            </w:tcMar>
            <w:vAlign w:val="bottom"/>
          </w:tcPr>
          <w:p w14:paraId="5C7C798A" w14:textId="77777777" w:rsidR="0008009C" w:rsidRDefault="0008009C">
            <w:pPr>
              <w:jc w:val="right"/>
              <w:rPr>
                <w:rFonts w:ascii="宋体"/>
              </w:rPr>
            </w:pPr>
          </w:p>
        </w:tc>
      </w:tr>
      <w:tr w:rsidR="0008009C" w14:paraId="5C7C7995" w14:textId="77777777">
        <w:tc>
          <w:tcPr>
            <w:tcW w:w="0" w:type="auto"/>
            <w:gridSpan w:val="3"/>
            <w:shd w:val="clear" w:color="auto" w:fill="auto"/>
            <w:tcMar>
              <w:top w:w="40" w:type="dxa"/>
              <w:left w:w="20" w:type="dxa"/>
              <w:bottom w:w="40" w:type="dxa"/>
              <w:right w:w="20" w:type="dxa"/>
            </w:tcMar>
            <w:vAlign w:val="bottom"/>
          </w:tcPr>
          <w:p w14:paraId="5C7C798C" w14:textId="77777777" w:rsidR="0008009C" w:rsidRDefault="00936FDF">
            <w:pPr>
              <w:textAlignment w:val="bottom"/>
            </w:pPr>
            <w:r>
              <w:rPr>
                <w:rFonts w:ascii="Arial" w:eastAsia="宋体" w:hAnsi="Arial" w:cs="Arial"/>
                <w:b/>
                <w:bCs/>
                <w:color w:val="262626"/>
                <w:sz w:val="18"/>
                <w:szCs w:val="18"/>
              </w:rPr>
              <w:t xml:space="preserve">Net cash provided by (used for) </w:t>
            </w:r>
            <w:r>
              <w:rPr>
                <w:rFonts w:ascii="Arial" w:eastAsia="宋体" w:hAnsi="Arial" w:cs="Arial"/>
                <w:b/>
                <w:bCs/>
                <w:color w:val="262626"/>
                <w:sz w:val="18"/>
                <w:szCs w:val="18"/>
              </w:rPr>
              <w:t>financing activities</w:t>
            </w:r>
          </w:p>
        </w:tc>
        <w:tc>
          <w:tcPr>
            <w:tcW w:w="0" w:type="auto"/>
            <w:gridSpan w:val="3"/>
            <w:shd w:val="clear" w:color="auto" w:fill="auto"/>
            <w:tcMar>
              <w:top w:w="0" w:type="dxa"/>
              <w:left w:w="20" w:type="dxa"/>
              <w:bottom w:w="0" w:type="dxa"/>
              <w:right w:w="20" w:type="dxa"/>
            </w:tcMar>
          </w:tcPr>
          <w:p w14:paraId="5C7C798D"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798E" w14:textId="77777777" w:rsidR="0008009C" w:rsidRDefault="00936FDF">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5C7C798F" w14:textId="77777777" w:rsidR="0008009C" w:rsidRDefault="00936FDF">
            <w:pPr>
              <w:jc w:val="right"/>
              <w:textAlignment w:val="bottom"/>
            </w:pPr>
            <w:r>
              <w:rPr>
                <w:rFonts w:ascii="Arial" w:eastAsia="宋体" w:hAnsi="Arial" w:cs="Arial"/>
                <w:b/>
                <w:bCs/>
                <w:color w:val="0068B5"/>
                <w:sz w:val="18"/>
                <w:szCs w:val="18"/>
              </w:rPr>
              <w:t>(3,674)</w:t>
            </w:r>
          </w:p>
        </w:tc>
        <w:tc>
          <w:tcPr>
            <w:tcW w:w="0" w:type="auto"/>
            <w:shd w:val="clear" w:color="auto" w:fill="auto"/>
            <w:tcMar>
              <w:top w:w="40" w:type="dxa"/>
              <w:left w:w="0" w:type="dxa"/>
              <w:bottom w:w="40" w:type="dxa"/>
              <w:right w:w="20" w:type="dxa"/>
            </w:tcMar>
            <w:vAlign w:val="bottom"/>
          </w:tcPr>
          <w:p w14:paraId="5C7C799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991" w14:textId="77777777" w:rsidR="0008009C" w:rsidRDefault="0008009C">
            <w:pPr>
              <w:rPr>
                <w:rFonts w:ascii="宋体"/>
              </w:rPr>
            </w:pPr>
          </w:p>
        </w:tc>
        <w:tc>
          <w:tcPr>
            <w:tcW w:w="0" w:type="auto"/>
            <w:shd w:val="clear" w:color="auto" w:fill="auto"/>
            <w:tcMar>
              <w:top w:w="40" w:type="dxa"/>
              <w:left w:w="20" w:type="dxa"/>
              <w:bottom w:w="40" w:type="dxa"/>
              <w:right w:w="0" w:type="dxa"/>
            </w:tcMar>
            <w:vAlign w:val="bottom"/>
          </w:tcPr>
          <w:p w14:paraId="5C7C7992" w14:textId="77777777" w:rsidR="0008009C" w:rsidRDefault="00936FDF">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5C7C7993" w14:textId="77777777" w:rsidR="0008009C" w:rsidRDefault="00936FDF">
            <w:pPr>
              <w:jc w:val="right"/>
              <w:textAlignment w:val="bottom"/>
            </w:pPr>
            <w:r>
              <w:rPr>
                <w:rFonts w:ascii="Arial" w:eastAsia="宋体" w:hAnsi="Arial" w:cs="Arial"/>
                <w:b/>
                <w:bCs/>
                <w:color w:val="262626"/>
                <w:sz w:val="18"/>
                <w:szCs w:val="18"/>
              </w:rPr>
              <w:t>4,764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5C7C7994" w14:textId="77777777" w:rsidR="0008009C" w:rsidRDefault="0008009C">
            <w:pPr>
              <w:jc w:val="right"/>
              <w:rPr>
                <w:rFonts w:ascii="宋体"/>
              </w:rPr>
            </w:pPr>
          </w:p>
        </w:tc>
      </w:tr>
      <w:tr w:rsidR="0008009C" w14:paraId="5C7C799B" w14:textId="77777777">
        <w:trPr>
          <w:hidden/>
        </w:trPr>
        <w:tc>
          <w:tcPr>
            <w:tcW w:w="0" w:type="auto"/>
            <w:gridSpan w:val="3"/>
            <w:shd w:val="clear" w:color="auto" w:fill="auto"/>
          </w:tcPr>
          <w:p w14:paraId="5C7C7996" w14:textId="77777777" w:rsidR="0008009C" w:rsidRDefault="0008009C">
            <w:pPr>
              <w:rPr>
                <w:rFonts w:ascii="宋体"/>
                <w:vanish/>
              </w:rPr>
            </w:pPr>
          </w:p>
        </w:tc>
        <w:tc>
          <w:tcPr>
            <w:tcW w:w="0" w:type="auto"/>
            <w:gridSpan w:val="3"/>
            <w:shd w:val="clear" w:color="auto" w:fill="auto"/>
          </w:tcPr>
          <w:p w14:paraId="5C7C7997" w14:textId="77777777" w:rsidR="0008009C" w:rsidRDefault="0008009C">
            <w:pPr>
              <w:rPr>
                <w:rFonts w:ascii="宋体"/>
                <w:vanish/>
              </w:rPr>
            </w:pPr>
          </w:p>
        </w:tc>
        <w:tc>
          <w:tcPr>
            <w:tcW w:w="0" w:type="auto"/>
            <w:gridSpan w:val="3"/>
            <w:shd w:val="clear" w:color="auto" w:fill="auto"/>
          </w:tcPr>
          <w:p w14:paraId="5C7C7998" w14:textId="77777777" w:rsidR="0008009C" w:rsidRDefault="0008009C">
            <w:pPr>
              <w:rPr>
                <w:rFonts w:ascii="宋体"/>
                <w:vanish/>
              </w:rPr>
            </w:pPr>
          </w:p>
        </w:tc>
        <w:tc>
          <w:tcPr>
            <w:tcW w:w="0" w:type="auto"/>
            <w:gridSpan w:val="3"/>
            <w:shd w:val="clear" w:color="auto" w:fill="auto"/>
          </w:tcPr>
          <w:p w14:paraId="5C7C7999" w14:textId="77777777" w:rsidR="0008009C" w:rsidRDefault="0008009C">
            <w:pPr>
              <w:rPr>
                <w:rFonts w:ascii="宋体"/>
                <w:vanish/>
              </w:rPr>
            </w:pPr>
          </w:p>
        </w:tc>
        <w:tc>
          <w:tcPr>
            <w:tcW w:w="0" w:type="auto"/>
            <w:gridSpan w:val="3"/>
            <w:shd w:val="clear" w:color="auto" w:fill="auto"/>
          </w:tcPr>
          <w:p w14:paraId="5C7C799A" w14:textId="77777777" w:rsidR="0008009C" w:rsidRDefault="0008009C">
            <w:pPr>
              <w:rPr>
                <w:rFonts w:ascii="宋体"/>
                <w:vanish/>
              </w:rPr>
            </w:pPr>
          </w:p>
        </w:tc>
      </w:tr>
      <w:tr w:rsidR="0008009C" w14:paraId="5C7C79A1" w14:textId="77777777">
        <w:trPr>
          <w:hidden/>
        </w:trPr>
        <w:tc>
          <w:tcPr>
            <w:tcW w:w="0" w:type="auto"/>
            <w:gridSpan w:val="3"/>
            <w:shd w:val="clear" w:color="auto" w:fill="auto"/>
          </w:tcPr>
          <w:p w14:paraId="5C7C799C" w14:textId="77777777" w:rsidR="0008009C" w:rsidRDefault="0008009C">
            <w:pPr>
              <w:rPr>
                <w:rFonts w:ascii="宋体"/>
                <w:vanish/>
              </w:rPr>
            </w:pPr>
          </w:p>
        </w:tc>
        <w:tc>
          <w:tcPr>
            <w:tcW w:w="0" w:type="auto"/>
            <w:gridSpan w:val="3"/>
            <w:shd w:val="clear" w:color="auto" w:fill="auto"/>
          </w:tcPr>
          <w:p w14:paraId="5C7C799D" w14:textId="77777777" w:rsidR="0008009C" w:rsidRDefault="0008009C">
            <w:pPr>
              <w:rPr>
                <w:rFonts w:ascii="宋体"/>
                <w:vanish/>
              </w:rPr>
            </w:pPr>
          </w:p>
        </w:tc>
        <w:tc>
          <w:tcPr>
            <w:tcW w:w="0" w:type="auto"/>
            <w:gridSpan w:val="3"/>
            <w:shd w:val="clear" w:color="auto" w:fill="auto"/>
          </w:tcPr>
          <w:p w14:paraId="5C7C799E" w14:textId="77777777" w:rsidR="0008009C" w:rsidRDefault="0008009C">
            <w:pPr>
              <w:rPr>
                <w:rFonts w:ascii="宋体"/>
                <w:vanish/>
              </w:rPr>
            </w:pPr>
          </w:p>
        </w:tc>
        <w:tc>
          <w:tcPr>
            <w:tcW w:w="0" w:type="auto"/>
            <w:gridSpan w:val="3"/>
            <w:shd w:val="clear" w:color="auto" w:fill="auto"/>
          </w:tcPr>
          <w:p w14:paraId="5C7C799F" w14:textId="77777777" w:rsidR="0008009C" w:rsidRDefault="0008009C">
            <w:pPr>
              <w:rPr>
                <w:rFonts w:ascii="宋体"/>
                <w:vanish/>
              </w:rPr>
            </w:pPr>
          </w:p>
        </w:tc>
        <w:tc>
          <w:tcPr>
            <w:tcW w:w="0" w:type="auto"/>
            <w:gridSpan w:val="3"/>
            <w:shd w:val="clear" w:color="auto" w:fill="auto"/>
          </w:tcPr>
          <w:p w14:paraId="5C7C79A0" w14:textId="77777777" w:rsidR="0008009C" w:rsidRDefault="0008009C">
            <w:pPr>
              <w:rPr>
                <w:rFonts w:ascii="宋体"/>
                <w:vanish/>
              </w:rPr>
            </w:pPr>
          </w:p>
        </w:tc>
      </w:tr>
    </w:tbl>
    <w:p w14:paraId="5C7C79A2" w14:textId="77777777" w:rsidR="0008009C" w:rsidRDefault="0008009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08009C" w14:paraId="5C7C79AC" w14:textId="77777777">
        <w:tc>
          <w:tcPr>
            <w:tcW w:w="50" w:type="pct"/>
            <w:shd w:val="clear" w:color="auto" w:fill="auto"/>
            <w:vAlign w:val="bottom"/>
          </w:tcPr>
          <w:p w14:paraId="5C7C79A3" w14:textId="77777777" w:rsidR="0008009C" w:rsidRDefault="0008009C">
            <w:pPr>
              <w:rPr>
                <w:rFonts w:ascii="宋体"/>
              </w:rPr>
            </w:pPr>
          </w:p>
        </w:tc>
        <w:tc>
          <w:tcPr>
            <w:tcW w:w="212" w:type="pct"/>
            <w:shd w:val="clear" w:color="auto" w:fill="auto"/>
            <w:vAlign w:val="bottom"/>
          </w:tcPr>
          <w:p w14:paraId="5C7C79A4" w14:textId="77777777" w:rsidR="0008009C" w:rsidRDefault="0008009C">
            <w:pPr>
              <w:rPr>
                <w:rFonts w:ascii="宋体"/>
              </w:rPr>
            </w:pPr>
          </w:p>
        </w:tc>
        <w:tc>
          <w:tcPr>
            <w:tcW w:w="5" w:type="pct"/>
            <w:shd w:val="clear" w:color="auto" w:fill="auto"/>
            <w:vAlign w:val="bottom"/>
          </w:tcPr>
          <w:p w14:paraId="5C7C79A5" w14:textId="77777777" w:rsidR="0008009C" w:rsidRDefault="0008009C">
            <w:pPr>
              <w:rPr>
                <w:rFonts w:ascii="宋体"/>
              </w:rPr>
            </w:pPr>
          </w:p>
        </w:tc>
        <w:tc>
          <w:tcPr>
            <w:tcW w:w="50" w:type="pct"/>
            <w:shd w:val="clear" w:color="auto" w:fill="auto"/>
            <w:vAlign w:val="bottom"/>
          </w:tcPr>
          <w:p w14:paraId="5C7C79A6" w14:textId="77777777" w:rsidR="0008009C" w:rsidRDefault="0008009C">
            <w:pPr>
              <w:rPr>
                <w:rFonts w:ascii="宋体"/>
              </w:rPr>
            </w:pPr>
          </w:p>
        </w:tc>
        <w:tc>
          <w:tcPr>
            <w:tcW w:w="2499" w:type="pct"/>
            <w:shd w:val="clear" w:color="auto" w:fill="auto"/>
            <w:vAlign w:val="bottom"/>
          </w:tcPr>
          <w:p w14:paraId="5C7C79A7" w14:textId="77777777" w:rsidR="0008009C" w:rsidRDefault="0008009C">
            <w:pPr>
              <w:rPr>
                <w:rFonts w:ascii="宋体"/>
              </w:rPr>
            </w:pPr>
          </w:p>
        </w:tc>
        <w:tc>
          <w:tcPr>
            <w:tcW w:w="5" w:type="pct"/>
            <w:shd w:val="clear" w:color="auto" w:fill="auto"/>
            <w:vAlign w:val="bottom"/>
          </w:tcPr>
          <w:p w14:paraId="5C7C79A8" w14:textId="77777777" w:rsidR="0008009C" w:rsidRDefault="0008009C">
            <w:pPr>
              <w:rPr>
                <w:rFonts w:ascii="宋体"/>
              </w:rPr>
            </w:pPr>
          </w:p>
        </w:tc>
        <w:tc>
          <w:tcPr>
            <w:tcW w:w="50" w:type="pct"/>
            <w:shd w:val="clear" w:color="auto" w:fill="auto"/>
            <w:vAlign w:val="bottom"/>
          </w:tcPr>
          <w:p w14:paraId="5C7C79A9" w14:textId="77777777" w:rsidR="0008009C" w:rsidRDefault="0008009C">
            <w:pPr>
              <w:rPr>
                <w:rFonts w:ascii="宋体"/>
              </w:rPr>
            </w:pPr>
          </w:p>
        </w:tc>
        <w:tc>
          <w:tcPr>
            <w:tcW w:w="2122" w:type="pct"/>
            <w:shd w:val="clear" w:color="auto" w:fill="auto"/>
            <w:vAlign w:val="bottom"/>
          </w:tcPr>
          <w:p w14:paraId="5C7C79AA" w14:textId="77777777" w:rsidR="0008009C" w:rsidRDefault="0008009C">
            <w:pPr>
              <w:rPr>
                <w:rFonts w:ascii="宋体"/>
              </w:rPr>
            </w:pPr>
          </w:p>
        </w:tc>
        <w:tc>
          <w:tcPr>
            <w:tcW w:w="5" w:type="pct"/>
            <w:shd w:val="clear" w:color="auto" w:fill="auto"/>
            <w:vAlign w:val="bottom"/>
          </w:tcPr>
          <w:p w14:paraId="5C7C79AB" w14:textId="77777777" w:rsidR="0008009C" w:rsidRDefault="0008009C">
            <w:pPr>
              <w:rPr>
                <w:rFonts w:ascii="宋体"/>
              </w:rPr>
            </w:pPr>
          </w:p>
        </w:tc>
      </w:tr>
      <w:tr w:rsidR="0008009C" w14:paraId="5C7C79B0"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79AD"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75" wp14:editId="5C7C7D76">
                  <wp:extent cx="304800" cy="304800"/>
                  <wp:effectExtent l="0" t="0" r="0" b="0"/>
                  <wp:docPr id="42" name="图片 126"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6"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9AE" w14:textId="77777777" w:rsidR="0008009C" w:rsidRDefault="00936FDF">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9AF" w14:textId="77777777" w:rsidR="0008009C" w:rsidRDefault="00936FDF">
            <w:pPr>
              <w:jc w:val="right"/>
              <w:textAlignment w:val="center"/>
            </w:pPr>
            <w:r>
              <w:rPr>
                <w:rFonts w:ascii="Arial" w:eastAsia="宋体" w:hAnsi="Arial" w:cs="Arial"/>
                <w:color w:val="262626"/>
                <w:sz w:val="16"/>
                <w:szCs w:val="16"/>
              </w:rPr>
              <w:t>35</w:t>
            </w:r>
          </w:p>
        </w:tc>
      </w:tr>
    </w:tbl>
    <w:p w14:paraId="5C7C79B1" w14:textId="77777777" w:rsidR="0008009C" w:rsidRDefault="00936FDF">
      <w:r>
        <w:pict w14:anchorId="5C7C7D77">
          <v:rect id="_x0000_i1061" style="width:415.3pt;height:1.5pt" o:hralign="center" o:hrstd="t" o:hr="t" fillcolor="#a0a0a0" stroked="f"/>
        </w:pict>
      </w:r>
    </w:p>
    <w:p w14:paraId="5C7C79B2" w14:textId="77777777" w:rsidR="0008009C" w:rsidRDefault="00936FDF">
      <w:pPr>
        <w:spacing w:after="180"/>
        <w:jc w:val="right"/>
      </w:pPr>
      <w:hyperlink r:id="rId60" w:anchor="i3a00378f6cc84b1c9cfc83239548ad53_7" w:history="1">
        <w:r>
          <w:rPr>
            <w:rStyle w:val="a5"/>
            <w:rFonts w:ascii="Arial" w:eastAsia="宋体" w:hAnsi="Arial" w:cs="Arial"/>
            <w:b/>
            <w:bCs/>
            <w:sz w:val="16"/>
            <w:szCs w:val="16"/>
          </w:rPr>
          <w:t>Table of Contents</w:t>
        </w:r>
      </w:hyperlink>
    </w:p>
    <w:p w14:paraId="5C7C79B3" w14:textId="77777777" w:rsidR="0008009C" w:rsidRDefault="0008009C">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8009C" w14:paraId="5C7C79BA" w14:textId="77777777">
        <w:tc>
          <w:tcPr>
            <w:tcW w:w="50" w:type="pct"/>
            <w:shd w:val="clear" w:color="auto" w:fill="auto"/>
          </w:tcPr>
          <w:p w14:paraId="5C7C79B4" w14:textId="77777777" w:rsidR="0008009C" w:rsidRDefault="0008009C">
            <w:pPr>
              <w:rPr>
                <w:rFonts w:ascii="宋体"/>
              </w:rPr>
            </w:pPr>
          </w:p>
        </w:tc>
        <w:tc>
          <w:tcPr>
            <w:tcW w:w="4870" w:type="pct"/>
            <w:shd w:val="clear" w:color="auto" w:fill="auto"/>
          </w:tcPr>
          <w:p w14:paraId="5C7C79B5" w14:textId="77777777" w:rsidR="0008009C" w:rsidRDefault="0008009C">
            <w:pPr>
              <w:rPr>
                <w:rFonts w:ascii="宋体"/>
              </w:rPr>
            </w:pPr>
          </w:p>
        </w:tc>
        <w:tc>
          <w:tcPr>
            <w:tcW w:w="5" w:type="pct"/>
            <w:shd w:val="clear" w:color="auto" w:fill="auto"/>
          </w:tcPr>
          <w:p w14:paraId="5C7C79B6" w14:textId="77777777" w:rsidR="0008009C" w:rsidRDefault="0008009C">
            <w:pPr>
              <w:rPr>
                <w:rFonts w:ascii="宋体"/>
              </w:rPr>
            </w:pPr>
          </w:p>
        </w:tc>
        <w:tc>
          <w:tcPr>
            <w:tcW w:w="5" w:type="pct"/>
            <w:shd w:val="clear" w:color="auto" w:fill="auto"/>
          </w:tcPr>
          <w:p w14:paraId="5C7C79B7" w14:textId="77777777" w:rsidR="0008009C" w:rsidRDefault="0008009C">
            <w:pPr>
              <w:rPr>
                <w:rFonts w:ascii="宋体"/>
              </w:rPr>
            </w:pPr>
          </w:p>
        </w:tc>
        <w:tc>
          <w:tcPr>
            <w:tcW w:w="64" w:type="pct"/>
            <w:shd w:val="clear" w:color="auto" w:fill="auto"/>
          </w:tcPr>
          <w:p w14:paraId="5C7C79B8" w14:textId="77777777" w:rsidR="0008009C" w:rsidRDefault="0008009C">
            <w:pPr>
              <w:rPr>
                <w:rFonts w:ascii="宋体"/>
              </w:rPr>
            </w:pPr>
          </w:p>
        </w:tc>
        <w:tc>
          <w:tcPr>
            <w:tcW w:w="5" w:type="pct"/>
            <w:shd w:val="clear" w:color="auto" w:fill="auto"/>
          </w:tcPr>
          <w:p w14:paraId="5C7C79B9" w14:textId="77777777" w:rsidR="0008009C" w:rsidRDefault="0008009C">
            <w:pPr>
              <w:rPr>
                <w:rFonts w:ascii="宋体"/>
              </w:rPr>
            </w:pPr>
          </w:p>
        </w:tc>
      </w:tr>
      <w:tr w:rsidR="0008009C" w14:paraId="5C7C79BD" w14:textId="77777777">
        <w:tc>
          <w:tcPr>
            <w:tcW w:w="0" w:type="auto"/>
            <w:gridSpan w:val="3"/>
            <w:shd w:val="clear" w:color="auto" w:fill="004A86"/>
            <w:tcMar>
              <w:top w:w="40" w:type="dxa"/>
              <w:left w:w="20" w:type="dxa"/>
              <w:bottom w:w="40" w:type="dxa"/>
              <w:right w:w="20" w:type="dxa"/>
            </w:tcMar>
            <w:vAlign w:val="center"/>
          </w:tcPr>
          <w:p w14:paraId="5C7C79BB" w14:textId="77777777" w:rsidR="0008009C" w:rsidRDefault="00936FDF">
            <w:pPr>
              <w:textAlignment w:val="center"/>
            </w:pPr>
            <w:r>
              <w:rPr>
                <w:rFonts w:ascii="Arial" w:eastAsia="宋体" w:hAnsi="Arial" w:cs="Arial"/>
                <w:color w:val="FFFFFF"/>
                <w:sz w:val="36"/>
                <w:szCs w:val="36"/>
              </w:rPr>
              <w:t>Other Key Information</w:t>
            </w:r>
          </w:p>
        </w:tc>
        <w:tc>
          <w:tcPr>
            <w:tcW w:w="0" w:type="auto"/>
            <w:gridSpan w:val="3"/>
            <w:shd w:val="clear" w:color="auto" w:fill="auto"/>
            <w:tcMar>
              <w:top w:w="0" w:type="dxa"/>
              <w:left w:w="20" w:type="dxa"/>
              <w:bottom w:w="0" w:type="dxa"/>
              <w:right w:w="20" w:type="dxa"/>
            </w:tcMar>
          </w:tcPr>
          <w:p w14:paraId="5C7C79BC" w14:textId="77777777" w:rsidR="0008009C" w:rsidRDefault="0008009C">
            <w:pPr>
              <w:rPr>
                <w:rFonts w:ascii="宋体"/>
              </w:rPr>
            </w:pPr>
          </w:p>
        </w:tc>
      </w:tr>
      <w:tr w:rsidR="0008009C" w14:paraId="5C7C79C0" w14:textId="77777777">
        <w:trPr>
          <w:trHeight w:val="160"/>
        </w:trPr>
        <w:tc>
          <w:tcPr>
            <w:tcW w:w="0" w:type="auto"/>
            <w:gridSpan w:val="3"/>
            <w:shd w:val="clear" w:color="auto" w:fill="auto"/>
            <w:tcMar>
              <w:top w:w="0" w:type="dxa"/>
              <w:left w:w="20" w:type="dxa"/>
              <w:bottom w:w="0" w:type="dxa"/>
              <w:right w:w="20" w:type="dxa"/>
            </w:tcMar>
          </w:tcPr>
          <w:p w14:paraId="5C7C79BE" w14:textId="77777777" w:rsidR="0008009C" w:rsidRDefault="0008009C">
            <w:pPr>
              <w:rPr>
                <w:rFonts w:ascii="宋体"/>
              </w:rPr>
            </w:pPr>
          </w:p>
        </w:tc>
        <w:tc>
          <w:tcPr>
            <w:tcW w:w="0" w:type="auto"/>
            <w:gridSpan w:val="3"/>
            <w:shd w:val="clear" w:color="auto" w:fill="00A3F6"/>
            <w:tcMar>
              <w:top w:w="0" w:type="dxa"/>
              <w:left w:w="20" w:type="dxa"/>
              <w:bottom w:w="0" w:type="dxa"/>
              <w:right w:w="20" w:type="dxa"/>
            </w:tcMar>
          </w:tcPr>
          <w:p w14:paraId="5C7C79BF" w14:textId="77777777" w:rsidR="0008009C" w:rsidRDefault="0008009C">
            <w:pPr>
              <w:rPr>
                <w:rFonts w:ascii="宋体"/>
              </w:rPr>
            </w:pPr>
          </w:p>
        </w:tc>
      </w:tr>
    </w:tbl>
    <w:p w14:paraId="5C7C79C1" w14:textId="77777777" w:rsidR="0008009C" w:rsidRDefault="00936FDF">
      <w:pPr>
        <w:spacing w:before="300" w:after="180"/>
      </w:pPr>
      <w:r>
        <w:rPr>
          <w:rFonts w:ascii="Arial" w:eastAsia="宋体" w:hAnsi="Arial" w:cs="Arial"/>
          <w:color w:val="0068B5"/>
          <w:sz w:val="28"/>
          <w:szCs w:val="28"/>
        </w:rPr>
        <w:t xml:space="preserve">Quantitative and Qualitative </w:t>
      </w:r>
      <w:r>
        <w:rPr>
          <w:rFonts w:ascii="Arial" w:eastAsia="宋体" w:hAnsi="Arial" w:cs="Arial"/>
          <w:color w:val="0068B5"/>
          <w:sz w:val="28"/>
          <w:szCs w:val="28"/>
        </w:rPr>
        <w:t>Disclosures About Market Risk</w:t>
      </w:r>
    </w:p>
    <w:p w14:paraId="5C7C79C2" w14:textId="77777777" w:rsidR="0008009C" w:rsidRDefault="00936FDF">
      <w:pPr>
        <w:spacing w:after="180"/>
      </w:pPr>
      <w:r>
        <w:rPr>
          <w:rFonts w:ascii="Arial" w:eastAsia="宋体" w:hAnsi="Arial" w:cs="Arial"/>
          <w:color w:val="262626"/>
          <w:sz w:val="18"/>
          <w:szCs w:val="18"/>
        </w:rPr>
        <w:t>We are affected by changes in currency exchange and interest rates, as well as equity and commodity prices. Our risk management programs are designed to reduce, but may not entirely eliminate, the impacts of these risks. For d</w:t>
      </w:r>
      <w:r>
        <w:rPr>
          <w:rFonts w:ascii="Arial" w:eastAsia="宋体" w:hAnsi="Arial" w:cs="Arial"/>
          <w:color w:val="262626"/>
          <w:sz w:val="18"/>
          <w:szCs w:val="18"/>
        </w:rPr>
        <w:t>iscussion about market risk and sensitivity analysis related to changes in currency exchange rates, interest rates, equity prices, and commodity prices refer to "Quantitative and Qualitative Disclosures About Market Risk" within MD&amp;A in our 2020 Form 10-K.</w:t>
      </w:r>
    </w:p>
    <w:p w14:paraId="5C7C79C3" w14:textId="77777777" w:rsidR="0008009C" w:rsidRDefault="00936FDF">
      <w:pPr>
        <w:spacing w:before="300" w:after="180"/>
      </w:pPr>
      <w:r>
        <w:rPr>
          <w:rFonts w:ascii="Arial" w:eastAsia="宋体" w:hAnsi="Arial" w:cs="Arial"/>
          <w:color w:val="0068B5"/>
          <w:sz w:val="28"/>
          <w:szCs w:val="28"/>
        </w:rPr>
        <w:t>Risk Factors</w:t>
      </w:r>
    </w:p>
    <w:p w14:paraId="5C7C79C4" w14:textId="77777777" w:rsidR="0008009C" w:rsidRDefault="00936FDF">
      <w:pPr>
        <w:spacing w:after="180"/>
      </w:pPr>
      <w:r>
        <w:rPr>
          <w:rFonts w:ascii="Arial" w:eastAsia="宋体" w:hAnsi="Arial" w:cs="Arial"/>
          <w:color w:val="262626"/>
          <w:sz w:val="18"/>
          <w:szCs w:val="18"/>
        </w:rPr>
        <w:t>The risks described in "Risk Factors" within Other Key Information in our 2020 Form 10-K could materially and adversely affect our business, financial condition, and results of operations, and the trading price of our common stock could decli</w:t>
      </w:r>
      <w:r>
        <w:rPr>
          <w:rFonts w:ascii="Arial" w:eastAsia="宋体" w:hAnsi="Arial" w:cs="Arial"/>
          <w:color w:val="262626"/>
          <w:sz w:val="18"/>
          <w:szCs w:val="18"/>
        </w:rPr>
        <w:t>ne. These risk factors do not identify all risks that we face—our operations could also be affected by factors that are not presently known to us or that we currently consider to be immaterial to our operations. Due to risks and uncertainties, known and un</w:t>
      </w:r>
      <w:r>
        <w:rPr>
          <w:rFonts w:ascii="Arial" w:eastAsia="宋体" w:hAnsi="Arial" w:cs="Arial"/>
          <w:color w:val="262626"/>
          <w:sz w:val="18"/>
          <w:szCs w:val="18"/>
        </w:rPr>
        <w:t>known, our past financial results may not be a reliable indicator of future performance and historical trends should not be used to anticipate results or trends in future periods. Refer also to the other information set forth in this Quarterly Report on Fo</w:t>
      </w:r>
      <w:r>
        <w:rPr>
          <w:rFonts w:ascii="Arial" w:eastAsia="宋体" w:hAnsi="Arial" w:cs="Arial"/>
          <w:color w:val="262626"/>
          <w:sz w:val="18"/>
          <w:szCs w:val="18"/>
        </w:rPr>
        <w:t>rm 10-Q, including in the Forward-Looking Statements, MD&amp;A, and Consolidated Condensed Financial Statements and Supplemental Details sections.</w:t>
      </w:r>
    </w:p>
    <w:p w14:paraId="5C7C79C5" w14:textId="77777777" w:rsidR="0008009C" w:rsidRDefault="00936FDF">
      <w:pPr>
        <w:spacing w:before="300" w:after="180"/>
      </w:pPr>
      <w:r>
        <w:rPr>
          <w:rFonts w:ascii="Arial" w:eastAsia="宋体" w:hAnsi="Arial" w:cs="Arial"/>
          <w:color w:val="0068B5"/>
          <w:sz w:val="28"/>
          <w:szCs w:val="28"/>
        </w:rPr>
        <w:t>Controls and Procedures</w:t>
      </w:r>
    </w:p>
    <w:p w14:paraId="5C7C79C6" w14:textId="77777777" w:rsidR="0008009C" w:rsidRDefault="00936FDF">
      <w:pPr>
        <w:spacing w:after="120"/>
      </w:pPr>
      <w:r>
        <w:rPr>
          <w:rFonts w:ascii="Arial" w:eastAsia="宋体" w:hAnsi="Arial" w:cs="Arial"/>
          <w:color w:val="0068B5"/>
          <w:sz w:val="20"/>
          <w:szCs w:val="20"/>
        </w:rPr>
        <w:t>Inherent Limitations on Effectiveness of Controls</w:t>
      </w:r>
    </w:p>
    <w:p w14:paraId="5C7C79C7" w14:textId="77777777" w:rsidR="0008009C" w:rsidRDefault="00936FDF">
      <w:pPr>
        <w:spacing w:after="180"/>
      </w:pPr>
      <w:r>
        <w:rPr>
          <w:rFonts w:ascii="Arial" w:eastAsia="宋体" w:hAnsi="Arial" w:cs="Arial"/>
          <w:color w:val="262626"/>
          <w:sz w:val="18"/>
          <w:szCs w:val="18"/>
        </w:rPr>
        <w:t>Our management, including the principal</w:t>
      </w:r>
      <w:r>
        <w:rPr>
          <w:rFonts w:ascii="Arial" w:eastAsia="宋体" w:hAnsi="Arial" w:cs="Arial"/>
          <w:color w:val="262626"/>
          <w:sz w:val="18"/>
          <w:szCs w:val="18"/>
        </w:rPr>
        <w:t xml:space="preserve"> executive officer and principal financial officer, does not expect that our disclosure controls and procedures or our internal control over financial reporting will prevent or detect all errors and all fraud. A control system, no matter how well-designed </w:t>
      </w:r>
      <w:r>
        <w:rPr>
          <w:rFonts w:ascii="Arial" w:eastAsia="宋体" w:hAnsi="Arial" w:cs="Arial"/>
          <w:color w:val="262626"/>
          <w:sz w:val="18"/>
          <w:szCs w:val="18"/>
        </w:rPr>
        <w:t>and operated, can provide only reasonable, not absolute, assurance that the control system’s objectives will be met. The design of a control system must reflect the fact that there are resource constraints, and the benefits of controls must be considered r</w:t>
      </w:r>
      <w:r>
        <w:rPr>
          <w:rFonts w:ascii="Arial" w:eastAsia="宋体" w:hAnsi="Arial" w:cs="Arial"/>
          <w:color w:val="262626"/>
          <w:sz w:val="18"/>
          <w:szCs w:val="18"/>
        </w:rPr>
        <w:t>elative to their costs. Further, because of the inherent limitations in all control systems, no evaluation of controls can provide absolute assurance that misstatements due to error or fraud will not occur or that all control issues and instances of fraud,</w:t>
      </w:r>
      <w:r>
        <w:rPr>
          <w:rFonts w:ascii="Arial" w:eastAsia="宋体" w:hAnsi="Arial" w:cs="Arial"/>
          <w:color w:val="262626"/>
          <w:sz w:val="18"/>
          <w:szCs w:val="18"/>
        </w:rPr>
        <w:t xml:space="preserve"> if any, have been detected.</w:t>
      </w:r>
    </w:p>
    <w:p w14:paraId="5C7C79C8" w14:textId="77777777" w:rsidR="0008009C" w:rsidRDefault="00936FDF">
      <w:pPr>
        <w:spacing w:after="120"/>
      </w:pPr>
      <w:r>
        <w:rPr>
          <w:rFonts w:ascii="Arial" w:eastAsia="宋体" w:hAnsi="Arial" w:cs="Arial"/>
          <w:color w:val="0068B5"/>
          <w:sz w:val="20"/>
          <w:szCs w:val="20"/>
        </w:rPr>
        <w:t>Evaluation of Disclosure Controls and Procedures</w:t>
      </w:r>
    </w:p>
    <w:p w14:paraId="5C7C79C9" w14:textId="77777777" w:rsidR="0008009C" w:rsidRDefault="00936FDF">
      <w:pPr>
        <w:spacing w:after="180"/>
      </w:pPr>
      <w:r>
        <w:rPr>
          <w:rFonts w:ascii="Arial" w:eastAsia="宋体" w:hAnsi="Arial" w:cs="Arial"/>
          <w:color w:val="262626"/>
          <w:sz w:val="18"/>
          <w:szCs w:val="18"/>
        </w:rPr>
        <w:t xml:space="preserve">Based on management’s evaluation (with the participation of our principal executive officer and principal financial officer), as of the end of the period covered by this report, </w:t>
      </w:r>
      <w:r>
        <w:rPr>
          <w:rFonts w:ascii="Arial" w:eastAsia="宋体" w:hAnsi="Arial" w:cs="Arial"/>
          <w:color w:val="262626"/>
          <w:sz w:val="18"/>
          <w:szCs w:val="18"/>
        </w:rPr>
        <w:t>our principal executive officer and principal financial officer have concluded that our disclosure controls and procedures (as defined in Rules 13a-15(e) and 15d-15(e) under the Securities Exchange Act of 1934, as amended (the Exchange Act)), are effective</w:t>
      </w:r>
      <w:r>
        <w:rPr>
          <w:rFonts w:ascii="Arial" w:eastAsia="宋体" w:hAnsi="Arial" w:cs="Arial"/>
          <w:color w:val="262626"/>
          <w:sz w:val="18"/>
          <w:szCs w:val="18"/>
        </w:rPr>
        <w:t xml:space="preserve"> to provide reasonable assurance that information required to be disclosed by us in reports that we file or submit under the Exchange Act is recorded, processed, summarized, and reported within the time periods specified in SEC rules and forms, and is accu</w:t>
      </w:r>
      <w:r>
        <w:rPr>
          <w:rFonts w:ascii="Arial" w:eastAsia="宋体" w:hAnsi="Arial" w:cs="Arial"/>
          <w:color w:val="262626"/>
          <w:sz w:val="18"/>
          <w:szCs w:val="18"/>
        </w:rPr>
        <w:t>mulated and communicated to management, including our principal executive officer and principal financial officer, as appropriate, to allow timely decisions regarding required disclosure.</w:t>
      </w:r>
    </w:p>
    <w:p w14:paraId="5C7C79CA" w14:textId="77777777" w:rsidR="0008009C" w:rsidRDefault="00936FDF">
      <w:pPr>
        <w:spacing w:after="120"/>
      </w:pPr>
      <w:r>
        <w:rPr>
          <w:rFonts w:ascii="Arial" w:eastAsia="宋体" w:hAnsi="Arial" w:cs="Arial"/>
          <w:color w:val="0068B5"/>
          <w:sz w:val="20"/>
          <w:szCs w:val="20"/>
        </w:rPr>
        <w:t>Changes in Internal Control Over Financial Reporting</w:t>
      </w:r>
    </w:p>
    <w:p w14:paraId="5C7C79CB" w14:textId="77777777" w:rsidR="0008009C" w:rsidRDefault="00936FDF">
      <w:pPr>
        <w:spacing w:after="180"/>
      </w:pPr>
      <w:r>
        <w:rPr>
          <w:rFonts w:ascii="Arial" w:eastAsia="宋体" w:hAnsi="Arial" w:cs="Arial"/>
          <w:color w:val="262626"/>
          <w:sz w:val="18"/>
          <w:szCs w:val="18"/>
        </w:rPr>
        <w:t>There were no c</w:t>
      </w:r>
      <w:r>
        <w:rPr>
          <w:rFonts w:ascii="Arial" w:eastAsia="宋体" w:hAnsi="Arial" w:cs="Arial"/>
          <w:color w:val="262626"/>
          <w:sz w:val="18"/>
          <w:szCs w:val="18"/>
        </w:rPr>
        <w:t>hanges to our internal control over financial reporting (as defined in Rules 13a-15(f) and 15d-15(f) under the Exchange Act) that occurred during the quarter ended March 27, 2021 that have materially affected, or are reasonably likely to materially affect,</w:t>
      </w:r>
      <w:r>
        <w:rPr>
          <w:rFonts w:ascii="Arial" w:eastAsia="宋体" w:hAnsi="Arial" w:cs="Arial"/>
          <w:color w:val="262626"/>
          <w:sz w:val="18"/>
          <w:szCs w:val="18"/>
        </w:rPr>
        <w:t xml:space="preserve"> our internal control over financial reporting.</w:t>
      </w: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08009C" w14:paraId="5C7C79D5" w14:textId="77777777">
        <w:tc>
          <w:tcPr>
            <w:tcW w:w="50" w:type="pct"/>
            <w:shd w:val="clear" w:color="auto" w:fill="auto"/>
            <w:vAlign w:val="bottom"/>
          </w:tcPr>
          <w:p w14:paraId="5C7C79CC" w14:textId="77777777" w:rsidR="0008009C" w:rsidRDefault="0008009C">
            <w:pPr>
              <w:rPr>
                <w:rFonts w:ascii="宋体"/>
              </w:rPr>
            </w:pPr>
          </w:p>
        </w:tc>
        <w:tc>
          <w:tcPr>
            <w:tcW w:w="212" w:type="pct"/>
            <w:shd w:val="clear" w:color="auto" w:fill="auto"/>
            <w:vAlign w:val="bottom"/>
          </w:tcPr>
          <w:p w14:paraId="5C7C79CD" w14:textId="77777777" w:rsidR="0008009C" w:rsidRDefault="0008009C">
            <w:pPr>
              <w:rPr>
                <w:rFonts w:ascii="宋体"/>
              </w:rPr>
            </w:pPr>
          </w:p>
        </w:tc>
        <w:tc>
          <w:tcPr>
            <w:tcW w:w="5" w:type="pct"/>
            <w:shd w:val="clear" w:color="auto" w:fill="auto"/>
            <w:vAlign w:val="bottom"/>
          </w:tcPr>
          <w:p w14:paraId="5C7C79CE" w14:textId="77777777" w:rsidR="0008009C" w:rsidRDefault="0008009C">
            <w:pPr>
              <w:rPr>
                <w:rFonts w:ascii="宋体"/>
              </w:rPr>
            </w:pPr>
          </w:p>
        </w:tc>
        <w:tc>
          <w:tcPr>
            <w:tcW w:w="50" w:type="pct"/>
            <w:shd w:val="clear" w:color="auto" w:fill="auto"/>
            <w:vAlign w:val="bottom"/>
          </w:tcPr>
          <w:p w14:paraId="5C7C79CF" w14:textId="77777777" w:rsidR="0008009C" w:rsidRDefault="0008009C">
            <w:pPr>
              <w:rPr>
                <w:rFonts w:ascii="宋体"/>
              </w:rPr>
            </w:pPr>
          </w:p>
        </w:tc>
        <w:tc>
          <w:tcPr>
            <w:tcW w:w="2492" w:type="pct"/>
            <w:shd w:val="clear" w:color="auto" w:fill="auto"/>
            <w:vAlign w:val="bottom"/>
          </w:tcPr>
          <w:p w14:paraId="5C7C79D0" w14:textId="77777777" w:rsidR="0008009C" w:rsidRDefault="0008009C">
            <w:pPr>
              <w:rPr>
                <w:rFonts w:ascii="宋体"/>
              </w:rPr>
            </w:pPr>
          </w:p>
        </w:tc>
        <w:tc>
          <w:tcPr>
            <w:tcW w:w="5" w:type="pct"/>
            <w:shd w:val="clear" w:color="auto" w:fill="auto"/>
            <w:vAlign w:val="bottom"/>
          </w:tcPr>
          <w:p w14:paraId="5C7C79D1" w14:textId="77777777" w:rsidR="0008009C" w:rsidRDefault="0008009C">
            <w:pPr>
              <w:rPr>
                <w:rFonts w:ascii="宋体"/>
              </w:rPr>
            </w:pPr>
          </w:p>
        </w:tc>
        <w:tc>
          <w:tcPr>
            <w:tcW w:w="50" w:type="pct"/>
            <w:shd w:val="clear" w:color="auto" w:fill="auto"/>
            <w:vAlign w:val="bottom"/>
          </w:tcPr>
          <w:p w14:paraId="5C7C79D2" w14:textId="77777777" w:rsidR="0008009C" w:rsidRDefault="0008009C">
            <w:pPr>
              <w:rPr>
                <w:rFonts w:ascii="宋体"/>
              </w:rPr>
            </w:pPr>
          </w:p>
        </w:tc>
        <w:tc>
          <w:tcPr>
            <w:tcW w:w="2130" w:type="pct"/>
            <w:shd w:val="clear" w:color="auto" w:fill="auto"/>
            <w:vAlign w:val="bottom"/>
          </w:tcPr>
          <w:p w14:paraId="5C7C79D3" w14:textId="77777777" w:rsidR="0008009C" w:rsidRDefault="0008009C">
            <w:pPr>
              <w:rPr>
                <w:rFonts w:ascii="宋体"/>
              </w:rPr>
            </w:pPr>
          </w:p>
        </w:tc>
        <w:tc>
          <w:tcPr>
            <w:tcW w:w="5" w:type="pct"/>
            <w:shd w:val="clear" w:color="auto" w:fill="auto"/>
            <w:vAlign w:val="bottom"/>
          </w:tcPr>
          <w:p w14:paraId="5C7C79D4" w14:textId="77777777" w:rsidR="0008009C" w:rsidRDefault="0008009C">
            <w:pPr>
              <w:rPr>
                <w:rFonts w:ascii="宋体"/>
              </w:rPr>
            </w:pPr>
          </w:p>
        </w:tc>
      </w:tr>
      <w:tr w:rsidR="0008009C" w14:paraId="5C7C79D9"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79D6"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78" wp14:editId="5C7C7D79">
                  <wp:extent cx="304800" cy="304800"/>
                  <wp:effectExtent l="0" t="0" r="0" b="0"/>
                  <wp:docPr id="50" name="图片 128"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8"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9D7" w14:textId="77777777" w:rsidR="0008009C" w:rsidRDefault="00936FDF">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9D8" w14:textId="77777777" w:rsidR="0008009C" w:rsidRDefault="00936FDF">
            <w:pPr>
              <w:jc w:val="right"/>
              <w:textAlignment w:val="center"/>
            </w:pPr>
            <w:r>
              <w:rPr>
                <w:rFonts w:ascii="Arial" w:eastAsia="宋体" w:hAnsi="Arial" w:cs="Arial"/>
                <w:color w:val="262626"/>
                <w:sz w:val="16"/>
                <w:szCs w:val="16"/>
              </w:rPr>
              <w:t>36</w:t>
            </w:r>
          </w:p>
        </w:tc>
      </w:tr>
    </w:tbl>
    <w:p w14:paraId="5C7C79DA" w14:textId="77777777" w:rsidR="0008009C" w:rsidRDefault="00936FDF">
      <w:r>
        <w:pict w14:anchorId="5C7C7D7A">
          <v:rect id="_x0000_i1062" style="width:415.3pt;height:1.5pt" o:hralign="center" o:hrstd="t" o:hr="t" fillcolor="#a0a0a0" stroked="f"/>
        </w:pict>
      </w:r>
    </w:p>
    <w:p w14:paraId="5C7C79DB" w14:textId="77777777" w:rsidR="0008009C" w:rsidRDefault="00936FDF">
      <w:pPr>
        <w:spacing w:after="180"/>
        <w:jc w:val="right"/>
      </w:pPr>
      <w:hyperlink r:id="rId61" w:anchor="i3a00378f6cc84b1c9cfc83239548ad53_7" w:history="1">
        <w:r>
          <w:rPr>
            <w:rStyle w:val="a5"/>
            <w:rFonts w:ascii="Arial" w:eastAsia="宋体" w:hAnsi="Arial" w:cs="Arial"/>
            <w:b/>
            <w:bCs/>
            <w:sz w:val="16"/>
            <w:szCs w:val="16"/>
          </w:rPr>
          <w:t>Table of Contents</w:t>
        </w:r>
      </w:hyperlink>
    </w:p>
    <w:p w14:paraId="5C7C79DC" w14:textId="77777777" w:rsidR="0008009C" w:rsidRDefault="0008009C">
      <w:pPr>
        <w:spacing w:after="180"/>
        <w:jc w:val="right"/>
      </w:pPr>
    </w:p>
    <w:p w14:paraId="5C7C79DD" w14:textId="77777777" w:rsidR="0008009C" w:rsidRDefault="00936FDF">
      <w:pPr>
        <w:spacing w:before="300" w:after="180"/>
      </w:pPr>
      <w:r>
        <w:rPr>
          <w:rFonts w:ascii="Arial" w:eastAsia="宋体" w:hAnsi="Arial" w:cs="Arial"/>
          <w:color w:val="0068B5"/>
          <w:sz w:val="28"/>
          <w:szCs w:val="28"/>
        </w:rPr>
        <w:t>Issuer Purchases of Equity Securities</w:t>
      </w:r>
    </w:p>
    <w:p w14:paraId="5C7C79DE" w14:textId="77777777" w:rsidR="0008009C" w:rsidRDefault="00936FDF">
      <w:pPr>
        <w:spacing w:after="60"/>
      </w:pPr>
      <w:r>
        <w:rPr>
          <w:rFonts w:ascii="Arial" w:eastAsia="宋体" w:hAnsi="Arial" w:cs="Arial"/>
          <w:color w:val="262626"/>
          <w:sz w:val="18"/>
          <w:szCs w:val="18"/>
        </w:rPr>
        <w:t xml:space="preserve">We have an ongoing </w:t>
      </w:r>
      <w:r>
        <w:rPr>
          <w:rFonts w:ascii="Arial" w:eastAsia="宋体" w:hAnsi="Arial" w:cs="Arial"/>
          <w:color w:val="262626"/>
          <w:sz w:val="18"/>
          <w:szCs w:val="18"/>
        </w:rPr>
        <w:t xml:space="preserve">authorization, originally approved by our Board of Directors in 2005 and subsequently amended, to repurchase shares of our common stock in open market or negotiated transactions. As of March 27, 2021, we were authorized to repurchase up to $110.0 billion, </w:t>
      </w:r>
      <w:r>
        <w:rPr>
          <w:rFonts w:ascii="Arial" w:eastAsia="宋体" w:hAnsi="Arial" w:cs="Arial"/>
          <w:color w:val="262626"/>
          <w:sz w:val="18"/>
          <w:szCs w:val="18"/>
        </w:rPr>
        <w:t>of which $7.2 billion remained available. Common stock repurchase activity under our publicly announced stock repurchase program during the first three months of 2021 was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709"/>
        <w:gridCol w:w="36"/>
        <w:gridCol w:w="36"/>
        <w:gridCol w:w="36"/>
        <w:gridCol w:w="36"/>
        <w:gridCol w:w="76"/>
        <w:gridCol w:w="1118"/>
        <w:gridCol w:w="36"/>
        <w:gridCol w:w="36"/>
        <w:gridCol w:w="36"/>
        <w:gridCol w:w="36"/>
        <w:gridCol w:w="122"/>
        <w:gridCol w:w="1220"/>
        <w:gridCol w:w="36"/>
        <w:gridCol w:w="36"/>
        <w:gridCol w:w="36"/>
        <w:gridCol w:w="36"/>
        <w:gridCol w:w="122"/>
        <w:gridCol w:w="1463"/>
        <w:gridCol w:w="36"/>
      </w:tblGrid>
      <w:tr w:rsidR="0008009C" w14:paraId="5C7C79F4" w14:textId="77777777">
        <w:tc>
          <w:tcPr>
            <w:tcW w:w="50" w:type="pct"/>
            <w:shd w:val="clear" w:color="auto" w:fill="auto"/>
          </w:tcPr>
          <w:p w14:paraId="5C7C79DF" w14:textId="77777777" w:rsidR="0008009C" w:rsidRDefault="0008009C">
            <w:pPr>
              <w:rPr>
                <w:rFonts w:ascii="宋体"/>
              </w:rPr>
            </w:pPr>
          </w:p>
        </w:tc>
        <w:tc>
          <w:tcPr>
            <w:tcW w:w="2445" w:type="pct"/>
            <w:shd w:val="clear" w:color="auto" w:fill="auto"/>
          </w:tcPr>
          <w:p w14:paraId="5C7C79E0" w14:textId="77777777" w:rsidR="0008009C" w:rsidRDefault="0008009C">
            <w:pPr>
              <w:rPr>
                <w:rFonts w:ascii="宋体"/>
              </w:rPr>
            </w:pPr>
          </w:p>
        </w:tc>
        <w:tc>
          <w:tcPr>
            <w:tcW w:w="5" w:type="pct"/>
            <w:shd w:val="clear" w:color="auto" w:fill="auto"/>
          </w:tcPr>
          <w:p w14:paraId="5C7C79E1" w14:textId="77777777" w:rsidR="0008009C" w:rsidRDefault="0008009C">
            <w:pPr>
              <w:rPr>
                <w:rFonts w:ascii="宋体"/>
              </w:rPr>
            </w:pPr>
          </w:p>
        </w:tc>
        <w:tc>
          <w:tcPr>
            <w:tcW w:w="5" w:type="pct"/>
            <w:shd w:val="clear" w:color="auto" w:fill="auto"/>
          </w:tcPr>
          <w:p w14:paraId="5C7C79E2" w14:textId="77777777" w:rsidR="0008009C" w:rsidRDefault="0008009C">
            <w:pPr>
              <w:rPr>
                <w:rFonts w:ascii="宋体"/>
              </w:rPr>
            </w:pPr>
          </w:p>
        </w:tc>
        <w:tc>
          <w:tcPr>
            <w:tcW w:w="24" w:type="pct"/>
            <w:shd w:val="clear" w:color="auto" w:fill="auto"/>
          </w:tcPr>
          <w:p w14:paraId="5C7C79E3" w14:textId="77777777" w:rsidR="0008009C" w:rsidRDefault="0008009C">
            <w:pPr>
              <w:rPr>
                <w:rFonts w:ascii="宋体"/>
              </w:rPr>
            </w:pPr>
          </w:p>
        </w:tc>
        <w:tc>
          <w:tcPr>
            <w:tcW w:w="5" w:type="pct"/>
            <w:shd w:val="clear" w:color="auto" w:fill="auto"/>
          </w:tcPr>
          <w:p w14:paraId="5C7C79E4" w14:textId="77777777" w:rsidR="0008009C" w:rsidRDefault="0008009C">
            <w:pPr>
              <w:rPr>
                <w:rFonts w:ascii="宋体"/>
              </w:rPr>
            </w:pPr>
          </w:p>
        </w:tc>
        <w:tc>
          <w:tcPr>
            <w:tcW w:w="50" w:type="pct"/>
            <w:shd w:val="clear" w:color="auto" w:fill="auto"/>
          </w:tcPr>
          <w:p w14:paraId="5C7C79E5" w14:textId="77777777" w:rsidR="0008009C" w:rsidRDefault="0008009C">
            <w:pPr>
              <w:rPr>
                <w:rFonts w:ascii="宋体"/>
              </w:rPr>
            </w:pPr>
          </w:p>
        </w:tc>
        <w:tc>
          <w:tcPr>
            <w:tcW w:w="744" w:type="pct"/>
            <w:shd w:val="clear" w:color="auto" w:fill="auto"/>
          </w:tcPr>
          <w:p w14:paraId="5C7C79E6" w14:textId="77777777" w:rsidR="0008009C" w:rsidRDefault="0008009C">
            <w:pPr>
              <w:rPr>
                <w:rFonts w:ascii="宋体"/>
              </w:rPr>
            </w:pPr>
          </w:p>
        </w:tc>
        <w:tc>
          <w:tcPr>
            <w:tcW w:w="5" w:type="pct"/>
            <w:shd w:val="clear" w:color="auto" w:fill="auto"/>
          </w:tcPr>
          <w:p w14:paraId="5C7C79E7" w14:textId="77777777" w:rsidR="0008009C" w:rsidRDefault="0008009C">
            <w:pPr>
              <w:rPr>
                <w:rFonts w:ascii="宋体"/>
              </w:rPr>
            </w:pPr>
          </w:p>
        </w:tc>
        <w:tc>
          <w:tcPr>
            <w:tcW w:w="5" w:type="pct"/>
            <w:shd w:val="clear" w:color="auto" w:fill="auto"/>
          </w:tcPr>
          <w:p w14:paraId="5C7C79E8" w14:textId="77777777" w:rsidR="0008009C" w:rsidRDefault="0008009C">
            <w:pPr>
              <w:rPr>
                <w:rFonts w:ascii="宋体"/>
              </w:rPr>
            </w:pPr>
          </w:p>
        </w:tc>
        <w:tc>
          <w:tcPr>
            <w:tcW w:w="24" w:type="pct"/>
            <w:shd w:val="clear" w:color="auto" w:fill="auto"/>
          </w:tcPr>
          <w:p w14:paraId="5C7C79E9" w14:textId="77777777" w:rsidR="0008009C" w:rsidRDefault="0008009C">
            <w:pPr>
              <w:rPr>
                <w:rFonts w:ascii="宋体"/>
              </w:rPr>
            </w:pPr>
          </w:p>
        </w:tc>
        <w:tc>
          <w:tcPr>
            <w:tcW w:w="5" w:type="pct"/>
            <w:shd w:val="clear" w:color="auto" w:fill="auto"/>
          </w:tcPr>
          <w:p w14:paraId="5C7C79EA" w14:textId="77777777" w:rsidR="0008009C" w:rsidRDefault="0008009C">
            <w:pPr>
              <w:rPr>
                <w:rFonts w:ascii="宋体"/>
              </w:rPr>
            </w:pPr>
          </w:p>
        </w:tc>
        <w:tc>
          <w:tcPr>
            <w:tcW w:w="50" w:type="pct"/>
            <w:shd w:val="clear" w:color="auto" w:fill="auto"/>
          </w:tcPr>
          <w:p w14:paraId="5C7C79EB" w14:textId="77777777" w:rsidR="0008009C" w:rsidRDefault="0008009C">
            <w:pPr>
              <w:rPr>
                <w:rFonts w:ascii="宋体"/>
              </w:rPr>
            </w:pPr>
          </w:p>
        </w:tc>
        <w:tc>
          <w:tcPr>
            <w:tcW w:w="744" w:type="pct"/>
            <w:shd w:val="clear" w:color="auto" w:fill="auto"/>
          </w:tcPr>
          <w:p w14:paraId="5C7C79EC" w14:textId="77777777" w:rsidR="0008009C" w:rsidRDefault="0008009C">
            <w:pPr>
              <w:rPr>
                <w:rFonts w:ascii="宋体"/>
              </w:rPr>
            </w:pPr>
          </w:p>
        </w:tc>
        <w:tc>
          <w:tcPr>
            <w:tcW w:w="5" w:type="pct"/>
            <w:shd w:val="clear" w:color="auto" w:fill="auto"/>
          </w:tcPr>
          <w:p w14:paraId="5C7C79ED" w14:textId="77777777" w:rsidR="0008009C" w:rsidRDefault="0008009C">
            <w:pPr>
              <w:rPr>
                <w:rFonts w:ascii="宋体"/>
              </w:rPr>
            </w:pPr>
          </w:p>
        </w:tc>
        <w:tc>
          <w:tcPr>
            <w:tcW w:w="5" w:type="pct"/>
            <w:shd w:val="clear" w:color="auto" w:fill="auto"/>
          </w:tcPr>
          <w:p w14:paraId="5C7C79EE" w14:textId="77777777" w:rsidR="0008009C" w:rsidRDefault="0008009C">
            <w:pPr>
              <w:rPr>
                <w:rFonts w:ascii="宋体"/>
              </w:rPr>
            </w:pPr>
          </w:p>
        </w:tc>
        <w:tc>
          <w:tcPr>
            <w:tcW w:w="24" w:type="pct"/>
            <w:shd w:val="clear" w:color="auto" w:fill="auto"/>
          </w:tcPr>
          <w:p w14:paraId="5C7C79EF" w14:textId="77777777" w:rsidR="0008009C" w:rsidRDefault="0008009C">
            <w:pPr>
              <w:rPr>
                <w:rFonts w:ascii="宋体"/>
              </w:rPr>
            </w:pPr>
          </w:p>
        </w:tc>
        <w:tc>
          <w:tcPr>
            <w:tcW w:w="5" w:type="pct"/>
            <w:shd w:val="clear" w:color="auto" w:fill="auto"/>
          </w:tcPr>
          <w:p w14:paraId="5C7C79F0" w14:textId="77777777" w:rsidR="0008009C" w:rsidRDefault="0008009C">
            <w:pPr>
              <w:rPr>
                <w:rFonts w:ascii="宋体"/>
              </w:rPr>
            </w:pPr>
          </w:p>
        </w:tc>
        <w:tc>
          <w:tcPr>
            <w:tcW w:w="50" w:type="pct"/>
            <w:shd w:val="clear" w:color="auto" w:fill="auto"/>
          </w:tcPr>
          <w:p w14:paraId="5C7C79F1" w14:textId="77777777" w:rsidR="0008009C" w:rsidRDefault="0008009C">
            <w:pPr>
              <w:rPr>
                <w:rFonts w:ascii="宋体"/>
              </w:rPr>
            </w:pPr>
          </w:p>
        </w:tc>
        <w:tc>
          <w:tcPr>
            <w:tcW w:w="744" w:type="pct"/>
            <w:shd w:val="clear" w:color="auto" w:fill="auto"/>
          </w:tcPr>
          <w:p w14:paraId="5C7C79F2" w14:textId="77777777" w:rsidR="0008009C" w:rsidRDefault="0008009C">
            <w:pPr>
              <w:rPr>
                <w:rFonts w:ascii="宋体"/>
              </w:rPr>
            </w:pPr>
          </w:p>
        </w:tc>
        <w:tc>
          <w:tcPr>
            <w:tcW w:w="5" w:type="pct"/>
            <w:shd w:val="clear" w:color="auto" w:fill="auto"/>
          </w:tcPr>
          <w:p w14:paraId="5C7C79F3" w14:textId="77777777" w:rsidR="0008009C" w:rsidRDefault="0008009C">
            <w:pPr>
              <w:rPr>
                <w:rFonts w:ascii="宋体"/>
              </w:rPr>
            </w:pPr>
          </w:p>
        </w:tc>
      </w:tr>
      <w:tr w:rsidR="0008009C" w14:paraId="5C7C79FC" w14:textId="77777777">
        <w:tc>
          <w:tcPr>
            <w:tcW w:w="0" w:type="auto"/>
            <w:gridSpan w:val="3"/>
            <w:shd w:val="clear" w:color="auto" w:fill="auto"/>
            <w:tcMar>
              <w:top w:w="40" w:type="dxa"/>
              <w:left w:w="20" w:type="dxa"/>
              <w:bottom w:w="40" w:type="dxa"/>
              <w:right w:w="20" w:type="dxa"/>
            </w:tcMar>
            <w:vAlign w:val="bottom"/>
          </w:tcPr>
          <w:p w14:paraId="5C7C79F5" w14:textId="77777777" w:rsidR="0008009C" w:rsidRDefault="00936FDF">
            <w:pPr>
              <w:textAlignment w:val="bottom"/>
            </w:pPr>
            <w:r>
              <w:rPr>
                <w:rFonts w:ascii="Arial" w:eastAsia="宋体" w:hAnsi="Arial" w:cs="Arial"/>
                <w:b/>
                <w:bCs/>
                <w:color w:val="262626"/>
                <w:sz w:val="18"/>
                <w:szCs w:val="18"/>
              </w:rPr>
              <w:t>Period</w:t>
            </w:r>
          </w:p>
        </w:tc>
        <w:tc>
          <w:tcPr>
            <w:tcW w:w="0" w:type="auto"/>
            <w:gridSpan w:val="3"/>
            <w:shd w:val="clear" w:color="auto" w:fill="auto"/>
            <w:tcMar>
              <w:top w:w="0" w:type="dxa"/>
              <w:left w:w="20" w:type="dxa"/>
              <w:bottom w:w="0" w:type="dxa"/>
              <w:right w:w="20" w:type="dxa"/>
            </w:tcMar>
          </w:tcPr>
          <w:p w14:paraId="5C7C79F6"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9F7" w14:textId="77777777" w:rsidR="0008009C" w:rsidRDefault="00936FDF">
            <w:pPr>
              <w:jc w:val="center"/>
              <w:textAlignment w:val="bottom"/>
            </w:pPr>
            <w:r>
              <w:rPr>
                <w:rFonts w:ascii="Arial" w:eastAsia="宋体" w:hAnsi="Arial" w:cs="Arial"/>
                <w:b/>
                <w:bCs/>
                <w:color w:val="262626"/>
                <w:sz w:val="18"/>
                <w:szCs w:val="18"/>
              </w:rPr>
              <w:t>Total Number</w:t>
            </w:r>
            <w:r>
              <w:rPr>
                <w:rFonts w:ascii="Arial" w:eastAsia="宋体" w:hAnsi="Arial" w:cs="Arial"/>
                <w:b/>
                <w:bCs/>
                <w:color w:val="262626"/>
                <w:sz w:val="18"/>
                <w:szCs w:val="18"/>
              </w:rPr>
              <w:br/>
              <w:t>of Shares</w:t>
            </w:r>
            <w:r>
              <w:rPr>
                <w:rFonts w:ascii="Arial" w:eastAsia="宋体" w:hAnsi="Arial" w:cs="Arial"/>
                <w:b/>
                <w:bCs/>
                <w:color w:val="262626"/>
                <w:sz w:val="18"/>
                <w:szCs w:val="18"/>
              </w:rPr>
              <w:br/>
              <w:t>Purchased</w:t>
            </w:r>
            <w:r>
              <w:rPr>
                <w:rFonts w:ascii="Arial" w:eastAsia="宋体" w:hAnsi="Arial" w:cs="Arial"/>
                <w:b/>
                <w:bCs/>
                <w:color w:val="262626"/>
                <w:sz w:val="18"/>
                <w:szCs w:val="18"/>
              </w:rPr>
              <w:b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tcPr>
          <w:p w14:paraId="5C7C79F8"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9F9" w14:textId="77777777" w:rsidR="0008009C" w:rsidRDefault="00936FDF">
            <w:pPr>
              <w:jc w:val="center"/>
              <w:textAlignment w:val="bottom"/>
            </w:pPr>
            <w:r>
              <w:rPr>
                <w:rFonts w:ascii="Arial" w:eastAsia="宋体" w:hAnsi="Arial" w:cs="Arial"/>
                <w:b/>
                <w:bCs/>
                <w:color w:val="262626"/>
                <w:sz w:val="18"/>
                <w:szCs w:val="18"/>
              </w:rPr>
              <w:t>Average Price</w:t>
            </w:r>
            <w:r>
              <w:rPr>
                <w:rFonts w:ascii="Arial" w:eastAsia="宋体" w:hAnsi="Arial" w:cs="Arial"/>
                <w:b/>
                <w:bCs/>
                <w:color w:val="262626"/>
                <w:sz w:val="18"/>
                <w:szCs w:val="18"/>
              </w:rPr>
              <w:br/>
              <w:t>Paid Per Share</w:t>
            </w:r>
          </w:p>
        </w:tc>
        <w:tc>
          <w:tcPr>
            <w:tcW w:w="0" w:type="auto"/>
            <w:gridSpan w:val="3"/>
            <w:shd w:val="clear" w:color="auto" w:fill="auto"/>
            <w:tcMar>
              <w:top w:w="0" w:type="dxa"/>
              <w:left w:w="20" w:type="dxa"/>
              <w:bottom w:w="0" w:type="dxa"/>
              <w:right w:w="20" w:type="dxa"/>
            </w:tcMar>
          </w:tcPr>
          <w:p w14:paraId="5C7C79FA"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9FB" w14:textId="77777777" w:rsidR="0008009C" w:rsidRDefault="00936FDF">
            <w:pPr>
              <w:jc w:val="center"/>
              <w:textAlignment w:val="bottom"/>
            </w:pPr>
            <w:r>
              <w:rPr>
                <w:rFonts w:ascii="Arial" w:eastAsia="宋体" w:hAnsi="Arial" w:cs="Arial"/>
                <w:b/>
                <w:bCs/>
                <w:color w:val="262626"/>
                <w:sz w:val="18"/>
                <w:szCs w:val="18"/>
              </w:rPr>
              <w:t>Dollar Value of</w:t>
            </w:r>
            <w:r>
              <w:rPr>
                <w:rFonts w:ascii="Arial" w:eastAsia="宋体" w:hAnsi="Arial" w:cs="Arial"/>
                <w:b/>
                <w:bCs/>
                <w:color w:val="262626"/>
                <w:sz w:val="18"/>
                <w:szCs w:val="18"/>
              </w:rPr>
              <w:br/>
              <w:t>Shares That May</w:t>
            </w:r>
            <w:r>
              <w:rPr>
                <w:rFonts w:ascii="Arial" w:eastAsia="宋体" w:hAnsi="Arial" w:cs="Arial"/>
                <w:b/>
                <w:bCs/>
                <w:color w:val="262626"/>
                <w:sz w:val="18"/>
                <w:szCs w:val="18"/>
              </w:rPr>
              <w:br/>
              <w:t>Yet Be Purchased</w:t>
            </w:r>
            <w:r>
              <w:rPr>
                <w:rFonts w:ascii="Arial" w:eastAsia="宋体" w:hAnsi="Arial" w:cs="Arial"/>
                <w:b/>
                <w:bCs/>
                <w:color w:val="262626"/>
                <w:sz w:val="18"/>
                <w:szCs w:val="18"/>
              </w:rPr>
              <w:br/>
              <w:t>Under the Program</w:t>
            </w:r>
            <w:r>
              <w:rPr>
                <w:rFonts w:ascii="Arial" w:eastAsia="宋体" w:hAnsi="Arial" w:cs="Arial"/>
                <w:b/>
                <w:bCs/>
                <w:color w:val="262626"/>
                <w:sz w:val="18"/>
                <w:szCs w:val="18"/>
              </w:rPr>
              <w:br/>
              <w:t>(In Millions)</w:t>
            </w:r>
          </w:p>
        </w:tc>
      </w:tr>
      <w:tr w:rsidR="0008009C" w14:paraId="5C7C7A09"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9FD" w14:textId="77777777" w:rsidR="0008009C" w:rsidRDefault="00936FDF">
            <w:pPr>
              <w:textAlignment w:val="bottom"/>
            </w:pPr>
            <w:r>
              <w:rPr>
                <w:rFonts w:ascii="Arial" w:eastAsia="宋体" w:hAnsi="Arial" w:cs="Arial"/>
                <w:color w:val="262626"/>
                <w:sz w:val="18"/>
                <w:szCs w:val="18"/>
              </w:rPr>
              <w:t>December 27, 2020 - January 23, 2021</w:t>
            </w:r>
          </w:p>
        </w:tc>
        <w:tc>
          <w:tcPr>
            <w:tcW w:w="0" w:type="auto"/>
            <w:gridSpan w:val="3"/>
            <w:shd w:val="clear" w:color="auto" w:fill="auto"/>
            <w:tcMar>
              <w:top w:w="0" w:type="dxa"/>
              <w:left w:w="20" w:type="dxa"/>
              <w:bottom w:w="0" w:type="dxa"/>
              <w:right w:w="20" w:type="dxa"/>
            </w:tcMar>
          </w:tcPr>
          <w:p w14:paraId="5C7C79FE" w14:textId="77777777" w:rsidR="0008009C" w:rsidRDefault="0008009C">
            <w:pPr>
              <w:rPr>
                <w:rFonts w:ascii="宋体"/>
              </w:rPr>
            </w:pPr>
          </w:p>
        </w:tc>
        <w:tc>
          <w:tcPr>
            <w:tcW w:w="0" w:type="auto"/>
            <w:gridSpan w:val="2"/>
            <w:tcBorders>
              <w:top w:val="single" w:sz="8" w:space="0" w:color="0068B5"/>
            </w:tcBorders>
            <w:shd w:val="clear" w:color="auto" w:fill="FFFFFF"/>
            <w:tcMar>
              <w:top w:w="40" w:type="dxa"/>
              <w:left w:w="20" w:type="dxa"/>
              <w:bottom w:w="40" w:type="dxa"/>
              <w:right w:w="0" w:type="dxa"/>
            </w:tcMar>
          </w:tcPr>
          <w:p w14:paraId="5C7C79FF" w14:textId="77777777" w:rsidR="0008009C" w:rsidRDefault="00936FDF">
            <w:pPr>
              <w:jc w:val="right"/>
              <w:textAlignment w:val="top"/>
            </w:pPr>
            <w:r>
              <w:rPr>
                <w:rFonts w:ascii="Arial" w:eastAsia="宋体" w:hAnsi="Arial" w:cs="Arial"/>
                <w:color w:val="0068B5"/>
                <w:sz w:val="18"/>
                <w:szCs w:val="18"/>
              </w:rPr>
              <w:t>— </w:t>
            </w:r>
          </w:p>
        </w:tc>
        <w:tc>
          <w:tcPr>
            <w:tcW w:w="0" w:type="auto"/>
            <w:tcBorders>
              <w:top w:val="single" w:sz="8" w:space="0" w:color="0068B5"/>
            </w:tcBorders>
            <w:shd w:val="clear" w:color="auto" w:fill="FFFFFF"/>
            <w:tcMar>
              <w:top w:w="40" w:type="dxa"/>
              <w:left w:w="0" w:type="dxa"/>
              <w:bottom w:w="40" w:type="dxa"/>
              <w:right w:w="20" w:type="dxa"/>
            </w:tcMar>
          </w:tcPr>
          <w:p w14:paraId="5C7C7A00"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A01" w14:textId="77777777" w:rsidR="0008009C" w:rsidRDefault="0008009C">
            <w:pPr>
              <w:rPr>
                <w:rFonts w:ascii="宋体"/>
              </w:rPr>
            </w:pPr>
          </w:p>
        </w:tc>
        <w:tc>
          <w:tcPr>
            <w:tcW w:w="0" w:type="auto"/>
            <w:tcBorders>
              <w:top w:val="single" w:sz="8" w:space="0" w:color="0068B5"/>
            </w:tcBorders>
            <w:shd w:val="clear" w:color="auto" w:fill="FFFFFF"/>
            <w:tcMar>
              <w:top w:w="40" w:type="dxa"/>
              <w:left w:w="20" w:type="dxa"/>
              <w:bottom w:w="40" w:type="dxa"/>
              <w:right w:w="0" w:type="dxa"/>
            </w:tcMar>
            <w:vAlign w:val="bottom"/>
          </w:tcPr>
          <w:p w14:paraId="5C7C7A02"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FFFFFF"/>
            <w:tcMar>
              <w:top w:w="40" w:type="dxa"/>
              <w:left w:w="0" w:type="dxa"/>
              <w:bottom w:w="40" w:type="dxa"/>
              <w:right w:w="0" w:type="dxa"/>
            </w:tcMar>
            <w:vAlign w:val="bottom"/>
          </w:tcPr>
          <w:p w14:paraId="5C7C7A03" w14:textId="77777777" w:rsidR="0008009C" w:rsidRDefault="00936FDF">
            <w:pPr>
              <w:jc w:val="right"/>
              <w:textAlignment w:val="bottom"/>
            </w:pPr>
            <w:r>
              <w:rPr>
                <w:rFonts w:ascii="Arial" w:eastAsia="宋体" w:hAnsi="Arial" w:cs="Arial"/>
                <w:color w:val="0068B5"/>
                <w:sz w:val="18"/>
                <w:szCs w:val="18"/>
              </w:rPr>
              <w:t>— </w:t>
            </w:r>
          </w:p>
        </w:tc>
        <w:tc>
          <w:tcPr>
            <w:tcW w:w="0" w:type="auto"/>
            <w:tcBorders>
              <w:top w:val="single" w:sz="8" w:space="0" w:color="0068B5"/>
            </w:tcBorders>
            <w:shd w:val="clear" w:color="auto" w:fill="FFFFFF"/>
            <w:tcMar>
              <w:top w:w="40" w:type="dxa"/>
              <w:left w:w="0" w:type="dxa"/>
              <w:bottom w:w="40" w:type="dxa"/>
              <w:right w:w="20" w:type="dxa"/>
            </w:tcMar>
            <w:vAlign w:val="bottom"/>
          </w:tcPr>
          <w:p w14:paraId="5C7C7A04"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A05" w14:textId="77777777" w:rsidR="0008009C" w:rsidRDefault="0008009C">
            <w:pPr>
              <w:rPr>
                <w:rFonts w:ascii="宋体"/>
              </w:rPr>
            </w:pPr>
          </w:p>
        </w:tc>
        <w:tc>
          <w:tcPr>
            <w:tcW w:w="0" w:type="auto"/>
            <w:tcBorders>
              <w:top w:val="single" w:sz="8" w:space="0" w:color="0068B5"/>
            </w:tcBorders>
            <w:shd w:val="clear" w:color="auto" w:fill="FFFFFF"/>
            <w:tcMar>
              <w:top w:w="40" w:type="dxa"/>
              <w:left w:w="20" w:type="dxa"/>
              <w:bottom w:w="40" w:type="dxa"/>
              <w:right w:w="0" w:type="dxa"/>
            </w:tcMar>
            <w:vAlign w:val="bottom"/>
          </w:tcPr>
          <w:p w14:paraId="5C7C7A06" w14:textId="77777777" w:rsidR="0008009C" w:rsidRDefault="00936FDF">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FFFFFF"/>
            <w:tcMar>
              <w:top w:w="40" w:type="dxa"/>
              <w:left w:w="0" w:type="dxa"/>
              <w:bottom w:w="40" w:type="dxa"/>
              <w:right w:w="0" w:type="dxa"/>
            </w:tcMar>
            <w:vAlign w:val="bottom"/>
          </w:tcPr>
          <w:p w14:paraId="5C7C7A07" w14:textId="77777777" w:rsidR="0008009C" w:rsidRDefault="00936FDF">
            <w:pPr>
              <w:jc w:val="right"/>
              <w:textAlignment w:val="bottom"/>
            </w:pPr>
            <w:r>
              <w:rPr>
                <w:rFonts w:ascii="Arial" w:eastAsia="宋体" w:hAnsi="Arial" w:cs="Arial"/>
                <w:color w:val="0068B5"/>
                <w:sz w:val="18"/>
                <w:szCs w:val="18"/>
              </w:rPr>
              <w:t>9,658 </w:t>
            </w:r>
          </w:p>
        </w:tc>
        <w:tc>
          <w:tcPr>
            <w:tcW w:w="0" w:type="auto"/>
            <w:tcBorders>
              <w:top w:val="single" w:sz="8" w:space="0" w:color="0068B5"/>
            </w:tcBorders>
            <w:shd w:val="clear" w:color="auto" w:fill="FFFFFF"/>
            <w:tcMar>
              <w:top w:w="40" w:type="dxa"/>
              <w:left w:w="0" w:type="dxa"/>
              <w:bottom w:w="40" w:type="dxa"/>
              <w:right w:w="20" w:type="dxa"/>
            </w:tcMar>
            <w:vAlign w:val="bottom"/>
          </w:tcPr>
          <w:p w14:paraId="5C7C7A08" w14:textId="77777777" w:rsidR="0008009C" w:rsidRDefault="0008009C">
            <w:pPr>
              <w:jc w:val="right"/>
              <w:rPr>
                <w:rFonts w:ascii="宋体"/>
              </w:rPr>
            </w:pPr>
          </w:p>
        </w:tc>
      </w:tr>
      <w:tr w:rsidR="0008009C" w14:paraId="5C7C7A16" w14:textId="77777777">
        <w:tc>
          <w:tcPr>
            <w:tcW w:w="0" w:type="auto"/>
            <w:gridSpan w:val="3"/>
            <w:shd w:val="clear" w:color="auto" w:fill="auto"/>
            <w:tcMar>
              <w:top w:w="40" w:type="dxa"/>
              <w:left w:w="20" w:type="dxa"/>
              <w:bottom w:w="40" w:type="dxa"/>
              <w:right w:w="20" w:type="dxa"/>
            </w:tcMar>
            <w:vAlign w:val="bottom"/>
          </w:tcPr>
          <w:p w14:paraId="5C7C7A0A" w14:textId="77777777" w:rsidR="0008009C" w:rsidRDefault="00936FDF">
            <w:pPr>
              <w:textAlignment w:val="bottom"/>
            </w:pPr>
            <w:r>
              <w:rPr>
                <w:rFonts w:ascii="Arial" w:eastAsia="宋体" w:hAnsi="Arial" w:cs="Arial"/>
                <w:color w:val="262626"/>
                <w:sz w:val="18"/>
                <w:szCs w:val="18"/>
              </w:rPr>
              <w:t>January 24, 2021 - February 20, 2021</w:t>
            </w:r>
          </w:p>
        </w:tc>
        <w:tc>
          <w:tcPr>
            <w:tcW w:w="0" w:type="auto"/>
            <w:gridSpan w:val="3"/>
            <w:shd w:val="clear" w:color="auto" w:fill="auto"/>
            <w:tcMar>
              <w:top w:w="0" w:type="dxa"/>
              <w:left w:w="20" w:type="dxa"/>
              <w:bottom w:w="0" w:type="dxa"/>
              <w:right w:w="20" w:type="dxa"/>
            </w:tcMar>
          </w:tcPr>
          <w:p w14:paraId="5C7C7A0B" w14:textId="77777777" w:rsidR="0008009C" w:rsidRDefault="0008009C">
            <w:pPr>
              <w:rPr>
                <w:rFonts w:ascii="宋体"/>
              </w:rPr>
            </w:pPr>
          </w:p>
        </w:tc>
        <w:tc>
          <w:tcPr>
            <w:tcW w:w="0" w:type="auto"/>
            <w:gridSpan w:val="2"/>
            <w:shd w:val="clear" w:color="auto" w:fill="FFFFFF"/>
            <w:tcMar>
              <w:top w:w="40" w:type="dxa"/>
              <w:left w:w="20" w:type="dxa"/>
              <w:bottom w:w="40" w:type="dxa"/>
              <w:right w:w="0" w:type="dxa"/>
            </w:tcMar>
          </w:tcPr>
          <w:p w14:paraId="5C7C7A0C" w14:textId="77777777" w:rsidR="0008009C" w:rsidRDefault="00936FDF">
            <w:pPr>
              <w:jc w:val="right"/>
              <w:textAlignment w:val="top"/>
            </w:pPr>
            <w:r>
              <w:rPr>
                <w:rFonts w:ascii="Arial" w:eastAsia="宋体" w:hAnsi="Arial" w:cs="Arial"/>
                <w:color w:val="0068B5"/>
                <w:sz w:val="18"/>
                <w:szCs w:val="18"/>
              </w:rPr>
              <w:t>16.1 </w:t>
            </w:r>
          </w:p>
        </w:tc>
        <w:tc>
          <w:tcPr>
            <w:tcW w:w="0" w:type="auto"/>
            <w:shd w:val="clear" w:color="auto" w:fill="FFFFFF"/>
            <w:tcMar>
              <w:top w:w="40" w:type="dxa"/>
              <w:left w:w="0" w:type="dxa"/>
              <w:bottom w:w="40" w:type="dxa"/>
              <w:right w:w="20" w:type="dxa"/>
            </w:tcMar>
          </w:tcPr>
          <w:p w14:paraId="5C7C7A0D"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A0E" w14:textId="77777777" w:rsidR="0008009C" w:rsidRDefault="0008009C">
            <w:pPr>
              <w:rPr>
                <w:rFonts w:ascii="宋体"/>
              </w:rPr>
            </w:pPr>
          </w:p>
        </w:tc>
        <w:tc>
          <w:tcPr>
            <w:tcW w:w="0" w:type="auto"/>
            <w:shd w:val="clear" w:color="auto" w:fill="FFFFFF"/>
            <w:tcMar>
              <w:top w:w="40" w:type="dxa"/>
              <w:left w:w="20" w:type="dxa"/>
              <w:bottom w:w="40" w:type="dxa"/>
              <w:right w:w="0" w:type="dxa"/>
            </w:tcMar>
            <w:vAlign w:val="bottom"/>
          </w:tcPr>
          <w:p w14:paraId="5C7C7A0F" w14:textId="77777777" w:rsidR="0008009C" w:rsidRDefault="00936FDF">
            <w:pPr>
              <w:textAlignment w:val="bottom"/>
            </w:pPr>
            <w:r>
              <w:rPr>
                <w:rFonts w:ascii="Arial" w:eastAsia="宋体" w:hAnsi="Arial" w:cs="Arial"/>
                <w:color w:val="0068B5"/>
                <w:sz w:val="18"/>
                <w:szCs w:val="18"/>
              </w:rPr>
              <w:t>$</w:t>
            </w:r>
          </w:p>
        </w:tc>
        <w:tc>
          <w:tcPr>
            <w:tcW w:w="0" w:type="auto"/>
            <w:shd w:val="clear" w:color="auto" w:fill="FFFFFF"/>
            <w:tcMar>
              <w:top w:w="40" w:type="dxa"/>
              <w:left w:w="0" w:type="dxa"/>
              <w:bottom w:w="40" w:type="dxa"/>
              <w:right w:w="0" w:type="dxa"/>
            </w:tcMar>
            <w:vAlign w:val="bottom"/>
          </w:tcPr>
          <w:p w14:paraId="5C7C7A10" w14:textId="77777777" w:rsidR="0008009C" w:rsidRDefault="00936FDF">
            <w:pPr>
              <w:jc w:val="right"/>
              <w:textAlignment w:val="bottom"/>
            </w:pPr>
            <w:r>
              <w:rPr>
                <w:rFonts w:ascii="Arial" w:eastAsia="宋体" w:hAnsi="Arial" w:cs="Arial"/>
                <w:color w:val="0068B5"/>
                <w:sz w:val="18"/>
                <w:szCs w:val="18"/>
              </w:rPr>
              <w:t>59.10 </w:t>
            </w:r>
          </w:p>
        </w:tc>
        <w:tc>
          <w:tcPr>
            <w:tcW w:w="0" w:type="auto"/>
            <w:shd w:val="clear" w:color="auto" w:fill="FFFFFF"/>
            <w:tcMar>
              <w:top w:w="40" w:type="dxa"/>
              <w:left w:w="0" w:type="dxa"/>
              <w:bottom w:w="40" w:type="dxa"/>
              <w:right w:w="20" w:type="dxa"/>
            </w:tcMar>
            <w:vAlign w:val="bottom"/>
          </w:tcPr>
          <w:p w14:paraId="5C7C7A11"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A12" w14:textId="77777777" w:rsidR="0008009C" w:rsidRDefault="0008009C">
            <w:pPr>
              <w:rPr>
                <w:rFonts w:ascii="宋体"/>
              </w:rPr>
            </w:pPr>
          </w:p>
        </w:tc>
        <w:tc>
          <w:tcPr>
            <w:tcW w:w="0" w:type="auto"/>
            <w:shd w:val="clear" w:color="auto" w:fill="FFFFFF"/>
            <w:tcMar>
              <w:top w:w="40" w:type="dxa"/>
              <w:left w:w="20" w:type="dxa"/>
              <w:bottom w:w="40" w:type="dxa"/>
              <w:right w:w="0" w:type="dxa"/>
            </w:tcMar>
            <w:vAlign w:val="bottom"/>
          </w:tcPr>
          <w:p w14:paraId="5C7C7A13" w14:textId="77777777" w:rsidR="0008009C" w:rsidRDefault="00936FDF">
            <w:pPr>
              <w:textAlignment w:val="bottom"/>
            </w:pPr>
            <w:r>
              <w:rPr>
                <w:rFonts w:ascii="Arial" w:eastAsia="宋体" w:hAnsi="Arial" w:cs="Arial"/>
                <w:color w:val="0068B5"/>
                <w:sz w:val="18"/>
                <w:szCs w:val="18"/>
              </w:rPr>
              <w:t>$</w:t>
            </w:r>
          </w:p>
        </w:tc>
        <w:tc>
          <w:tcPr>
            <w:tcW w:w="0" w:type="auto"/>
            <w:shd w:val="clear" w:color="auto" w:fill="FFFFFF"/>
            <w:tcMar>
              <w:top w:w="40" w:type="dxa"/>
              <w:left w:w="0" w:type="dxa"/>
              <w:bottom w:w="40" w:type="dxa"/>
              <w:right w:w="0" w:type="dxa"/>
            </w:tcMar>
            <w:vAlign w:val="bottom"/>
          </w:tcPr>
          <w:p w14:paraId="5C7C7A14" w14:textId="77777777" w:rsidR="0008009C" w:rsidRDefault="00936FDF">
            <w:pPr>
              <w:jc w:val="right"/>
              <w:textAlignment w:val="bottom"/>
            </w:pPr>
            <w:r>
              <w:rPr>
                <w:rFonts w:ascii="Arial" w:eastAsia="宋体" w:hAnsi="Arial" w:cs="Arial"/>
                <w:color w:val="0068B5"/>
                <w:sz w:val="18"/>
                <w:szCs w:val="18"/>
              </w:rPr>
              <w:t>8,706 </w:t>
            </w:r>
          </w:p>
        </w:tc>
        <w:tc>
          <w:tcPr>
            <w:tcW w:w="0" w:type="auto"/>
            <w:shd w:val="clear" w:color="auto" w:fill="FFFFFF"/>
            <w:tcMar>
              <w:top w:w="40" w:type="dxa"/>
              <w:left w:w="0" w:type="dxa"/>
              <w:bottom w:w="40" w:type="dxa"/>
              <w:right w:w="20" w:type="dxa"/>
            </w:tcMar>
            <w:vAlign w:val="bottom"/>
          </w:tcPr>
          <w:p w14:paraId="5C7C7A15" w14:textId="77777777" w:rsidR="0008009C" w:rsidRDefault="0008009C">
            <w:pPr>
              <w:jc w:val="right"/>
              <w:rPr>
                <w:rFonts w:ascii="宋体"/>
              </w:rPr>
            </w:pPr>
          </w:p>
        </w:tc>
      </w:tr>
      <w:tr w:rsidR="0008009C" w14:paraId="5C7C7A23" w14:textId="77777777">
        <w:tc>
          <w:tcPr>
            <w:tcW w:w="0" w:type="auto"/>
            <w:gridSpan w:val="3"/>
            <w:shd w:val="clear" w:color="auto" w:fill="auto"/>
            <w:tcMar>
              <w:top w:w="40" w:type="dxa"/>
              <w:left w:w="20" w:type="dxa"/>
              <w:bottom w:w="40" w:type="dxa"/>
              <w:right w:w="20" w:type="dxa"/>
            </w:tcMar>
            <w:vAlign w:val="bottom"/>
          </w:tcPr>
          <w:p w14:paraId="5C7C7A17" w14:textId="77777777" w:rsidR="0008009C" w:rsidRDefault="00936FDF">
            <w:pPr>
              <w:textAlignment w:val="bottom"/>
            </w:pPr>
            <w:r>
              <w:rPr>
                <w:rFonts w:ascii="Arial" w:eastAsia="宋体" w:hAnsi="Arial" w:cs="Arial"/>
                <w:color w:val="262626"/>
                <w:sz w:val="18"/>
                <w:szCs w:val="18"/>
              </w:rPr>
              <w:t>February 21, 2020 - March 27, 2021</w:t>
            </w:r>
          </w:p>
        </w:tc>
        <w:tc>
          <w:tcPr>
            <w:tcW w:w="0" w:type="auto"/>
            <w:gridSpan w:val="3"/>
            <w:shd w:val="clear" w:color="auto" w:fill="auto"/>
            <w:tcMar>
              <w:top w:w="0" w:type="dxa"/>
              <w:left w:w="20" w:type="dxa"/>
              <w:bottom w:w="0" w:type="dxa"/>
              <w:right w:w="20" w:type="dxa"/>
            </w:tcMar>
          </w:tcPr>
          <w:p w14:paraId="5C7C7A18" w14:textId="77777777" w:rsidR="0008009C" w:rsidRDefault="0008009C">
            <w:pPr>
              <w:rPr>
                <w:rFonts w:ascii="宋体"/>
              </w:rPr>
            </w:pPr>
          </w:p>
        </w:tc>
        <w:tc>
          <w:tcPr>
            <w:tcW w:w="0" w:type="auto"/>
            <w:gridSpan w:val="2"/>
            <w:shd w:val="clear" w:color="auto" w:fill="FFFFFF"/>
            <w:tcMar>
              <w:top w:w="40" w:type="dxa"/>
              <w:left w:w="20" w:type="dxa"/>
              <w:bottom w:w="40" w:type="dxa"/>
              <w:right w:w="0" w:type="dxa"/>
            </w:tcMar>
          </w:tcPr>
          <w:p w14:paraId="5C7C7A19" w14:textId="77777777" w:rsidR="0008009C" w:rsidRDefault="00936FDF">
            <w:pPr>
              <w:jc w:val="right"/>
              <w:textAlignment w:val="top"/>
            </w:pPr>
            <w:r>
              <w:rPr>
                <w:rFonts w:ascii="Arial" w:eastAsia="宋体" w:hAnsi="Arial" w:cs="Arial"/>
                <w:color w:val="0068B5"/>
                <w:sz w:val="18"/>
                <w:szCs w:val="18"/>
              </w:rPr>
              <w:t>23.4 </w:t>
            </w:r>
          </w:p>
        </w:tc>
        <w:tc>
          <w:tcPr>
            <w:tcW w:w="0" w:type="auto"/>
            <w:shd w:val="clear" w:color="auto" w:fill="FFFFFF"/>
            <w:tcMar>
              <w:top w:w="40" w:type="dxa"/>
              <w:left w:w="0" w:type="dxa"/>
              <w:bottom w:w="40" w:type="dxa"/>
              <w:right w:w="20" w:type="dxa"/>
            </w:tcMar>
          </w:tcPr>
          <w:p w14:paraId="5C7C7A1A"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A1B" w14:textId="77777777" w:rsidR="0008009C" w:rsidRDefault="0008009C">
            <w:pPr>
              <w:rPr>
                <w:rFonts w:ascii="宋体"/>
              </w:rPr>
            </w:pPr>
          </w:p>
        </w:tc>
        <w:tc>
          <w:tcPr>
            <w:tcW w:w="0" w:type="auto"/>
            <w:shd w:val="clear" w:color="auto" w:fill="FFFFFF"/>
            <w:tcMar>
              <w:top w:w="40" w:type="dxa"/>
              <w:left w:w="20" w:type="dxa"/>
              <w:bottom w:w="40" w:type="dxa"/>
              <w:right w:w="0" w:type="dxa"/>
            </w:tcMar>
            <w:vAlign w:val="bottom"/>
          </w:tcPr>
          <w:p w14:paraId="5C7C7A1C" w14:textId="77777777" w:rsidR="0008009C" w:rsidRDefault="00936FDF">
            <w:pPr>
              <w:textAlignment w:val="bottom"/>
            </w:pPr>
            <w:r>
              <w:rPr>
                <w:rFonts w:ascii="Arial" w:eastAsia="宋体" w:hAnsi="Arial" w:cs="Arial"/>
                <w:color w:val="0068B5"/>
                <w:sz w:val="18"/>
                <w:szCs w:val="18"/>
              </w:rPr>
              <w:t>$</w:t>
            </w:r>
          </w:p>
        </w:tc>
        <w:tc>
          <w:tcPr>
            <w:tcW w:w="0" w:type="auto"/>
            <w:shd w:val="clear" w:color="auto" w:fill="FFFFFF"/>
            <w:tcMar>
              <w:top w:w="40" w:type="dxa"/>
              <w:left w:w="0" w:type="dxa"/>
              <w:bottom w:w="40" w:type="dxa"/>
              <w:right w:w="0" w:type="dxa"/>
            </w:tcMar>
            <w:vAlign w:val="bottom"/>
          </w:tcPr>
          <w:p w14:paraId="5C7C7A1D" w14:textId="77777777" w:rsidR="0008009C" w:rsidRDefault="00936FDF">
            <w:pPr>
              <w:jc w:val="right"/>
              <w:textAlignment w:val="bottom"/>
            </w:pPr>
            <w:r>
              <w:rPr>
                <w:rFonts w:ascii="Arial" w:eastAsia="宋体" w:hAnsi="Arial" w:cs="Arial"/>
                <w:color w:val="0068B5"/>
                <w:sz w:val="18"/>
                <w:szCs w:val="18"/>
              </w:rPr>
              <w:t>62.51 </w:t>
            </w:r>
          </w:p>
        </w:tc>
        <w:tc>
          <w:tcPr>
            <w:tcW w:w="0" w:type="auto"/>
            <w:shd w:val="clear" w:color="auto" w:fill="FFFFFF"/>
            <w:tcMar>
              <w:top w:w="40" w:type="dxa"/>
              <w:left w:w="0" w:type="dxa"/>
              <w:bottom w:w="40" w:type="dxa"/>
              <w:right w:w="20" w:type="dxa"/>
            </w:tcMar>
            <w:vAlign w:val="bottom"/>
          </w:tcPr>
          <w:p w14:paraId="5C7C7A1E"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A1F" w14:textId="77777777" w:rsidR="0008009C" w:rsidRDefault="0008009C">
            <w:pPr>
              <w:rPr>
                <w:rFonts w:ascii="宋体"/>
              </w:rPr>
            </w:pPr>
          </w:p>
        </w:tc>
        <w:tc>
          <w:tcPr>
            <w:tcW w:w="0" w:type="auto"/>
            <w:shd w:val="clear" w:color="auto" w:fill="FFFFFF"/>
            <w:tcMar>
              <w:top w:w="40" w:type="dxa"/>
              <w:left w:w="20" w:type="dxa"/>
              <w:bottom w:w="40" w:type="dxa"/>
              <w:right w:w="0" w:type="dxa"/>
            </w:tcMar>
            <w:vAlign w:val="bottom"/>
          </w:tcPr>
          <w:p w14:paraId="5C7C7A20" w14:textId="77777777" w:rsidR="0008009C" w:rsidRDefault="00936FDF">
            <w:pPr>
              <w:textAlignment w:val="bottom"/>
            </w:pPr>
            <w:r>
              <w:rPr>
                <w:rFonts w:ascii="Arial" w:eastAsia="宋体" w:hAnsi="Arial" w:cs="Arial"/>
                <w:color w:val="0068B5"/>
                <w:sz w:val="18"/>
                <w:szCs w:val="18"/>
              </w:rPr>
              <w:t>$</w:t>
            </w:r>
          </w:p>
        </w:tc>
        <w:tc>
          <w:tcPr>
            <w:tcW w:w="0" w:type="auto"/>
            <w:shd w:val="clear" w:color="auto" w:fill="FFFFFF"/>
            <w:tcMar>
              <w:top w:w="40" w:type="dxa"/>
              <w:left w:w="0" w:type="dxa"/>
              <w:bottom w:w="40" w:type="dxa"/>
              <w:right w:w="0" w:type="dxa"/>
            </w:tcMar>
            <w:vAlign w:val="bottom"/>
          </w:tcPr>
          <w:p w14:paraId="5C7C7A21" w14:textId="77777777" w:rsidR="0008009C" w:rsidRDefault="00936FDF">
            <w:pPr>
              <w:jc w:val="right"/>
              <w:textAlignment w:val="bottom"/>
            </w:pPr>
            <w:r>
              <w:rPr>
                <w:rFonts w:ascii="Arial" w:eastAsia="宋体" w:hAnsi="Arial" w:cs="Arial"/>
                <w:color w:val="0068B5"/>
                <w:sz w:val="18"/>
                <w:szCs w:val="18"/>
              </w:rPr>
              <w:t>7,243 </w:t>
            </w:r>
          </w:p>
        </w:tc>
        <w:tc>
          <w:tcPr>
            <w:tcW w:w="0" w:type="auto"/>
            <w:shd w:val="clear" w:color="auto" w:fill="FFFFFF"/>
            <w:tcMar>
              <w:top w:w="40" w:type="dxa"/>
              <w:left w:w="0" w:type="dxa"/>
              <w:bottom w:w="40" w:type="dxa"/>
              <w:right w:w="20" w:type="dxa"/>
            </w:tcMar>
            <w:vAlign w:val="bottom"/>
          </w:tcPr>
          <w:p w14:paraId="5C7C7A22" w14:textId="77777777" w:rsidR="0008009C" w:rsidRDefault="0008009C">
            <w:pPr>
              <w:jc w:val="right"/>
              <w:rPr>
                <w:rFonts w:ascii="宋体"/>
              </w:rPr>
            </w:pPr>
          </w:p>
        </w:tc>
      </w:tr>
      <w:tr w:rsidR="0008009C" w14:paraId="5C7C7A2C" w14:textId="77777777">
        <w:tc>
          <w:tcPr>
            <w:tcW w:w="0" w:type="auto"/>
            <w:gridSpan w:val="3"/>
            <w:shd w:val="clear" w:color="auto" w:fill="auto"/>
            <w:tcMar>
              <w:top w:w="40" w:type="dxa"/>
              <w:left w:w="20" w:type="dxa"/>
              <w:bottom w:w="40" w:type="dxa"/>
              <w:right w:w="20" w:type="dxa"/>
            </w:tcMar>
            <w:vAlign w:val="bottom"/>
          </w:tcPr>
          <w:p w14:paraId="5C7C7A24" w14:textId="77777777" w:rsidR="0008009C" w:rsidRDefault="00936FDF">
            <w:pP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tcPr>
          <w:p w14:paraId="5C7C7A25" w14:textId="77777777" w:rsidR="0008009C" w:rsidRDefault="0008009C">
            <w:pPr>
              <w:rPr>
                <w:rFonts w:ascii="宋体"/>
              </w:rPr>
            </w:pPr>
          </w:p>
        </w:tc>
        <w:tc>
          <w:tcPr>
            <w:tcW w:w="0" w:type="auto"/>
            <w:gridSpan w:val="2"/>
            <w:tcBorders>
              <w:top w:val="single" w:sz="8" w:space="0" w:color="262626"/>
              <w:bottom w:val="double" w:sz="6" w:space="0" w:color="262626"/>
            </w:tcBorders>
            <w:shd w:val="clear" w:color="auto" w:fill="auto"/>
            <w:tcMar>
              <w:top w:w="40" w:type="dxa"/>
              <w:left w:w="20" w:type="dxa"/>
              <w:bottom w:w="40" w:type="dxa"/>
              <w:right w:w="0" w:type="dxa"/>
            </w:tcMar>
            <w:vAlign w:val="bottom"/>
          </w:tcPr>
          <w:p w14:paraId="5C7C7A26" w14:textId="77777777" w:rsidR="0008009C" w:rsidRDefault="00936FDF">
            <w:pPr>
              <w:jc w:val="right"/>
              <w:textAlignment w:val="bottom"/>
            </w:pPr>
            <w:r>
              <w:rPr>
                <w:rFonts w:ascii="Arial" w:eastAsia="宋体" w:hAnsi="Arial" w:cs="Arial"/>
                <w:b/>
                <w:bCs/>
                <w:color w:val="0068B5"/>
                <w:sz w:val="18"/>
                <w:szCs w:val="18"/>
              </w:rPr>
              <w:t>39.5</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5C7C7A27" w14:textId="77777777" w:rsidR="0008009C" w:rsidRDefault="0008009C">
            <w:pPr>
              <w:jc w:val="right"/>
              <w:rPr>
                <w:rFonts w:ascii="宋体"/>
              </w:rPr>
            </w:pPr>
          </w:p>
        </w:tc>
        <w:tc>
          <w:tcPr>
            <w:tcW w:w="0" w:type="auto"/>
            <w:gridSpan w:val="3"/>
            <w:shd w:val="clear" w:color="auto" w:fill="auto"/>
            <w:tcMar>
              <w:top w:w="0" w:type="dxa"/>
              <w:left w:w="20" w:type="dxa"/>
              <w:bottom w:w="0" w:type="dxa"/>
              <w:right w:w="20" w:type="dxa"/>
            </w:tcMar>
          </w:tcPr>
          <w:p w14:paraId="5C7C7A2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2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2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2B" w14:textId="77777777" w:rsidR="0008009C" w:rsidRDefault="0008009C">
            <w:pPr>
              <w:rPr>
                <w:rFonts w:ascii="宋体"/>
              </w:rPr>
            </w:pPr>
          </w:p>
        </w:tc>
      </w:tr>
    </w:tbl>
    <w:p w14:paraId="5C7C7A2D" w14:textId="77777777" w:rsidR="0008009C" w:rsidRDefault="00936FDF">
      <w:pPr>
        <w:spacing w:after="180"/>
      </w:pPr>
      <w:r>
        <w:rPr>
          <w:rFonts w:ascii="Arial" w:eastAsia="宋体" w:hAnsi="Arial" w:cs="Arial"/>
          <w:color w:val="262626"/>
          <w:sz w:val="18"/>
          <w:szCs w:val="18"/>
        </w:rPr>
        <w:t xml:space="preserve">We issue RSUs as part of our equity incentive plans. In our Consolidated Condensed Financial Statements, we treat shares of common </w:t>
      </w:r>
      <w:r>
        <w:rPr>
          <w:rFonts w:ascii="Arial" w:eastAsia="宋体" w:hAnsi="Arial" w:cs="Arial"/>
          <w:color w:val="262626"/>
          <w:sz w:val="18"/>
          <w:szCs w:val="18"/>
        </w:rPr>
        <w:t>stock withheld for tax purposes on behalf of our employees in connection with the vesting of RSUs as common stock repurchases because they reduce the number of shares that would have been issued upon vesting. These withheld shares of common stock are not c</w:t>
      </w:r>
      <w:r>
        <w:rPr>
          <w:rFonts w:ascii="Arial" w:eastAsia="宋体" w:hAnsi="Arial" w:cs="Arial"/>
          <w:color w:val="262626"/>
          <w:sz w:val="18"/>
          <w:szCs w:val="18"/>
        </w:rPr>
        <w:t>onsidered common stock repurchases under our authorized common stock repurchase program and accordingly are not included in the preceding table.</w:t>
      </w:r>
    </w:p>
    <w:p w14:paraId="5C7C7A2E" w14:textId="77777777" w:rsidR="0008009C" w:rsidRDefault="00936FDF">
      <w:pPr>
        <w:spacing w:after="120"/>
      </w:pPr>
      <w:r>
        <w:rPr>
          <w:rFonts w:ascii="Arial" w:eastAsia="宋体" w:hAnsi="Arial" w:cs="Arial"/>
          <w:color w:val="0068B5"/>
          <w:sz w:val="20"/>
          <w:szCs w:val="20"/>
        </w:rPr>
        <w:t>Unregistered Sale of Equity Securities</w:t>
      </w:r>
    </w:p>
    <w:p w14:paraId="5C7C7A2F" w14:textId="77777777" w:rsidR="0008009C" w:rsidRDefault="00936FDF">
      <w:pPr>
        <w:spacing w:after="180"/>
      </w:pPr>
      <w:r>
        <w:rPr>
          <w:rFonts w:ascii="Arial" w:eastAsia="宋体" w:hAnsi="Arial" w:cs="Arial"/>
          <w:color w:val="262626"/>
          <w:sz w:val="18"/>
          <w:szCs w:val="18"/>
        </w:rPr>
        <w:t xml:space="preserve">On March 18, 2021, we sold 156,764 shares of our common stock to our </w:t>
      </w:r>
      <w:r>
        <w:rPr>
          <w:rFonts w:ascii="Arial" w:eastAsia="宋体" w:hAnsi="Arial" w:cs="Arial"/>
          <w:color w:val="262626"/>
          <w:sz w:val="18"/>
          <w:szCs w:val="18"/>
        </w:rPr>
        <w:t>CEO, Patrick Gelsinger, in a private offering for consideration of $10 million. The sale was made in reliance on the exemptions from registration provided by Section 4(a)(2) of the Securities Act of 1933, as amended, and Rule 506 of Regulation D thereunder</w:t>
      </w:r>
      <w:r>
        <w:rPr>
          <w:rFonts w:ascii="Arial" w:eastAsia="宋体" w:hAnsi="Arial" w:cs="Arial"/>
          <w:color w:val="262626"/>
          <w:sz w:val="18"/>
          <w:szCs w:val="18"/>
        </w:rPr>
        <w:t>.</w:t>
      </w:r>
    </w:p>
    <w:p w14:paraId="5C7C7A30" w14:textId="77777777" w:rsidR="0008009C" w:rsidRDefault="0008009C">
      <w:pPr>
        <w:spacing w:after="180"/>
      </w:pPr>
    </w:p>
    <w:p w14:paraId="5C7C7A31" w14:textId="77777777" w:rsidR="0008009C" w:rsidRDefault="0008009C">
      <w:pPr>
        <w:spacing w:after="180"/>
      </w:pP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08009C" w14:paraId="5C7C7A3B" w14:textId="77777777">
        <w:tc>
          <w:tcPr>
            <w:tcW w:w="50" w:type="pct"/>
            <w:shd w:val="clear" w:color="auto" w:fill="auto"/>
            <w:vAlign w:val="bottom"/>
          </w:tcPr>
          <w:p w14:paraId="5C7C7A32" w14:textId="77777777" w:rsidR="0008009C" w:rsidRDefault="0008009C">
            <w:pPr>
              <w:rPr>
                <w:rFonts w:ascii="宋体"/>
              </w:rPr>
            </w:pPr>
          </w:p>
        </w:tc>
        <w:tc>
          <w:tcPr>
            <w:tcW w:w="212" w:type="pct"/>
            <w:shd w:val="clear" w:color="auto" w:fill="auto"/>
            <w:vAlign w:val="bottom"/>
          </w:tcPr>
          <w:p w14:paraId="5C7C7A33" w14:textId="77777777" w:rsidR="0008009C" w:rsidRDefault="0008009C">
            <w:pPr>
              <w:rPr>
                <w:rFonts w:ascii="宋体"/>
              </w:rPr>
            </w:pPr>
          </w:p>
        </w:tc>
        <w:tc>
          <w:tcPr>
            <w:tcW w:w="5" w:type="pct"/>
            <w:shd w:val="clear" w:color="auto" w:fill="auto"/>
            <w:vAlign w:val="bottom"/>
          </w:tcPr>
          <w:p w14:paraId="5C7C7A34" w14:textId="77777777" w:rsidR="0008009C" w:rsidRDefault="0008009C">
            <w:pPr>
              <w:rPr>
                <w:rFonts w:ascii="宋体"/>
              </w:rPr>
            </w:pPr>
          </w:p>
        </w:tc>
        <w:tc>
          <w:tcPr>
            <w:tcW w:w="50" w:type="pct"/>
            <w:shd w:val="clear" w:color="auto" w:fill="auto"/>
            <w:vAlign w:val="bottom"/>
          </w:tcPr>
          <w:p w14:paraId="5C7C7A35" w14:textId="77777777" w:rsidR="0008009C" w:rsidRDefault="0008009C">
            <w:pPr>
              <w:rPr>
                <w:rFonts w:ascii="宋体"/>
              </w:rPr>
            </w:pPr>
          </w:p>
        </w:tc>
        <w:tc>
          <w:tcPr>
            <w:tcW w:w="2492" w:type="pct"/>
            <w:shd w:val="clear" w:color="auto" w:fill="auto"/>
            <w:vAlign w:val="bottom"/>
          </w:tcPr>
          <w:p w14:paraId="5C7C7A36" w14:textId="77777777" w:rsidR="0008009C" w:rsidRDefault="0008009C">
            <w:pPr>
              <w:rPr>
                <w:rFonts w:ascii="宋体"/>
              </w:rPr>
            </w:pPr>
          </w:p>
        </w:tc>
        <w:tc>
          <w:tcPr>
            <w:tcW w:w="5" w:type="pct"/>
            <w:shd w:val="clear" w:color="auto" w:fill="auto"/>
            <w:vAlign w:val="bottom"/>
          </w:tcPr>
          <w:p w14:paraId="5C7C7A37" w14:textId="77777777" w:rsidR="0008009C" w:rsidRDefault="0008009C">
            <w:pPr>
              <w:rPr>
                <w:rFonts w:ascii="宋体"/>
              </w:rPr>
            </w:pPr>
          </w:p>
        </w:tc>
        <w:tc>
          <w:tcPr>
            <w:tcW w:w="50" w:type="pct"/>
            <w:shd w:val="clear" w:color="auto" w:fill="auto"/>
            <w:vAlign w:val="bottom"/>
          </w:tcPr>
          <w:p w14:paraId="5C7C7A38" w14:textId="77777777" w:rsidR="0008009C" w:rsidRDefault="0008009C">
            <w:pPr>
              <w:rPr>
                <w:rFonts w:ascii="宋体"/>
              </w:rPr>
            </w:pPr>
          </w:p>
        </w:tc>
        <w:tc>
          <w:tcPr>
            <w:tcW w:w="2130" w:type="pct"/>
            <w:shd w:val="clear" w:color="auto" w:fill="auto"/>
            <w:vAlign w:val="bottom"/>
          </w:tcPr>
          <w:p w14:paraId="5C7C7A39" w14:textId="77777777" w:rsidR="0008009C" w:rsidRDefault="0008009C">
            <w:pPr>
              <w:rPr>
                <w:rFonts w:ascii="宋体"/>
              </w:rPr>
            </w:pPr>
          </w:p>
        </w:tc>
        <w:tc>
          <w:tcPr>
            <w:tcW w:w="5" w:type="pct"/>
            <w:shd w:val="clear" w:color="auto" w:fill="auto"/>
            <w:vAlign w:val="bottom"/>
          </w:tcPr>
          <w:p w14:paraId="5C7C7A3A" w14:textId="77777777" w:rsidR="0008009C" w:rsidRDefault="0008009C">
            <w:pPr>
              <w:rPr>
                <w:rFonts w:ascii="宋体"/>
              </w:rPr>
            </w:pPr>
          </w:p>
        </w:tc>
      </w:tr>
      <w:tr w:rsidR="0008009C" w14:paraId="5C7C7A3F"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7A3C"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7B" wp14:editId="5C7C7D7C">
                  <wp:extent cx="304800" cy="304800"/>
                  <wp:effectExtent l="0" t="0" r="0" b="0"/>
                  <wp:docPr id="43" name="图片 130"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0"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A3D" w14:textId="77777777" w:rsidR="0008009C" w:rsidRDefault="00936FDF">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A3E" w14:textId="77777777" w:rsidR="0008009C" w:rsidRDefault="00936FDF">
            <w:pPr>
              <w:jc w:val="right"/>
              <w:textAlignment w:val="center"/>
            </w:pPr>
            <w:r>
              <w:rPr>
                <w:rFonts w:ascii="Arial" w:eastAsia="宋体" w:hAnsi="Arial" w:cs="Arial"/>
                <w:color w:val="262626"/>
                <w:sz w:val="16"/>
                <w:szCs w:val="16"/>
              </w:rPr>
              <w:t>37</w:t>
            </w:r>
          </w:p>
        </w:tc>
      </w:tr>
    </w:tbl>
    <w:p w14:paraId="5C7C7A40" w14:textId="77777777" w:rsidR="0008009C" w:rsidRDefault="00936FDF">
      <w:r>
        <w:pict w14:anchorId="5C7C7D7D">
          <v:rect id="_x0000_i1063" style="width:415.3pt;height:1.5pt" o:hralign="center" o:hrstd="t" o:hr="t" fillcolor="#a0a0a0" stroked="f"/>
        </w:pict>
      </w:r>
    </w:p>
    <w:p w14:paraId="5C7C7A41" w14:textId="77777777" w:rsidR="0008009C" w:rsidRDefault="00936FDF">
      <w:pPr>
        <w:spacing w:after="180"/>
        <w:jc w:val="right"/>
      </w:pPr>
      <w:hyperlink r:id="rId62" w:anchor="i3a00378f6cc84b1c9cfc83239548ad53_7" w:history="1">
        <w:r>
          <w:rPr>
            <w:rStyle w:val="a5"/>
            <w:rFonts w:ascii="Arial" w:eastAsia="宋体" w:hAnsi="Arial" w:cs="Arial"/>
            <w:b/>
            <w:bCs/>
            <w:sz w:val="16"/>
            <w:szCs w:val="16"/>
          </w:rPr>
          <w:t>Table of Contents</w:t>
        </w:r>
      </w:hyperlink>
    </w:p>
    <w:p w14:paraId="5C7C7A42" w14:textId="77777777" w:rsidR="0008009C" w:rsidRDefault="0008009C">
      <w:pPr>
        <w:spacing w:after="180"/>
        <w:jc w:val="right"/>
      </w:pPr>
    </w:p>
    <w:p w14:paraId="5C7C7A43" w14:textId="77777777" w:rsidR="0008009C" w:rsidRDefault="00936FDF">
      <w:pPr>
        <w:spacing w:after="180"/>
      </w:pPr>
      <w:r>
        <w:rPr>
          <w:rFonts w:ascii="Arial" w:eastAsia="宋体" w:hAnsi="Arial" w:cs="Arial"/>
          <w:color w:val="0068B5"/>
          <w:sz w:val="28"/>
          <w:szCs w:val="28"/>
        </w:rPr>
        <w:t>Exhibits</w:t>
      </w:r>
    </w:p>
    <w:tbl>
      <w:tblPr>
        <w:tblW w:w="4986" w:type="pct"/>
        <w:tblCellMar>
          <w:top w:w="15" w:type="dxa"/>
          <w:left w:w="15" w:type="dxa"/>
          <w:bottom w:w="15" w:type="dxa"/>
          <w:right w:w="15" w:type="dxa"/>
        </w:tblCellMar>
        <w:tblLook w:val="04A0" w:firstRow="1" w:lastRow="0" w:firstColumn="1" w:lastColumn="0" w:noHBand="0" w:noVBand="1"/>
      </w:tblPr>
      <w:tblGrid>
        <w:gridCol w:w="78"/>
        <w:gridCol w:w="686"/>
        <w:gridCol w:w="36"/>
        <w:gridCol w:w="36"/>
        <w:gridCol w:w="36"/>
        <w:gridCol w:w="36"/>
        <w:gridCol w:w="39"/>
        <w:gridCol w:w="2759"/>
        <w:gridCol w:w="38"/>
        <w:gridCol w:w="36"/>
        <w:gridCol w:w="36"/>
        <w:gridCol w:w="36"/>
        <w:gridCol w:w="92"/>
        <w:gridCol w:w="389"/>
        <w:gridCol w:w="37"/>
        <w:gridCol w:w="37"/>
        <w:gridCol w:w="37"/>
        <w:gridCol w:w="37"/>
        <w:gridCol w:w="98"/>
        <w:gridCol w:w="894"/>
        <w:gridCol w:w="39"/>
        <w:gridCol w:w="37"/>
        <w:gridCol w:w="37"/>
        <w:gridCol w:w="36"/>
        <w:gridCol w:w="96"/>
        <w:gridCol w:w="536"/>
        <w:gridCol w:w="36"/>
        <w:gridCol w:w="36"/>
        <w:gridCol w:w="36"/>
        <w:gridCol w:w="36"/>
        <w:gridCol w:w="81"/>
        <w:gridCol w:w="752"/>
        <w:gridCol w:w="36"/>
        <w:gridCol w:w="36"/>
        <w:gridCol w:w="36"/>
        <w:gridCol w:w="36"/>
        <w:gridCol w:w="100"/>
        <w:gridCol w:w="802"/>
        <w:gridCol w:w="36"/>
      </w:tblGrid>
      <w:tr w:rsidR="0008009C" w14:paraId="5C7C7A6B" w14:textId="77777777">
        <w:tc>
          <w:tcPr>
            <w:tcW w:w="50" w:type="pct"/>
            <w:shd w:val="clear" w:color="auto" w:fill="auto"/>
          </w:tcPr>
          <w:p w14:paraId="5C7C7A44" w14:textId="77777777" w:rsidR="0008009C" w:rsidRDefault="0008009C">
            <w:pPr>
              <w:rPr>
                <w:rFonts w:ascii="宋体"/>
              </w:rPr>
            </w:pPr>
          </w:p>
        </w:tc>
        <w:tc>
          <w:tcPr>
            <w:tcW w:w="445" w:type="pct"/>
            <w:shd w:val="clear" w:color="auto" w:fill="auto"/>
          </w:tcPr>
          <w:p w14:paraId="5C7C7A45" w14:textId="77777777" w:rsidR="0008009C" w:rsidRDefault="0008009C">
            <w:pPr>
              <w:rPr>
                <w:rFonts w:ascii="宋体"/>
              </w:rPr>
            </w:pPr>
          </w:p>
        </w:tc>
        <w:tc>
          <w:tcPr>
            <w:tcW w:w="5" w:type="pct"/>
            <w:shd w:val="clear" w:color="auto" w:fill="auto"/>
          </w:tcPr>
          <w:p w14:paraId="5C7C7A46" w14:textId="77777777" w:rsidR="0008009C" w:rsidRDefault="0008009C">
            <w:pPr>
              <w:rPr>
                <w:rFonts w:ascii="宋体"/>
              </w:rPr>
            </w:pPr>
          </w:p>
        </w:tc>
        <w:tc>
          <w:tcPr>
            <w:tcW w:w="5" w:type="pct"/>
            <w:shd w:val="clear" w:color="auto" w:fill="auto"/>
          </w:tcPr>
          <w:p w14:paraId="5C7C7A47" w14:textId="77777777" w:rsidR="0008009C" w:rsidRDefault="0008009C">
            <w:pPr>
              <w:rPr>
                <w:rFonts w:ascii="宋体"/>
              </w:rPr>
            </w:pPr>
          </w:p>
        </w:tc>
        <w:tc>
          <w:tcPr>
            <w:tcW w:w="24" w:type="pct"/>
            <w:shd w:val="clear" w:color="auto" w:fill="auto"/>
          </w:tcPr>
          <w:p w14:paraId="5C7C7A48" w14:textId="77777777" w:rsidR="0008009C" w:rsidRDefault="0008009C">
            <w:pPr>
              <w:rPr>
                <w:rFonts w:ascii="宋体"/>
              </w:rPr>
            </w:pPr>
          </w:p>
        </w:tc>
        <w:tc>
          <w:tcPr>
            <w:tcW w:w="5" w:type="pct"/>
            <w:shd w:val="clear" w:color="auto" w:fill="auto"/>
          </w:tcPr>
          <w:p w14:paraId="5C7C7A49" w14:textId="77777777" w:rsidR="0008009C" w:rsidRDefault="0008009C">
            <w:pPr>
              <w:rPr>
                <w:rFonts w:ascii="宋体"/>
              </w:rPr>
            </w:pPr>
          </w:p>
        </w:tc>
        <w:tc>
          <w:tcPr>
            <w:tcW w:w="50" w:type="pct"/>
            <w:shd w:val="clear" w:color="auto" w:fill="auto"/>
          </w:tcPr>
          <w:p w14:paraId="5C7C7A4A" w14:textId="77777777" w:rsidR="0008009C" w:rsidRDefault="0008009C">
            <w:pPr>
              <w:rPr>
                <w:rFonts w:ascii="宋体"/>
              </w:rPr>
            </w:pPr>
          </w:p>
        </w:tc>
        <w:tc>
          <w:tcPr>
            <w:tcW w:w="2143" w:type="pct"/>
            <w:shd w:val="clear" w:color="auto" w:fill="auto"/>
          </w:tcPr>
          <w:p w14:paraId="5C7C7A4B" w14:textId="77777777" w:rsidR="0008009C" w:rsidRDefault="0008009C">
            <w:pPr>
              <w:rPr>
                <w:rFonts w:ascii="宋体"/>
              </w:rPr>
            </w:pPr>
          </w:p>
        </w:tc>
        <w:tc>
          <w:tcPr>
            <w:tcW w:w="5" w:type="pct"/>
            <w:shd w:val="clear" w:color="auto" w:fill="auto"/>
          </w:tcPr>
          <w:p w14:paraId="5C7C7A4C" w14:textId="77777777" w:rsidR="0008009C" w:rsidRDefault="0008009C">
            <w:pPr>
              <w:rPr>
                <w:rFonts w:ascii="宋体"/>
              </w:rPr>
            </w:pPr>
          </w:p>
        </w:tc>
        <w:tc>
          <w:tcPr>
            <w:tcW w:w="5" w:type="pct"/>
            <w:shd w:val="clear" w:color="auto" w:fill="auto"/>
          </w:tcPr>
          <w:p w14:paraId="5C7C7A4D" w14:textId="77777777" w:rsidR="0008009C" w:rsidRDefault="0008009C">
            <w:pPr>
              <w:rPr>
                <w:rFonts w:ascii="宋体"/>
              </w:rPr>
            </w:pPr>
          </w:p>
        </w:tc>
        <w:tc>
          <w:tcPr>
            <w:tcW w:w="24" w:type="pct"/>
            <w:shd w:val="clear" w:color="auto" w:fill="auto"/>
          </w:tcPr>
          <w:p w14:paraId="5C7C7A4E" w14:textId="77777777" w:rsidR="0008009C" w:rsidRDefault="0008009C">
            <w:pPr>
              <w:rPr>
                <w:rFonts w:ascii="宋体"/>
              </w:rPr>
            </w:pPr>
          </w:p>
        </w:tc>
        <w:tc>
          <w:tcPr>
            <w:tcW w:w="5" w:type="pct"/>
            <w:shd w:val="clear" w:color="auto" w:fill="auto"/>
          </w:tcPr>
          <w:p w14:paraId="5C7C7A4F" w14:textId="77777777" w:rsidR="0008009C" w:rsidRDefault="0008009C">
            <w:pPr>
              <w:rPr>
                <w:rFonts w:ascii="宋体"/>
              </w:rPr>
            </w:pPr>
          </w:p>
        </w:tc>
        <w:tc>
          <w:tcPr>
            <w:tcW w:w="50" w:type="pct"/>
            <w:shd w:val="clear" w:color="auto" w:fill="auto"/>
          </w:tcPr>
          <w:p w14:paraId="5C7C7A50" w14:textId="77777777" w:rsidR="0008009C" w:rsidRDefault="0008009C">
            <w:pPr>
              <w:rPr>
                <w:rFonts w:ascii="宋体"/>
              </w:rPr>
            </w:pPr>
          </w:p>
        </w:tc>
        <w:tc>
          <w:tcPr>
            <w:tcW w:w="212" w:type="pct"/>
            <w:shd w:val="clear" w:color="auto" w:fill="auto"/>
          </w:tcPr>
          <w:p w14:paraId="5C7C7A51" w14:textId="77777777" w:rsidR="0008009C" w:rsidRDefault="0008009C">
            <w:pPr>
              <w:rPr>
                <w:rFonts w:ascii="宋体"/>
              </w:rPr>
            </w:pPr>
          </w:p>
        </w:tc>
        <w:tc>
          <w:tcPr>
            <w:tcW w:w="5" w:type="pct"/>
            <w:shd w:val="clear" w:color="auto" w:fill="auto"/>
          </w:tcPr>
          <w:p w14:paraId="5C7C7A52" w14:textId="77777777" w:rsidR="0008009C" w:rsidRDefault="0008009C">
            <w:pPr>
              <w:rPr>
                <w:rFonts w:ascii="宋体"/>
              </w:rPr>
            </w:pPr>
          </w:p>
        </w:tc>
        <w:tc>
          <w:tcPr>
            <w:tcW w:w="5" w:type="pct"/>
            <w:shd w:val="clear" w:color="auto" w:fill="auto"/>
          </w:tcPr>
          <w:p w14:paraId="5C7C7A53" w14:textId="77777777" w:rsidR="0008009C" w:rsidRDefault="0008009C">
            <w:pPr>
              <w:rPr>
                <w:rFonts w:ascii="宋体"/>
              </w:rPr>
            </w:pPr>
          </w:p>
        </w:tc>
        <w:tc>
          <w:tcPr>
            <w:tcW w:w="24" w:type="pct"/>
            <w:shd w:val="clear" w:color="auto" w:fill="auto"/>
          </w:tcPr>
          <w:p w14:paraId="5C7C7A54" w14:textId="77777777" w:rsidR="0008009C" w:rsidRDefault="0008009C">
            <w:pPr>
              <w:rPr>
                <w:rFonts w:ascii="宋体"/>
              </w:rPr>
            </w:pPr>
          </w:p>
        </w:tc>
        <w:tc>
          <w:tcPr>
            <w:tcW w:w="5" w:type="pct"/>
            <w:shd w:val="clear" w:color="auto" w:fill="auto"/>
          </w:tcPr>
          <w:p w14:paraId="5C7C7A55" w14:textId="77777777" w:rsidR="0008009C" w:rsidRDefault="0008009C">
            <w:pPr>
              <w:rPr>
                <w:rFonts w:ascii="宋体"/>
              </w:rPr>
            </w:pPr>
          </w:p>
        </w:tc>
        <w:tc>
          <w:tcPr>
            <w:tcW w:w="50" w:type="pct"/>
            <w:shd w:val="clear" w:color="auto" w:fill="auto"/>
          </w:tcPr>
          <w:p w14:paraId="5C7C7A56" w14:textId="77777777" w:rsidR="0008009C" w:rsidRDefault="0008009C">
            <w:pPr>
              <w:rPr>
                <w:rFonts w:ascii="宋体"/>
              </w:rPr>
            </w:pPr>
          </w:p>
        </w:tc>
        <w:tc>
          <w:tcPr>
            <w:tcW w:w="458" w:type="pct"/>
            <w:shd w:val="clear" w:color="auto" w:fill="auto"/>
          </w:tcPr>
          <w:p w14:paraId="5C7C7A57" w14:textId="77777777" w:rsidR="0008009C" w:rsidRDefault="0008009C">
            <w:pPr>
              <w:rPr>
                <w:rFonts w:ascii="宋体"/>
              </w:rPr>
            </w:pPr>
          </w:p>
        </w:tc>
        <w:tc>
          <w:tcPr>
            <w:tcW w:w="5" w:type="pct"/>
            <w:shd w:val="clear" w:color="auto" w:fill="auto"/>
          </w:tcPr>
          <w:p w14:paraId="5C7C7A58" w14:textId="77777777" w:rsidR="0008009C" w:rsidRDefault="0008009C">
            <w:pPr>
              <w:rPr>
                <w:rFonts w:ascii="宋体"/>
              </w:rPr>
            </w:pPr>
          </w:p>
        </w:tc>
        <w:tc>
          <w:tcPr>
            <w:tcW w:w="5" w:type="pct"/>
            <w:shd w:val="clear" w:color="auto" w:fill="auto"/>
          </w:tcPr>
          <w:p w14:paraId="5C7C7A59" w14:textId="77777777" w:rsidR="0008009C" w:rsidRDefault="0008009C">
            <w:pPr>
              <w:rPr>
                <w:rFonts w:ascii="宋体"/>
              </w:rPr>
            </w:pPr>
          </w:p>
        </w:tc>
        <w:tc>
          <w:tcPr>
            <w:tcW w:w="24" w:type="pct"/>
            <w:shd w:val="clear" w:color="auto" w:fill="auto"/>
          </w:tcPr>
          <w:p w14:paraId="5C7C7A5A" w14:textId="77777777" w:rsidR="0008009C" w:rsidRDefault="0008009C">
            <w:pPr>
              <w:rPr>
                <w:rFonts w:ascii="宋体"/>
              </w:rPr>
            </w:pPr>
          </w:p>
        </w:tc>
        <w:tc>
          <w:tcPr>
            <w:tcW w:w="5" w:type="pct"/>
            <w:shd w:val="clear" w:color="auto" w:fill="auto"/>
          </w:tcPr>
          <w:p w14:paraId="5C7C7A5B" w14:textId="77777777" w:rsidR="0008009C" w:rsidRDefault="0008009C">
            <w:pPr>
              <w:rPr>
                <w:rFonts w:ascii="宋体"/>
              </w:rPr>
            </w:pPr>
          </w:p>
        </w:tc>
        <w:tc>
          <w:tcPr>
            <w:tcW w:w="50" w:type="pct"/>
            <w:shd w:val="clear" w:color="auto" w:fill="auto"/>
          </w:tcPr>
          <w:p w14:paraId="5C7C7A5C" w14:textId="77777777" w:rsidR="0008009C" w:rsidRDefault="0008009C">
            <w:pPr>
              <w:rPr>
                <w:rFonts w:ascii="宋体"/>
              </w:rPr>
            </w:pPr>
          </w:p>
        </w:tc>
        <w:tc>
          <w:tcPr>
            <w:tcW w:w="280" w:type="pct"/>
            <w:shd w:val="clear" w:color="auto" w:fill="auto"/>
          </w:tcPr>
          <w:p w14:paraId="5C7C7A5D" w14:textId="77777777" w:rsidR="0008009C" w:rsidRDefault="0008009C">
            <w:pPr>
              <w:rPr>
                <w:rFonts w:ascii="宋体"/>
              </w:rPr>
            </w:pPr>
          </w:p>
        </w:tc>
        <w:tc>
          <w:tcPr>
            <w:tcW w:w="5" w:type="pct"/>
            <w:shd w:val="clear" w:color="auto" w:fill="auto"/>
          </w:tcPr>
          <w:p w14:paraId="5C7C7A5E" w14:textId="77777777" w:rsidR="0008009C" w:rsidRDefault="0008009C">
            <w:pPr>
              <w:rPr>
                <w:rFonts w:ascii="宋体"/>
              </w:rPr>
            </w:pPr>
          </w:p>
        </w:tc>
        <w:tc>
          <w:tcPr>
            <w:tcW w:w="5" w:type="pct"/>
            <w:shd w:val="clear" w:color="auto" w:fill="auto"/>
          </w:tcPr>
          <w:p w14:paraId="5C7C7A5F" w14:textId="77777777" w:rsidR="0008009C" w:rsidRDefault="0008009C">
            <w:pPr>
              <w:rPr>
                <w:rFonts w:ascii="宋体"/>
              </w:rPr>
            </w:pPr>
          </w:p>
        </w:tc>
        <w:tc>
          <w:tcPr>
            <w:tcW w:w="24" w:type="pct"/>
            <w:shd w:val="clear" w:color="auto" w:fill="auto"/>
          </w:tcPr>
          <w:p w14:paraId="5C7C7A60" w14:textId="77777777" w:rsidR="0008009C" w:rsidRDefault="0008009C">
            <w:pPr>
              <w:rPr>
                <w:rFonts w:ascii="宋体"/>
              </w:rPr>
            </w:pPr>
          </w:p>
        </w:tc>
        <w:tc>
          <w:tcPr>
            <w:tcW w:w="5" w:type="pct"/>
            <w:shd w:val="clear" w:color="auto" w:fill="auto"/>
          </w:tcPr>
          <w:p w14:paraId="5C7C7A61" w14:textId="77777777" w:rsidR="0008009C" w:rsidRDefault="0008009C">
            <w:pPr>
              <w:rPr>
                <w:rFonts w:ascii="宋体"/>
              </w:rPr>
            </w:pPr>
          </w:p>
        </w:tc>
        <w:tc>
          <w:tcPr>
            <w:tcW w:w="50" w:type="pct"/>
            <w:shd w:val="clear" w:color="auto" w:fill="auto"/>
          </w:tcPr>
          <w:p w14:paraId="5C7C7A62" w14:textId="77777777" w:rsidR="0008009C" w:rsidRDefault="0008009C">
            <w:pPr>
              <w:rPr>
                <w:rFonts w:ascii="宋体"/>
              </w:rPr>
            </w:pPr>
          </w:p>
        </w:tc>
        <w:tc>
          <w:tcPr>
            <w:tcW w:w="465" w:type="pct"/>
            <w:shd w:val="clear" w:color="auto" w:fill="auto"/>
          </w:tcPr>
          <w:p w14:paraId="5C7C7A63" w14:textId="77777777" w:rsidR="0008009C" w:rsidRDefault="0008009C">
            <w:pPr>
              <w:rPr>
                <w:rFonts w:ascii="宋体"/>
              </w:rPr>
            </w:pPr>
          </w:p>
        </w:tc>
        <w:tc>
          <w:tcPr>
            <w:tcW w:w="5" w:type="pct"/>
            <w:shd w:val="clear" w:color="auto" w:fill="auto"/>
          </w:tcPr>
          <w:p w14:paraId="5C7C7A64" w14:textId="77777777" w:rsidR="0008009C" w:rsidRDefault="0008009C">
            <w:pPr>
              <w:rPr>
                <w:rFonts w:ascii="宋体"/>
              </w:rPr>
            </w:pPr>
          </w:p>
        </w:tc>
        <w:tc>
          <w:tcPr>
            <w:tcW w:w="5" w:type="pct"/>
            <w:shd w:val="clear" w:color="auto" w:fill="auto"/>
          </w:tcPr>
          <w:p w14:paraId="5C7C7A65" w14:textId="77777777" w:rsidR="0008009C" w:rsidRDefault="0008009C">
            <w:pPr>
              <w:rPr>
                <w:rFonts w:ascii="宋体"/>
              </w:rPr>
            </w:pPr>
          </w:p>
        </w:tc>
        <w:tc>
          <w:tcPr>
            <w:tcW w:w="24" w:type="pct"/>
            <w:shd w:val="clear" w:color="auto" w:fill="auto"/>
          </w:tcPr>
          <w:p w14:paraId="5C7C7A66" w14:textId="77777777" w:rsidR="0008009C" w:rsidRDefault="0008009C">
            <w:pPr>
              <w:rPr>
                <w:rFonts w:ascii="宋体"/>
              </w:rPr>
            </w:pPr>
          </w:p>
        </w:tc>
        <w:tc>
          <w:tcPr>
            <w:tcW w:w="5" w:type="pct"/>
            <w:shd w:val="clear" w:color="auto" w:fill="auto"/>
          </w:tcPr>
          <w:p w14:paraId="5C7C7A67" w14:textId="77777777" w:rsidR="0008009C" w:rsidRDefault="0008009C">
            <w:pPr>
              <w:rPr>
                <w:rFonts w:ascii="宋体"/>
              </w:rPr>
            </w:pPr>
          </w:p>
        </w:tc>
        <w:tc>
          <w:tcPr>
            <w:tcW w:w="50" w:type="pct"/>
            <w:shd w:val="clear" w:color="auto" w:fill="auto"/>
          </w:tcPr>
          <w:p w14:paraId="5C7C7A68" w14:textId="77777777" w:rsidR="0008009C" w:rsidRDefault="0008009C">
            <w:pPr>
              <w:rPr>
                <w:rFonts w:ascii="宋体"/>
              </w:rPr>
            </w:pPr>
          </w:p>
        </w:tc>
        <w:tc>
          <w:tcPr>
            <w:tcW w:w="404" w:type="pct"/>
            <w:shd w:val="clear" w:color="auto" w:fill="auto"/>
          </w:tcPr>
          <w:p w14:paraId="5C7C7A69" w14:textId="77777777" w:rsidR="0008009C" w:rsidRDefault="0008009C">
            <w:pPr>
              <w:rPr>
                <w:rFonts w:ascii="宋体"/>
              </w:rPr>
            </w:pPr>
          </w:p>
        </w:tc>
        <w:tc>
          <w:tcPr>
            <w:tcW w:w="5" w:type="pct"/>
            <w:shd w:val="clear" w:color="auto" w:fill="auto"/>
          </w:tcPr>
          <w:p w14:paraId="5C7C7A6A" w14:textId="77777777" w:rsidR="0008009C" w:rsidRDefault="0008009C">
            <w:pPr>
              <w:rPr>
                <w:rFonts w:ascii="宋体"/>
              </w:rPr>
            </w:pPr>
          </w:p>
        </w:tc>
      </w:tr>
      <w:tr w:rsidR="0008009C" w14:paraId="5C7C7A73" w14:textId="77777777">
        <w:tc>
          <w:tcPr>
            <w:tcW w:w="0" w:type="auto"/>
            <w:gridSpan w:val="3"/>
            <w:shd w:val="clear" w:color="auto" w:fill="auto"/>
            <w:tcMar>
              <w:top w:w="40" w:type="dxa"/>
              <w:left w:w="20" w:type="dxa"/>
              <w:bottom w:w="40" w:type="dxa"/>
              <w:right w:w="20" w:type="dxa"/>
            </w:tcMar>
            <w:vAlign w:val="bottom"/>
          </w:tcPr>
          <w:p w14:paraId="5C7C7A6C" w14:textId="77777777" w:rsidR="0008009C" w:rsidRDefault="00936FDF">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tcPr>
          <w:p w14:paraId="5C7C7A6D"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A6E" w14:textId="77777777" w:rsidR="0008009C" w:rsidRDefault="00936FDF">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tcPr>
          <w:p w14:paraId="5C7C7A6F" w14:textId="77777777" w:rsidR="0008009C" w:rsidRDefault="0008009C">
            <w:pPr>
              <w:rPr>
                <w:rFonts w:ascii="宋体"/>
              </w:rPr>
            </w:pPr>
          </w:p>
        </w:tc>
        <w:tc>
          <w:tcPr>
            <w:tcW w:w="0" w:type="auto"/>
            <w:gridSpan w:val="21"/>
            <w:shd w:val="clear" w:color="auto" w:fill="auto"/>
            <w:tcMar>
              <w:top w:w="40" w:type="dxa"/>
              <w:left w:w="20" w:type="dxa"/>
              <w:bottom w:w="40" w:type="dxa"/>
              <w:right w:w="20" w:type="dxa"/>
            </w:tcMar>
            <w:vAlign w:val="bottom"/>
          </w:tcPr>
          <w:p w14:paraId="5C7C7A70" w14:textId="77777777" w:rsidR="0008009C" w:rsidRDefault="00936FDF">
            <w:pP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tcPr>
          <w:p w14:paraId="5C7C7A71"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A72" w14:textId="77777777" w:rsidR="0008009C" w:rsidRDefault="00936FDF">
            <w:pPr>
              <w:textAlignment w:val="bottom"/>
            </w:pPr>
            <w:r>
              <w:rPr>
                <w:rFonts w:ascii="Arial" w:eastAsia="宋体" w:hAnsi="Arial" w:cs="Arial"/>
                <w:color w:val="262626"/>
                <w:sz w:val="18"/>
                <w:szCs w:val="18"/>
              </w:rPr>
              <w:t> </w:t>
            </w:r>
          </w:p>
        </w:tc>
      </w:tr>
      <w:tr w:rsidR="0008009C" w14:paraId="5C7C7A81" w14:textId="77777777">
        <w:tc>
          <w:tcPr>
            <w:tcW w:w="0" w:type="auto"/>
            <w:gridSpan w:val="3"/>
            <w:shd w:val="clear" w:color="auto" w:fill="auto"/>
            <w:tcMar>
              <w:top w:w="40" w:type="dxa"/>
              <w:left w:w="20" w:type="dxa"/>
              <w:bottom w:w="40" w:type="dxa"/>
              <w:right w:w="20" w:type="dxa"/>
            </w:tcMar>
            <w:vAlign w:val="bottom"/>
          </w:tcPr>
          <w:p w14:paraId="5C7C7A74" w14:textId="77777777" w:rsidR="0008009C" w:rsidRDefault="00936FDF">
            <w:pPr>
              <w:jc w:val="center"/>
              <w:textAlignment w:val="bottom"/>
            </w:pPr>
            <w:r>
              <w:rPr>
                <w:rFonts w:ascii="Arial" w:eastAsia="宋体" w:hAnsi="Arial" w:cs="Arial"/>
                <w:b/>
                <w:bCs/>
                <w:color w:val="262626"/>
                <w:sz w:val="18"/>
                <w:szCs w:val="18"/>
              </w:rPr>
              <w:t>Exhibit</w:t>
            </w:r>
            <w:r>
              <w:rPr>
                <w:rFonts w:ascii="Arial" w:eastAsia="宋体" w:hAnsi="Arial" w:cs="Arial"/>
                <w:b/>
                <w:bCs/>
                <w:color w:val="262626"/>
                <w:sz w:val="18"/>
                <w:szCs w:val="18"/>
              </w:rPr>
              <w:br/>
              <w:t>Number</w:t>
            </w:r>
          </w:p>
        </w:tc>
        <w:tc>
          <w:tcPr>
            <w:tcW w:w="0" w:type="auto"/>
            <w:gridSpan w:val="3"/>
            <w:shd w:val="clear" w:color="auto" w:fill="auto"/>
            <w:tcMar>
              <w:top w:w="0" w:type="dxa"/>
              <w:left w:w="20" w:type="dxa"/>
              <w:bottom w:w="0" w:type="dxa"/>
              <w:right w:w="20" w:type="dxa"/>
            </w:tcMar>
          </w:tcPr>
          <w:p w14:paraId="5C7C7A75"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A76" w14:textId="77777777" w:rsidR="0008009C" w:rsidRDefault="00936FDF">
            <w:pPr>
              <w:jc w:val="center"/>
              <w:textAlignment w:val="bottom"/>
            </w:pPr>
            <w:r>
              <w:rPr>
                <w:rFonts w:ascii="Arial" w:eastAsia="宋体" w:hAnsi="Arial" w:cs="Arial"/>
                <w:b/>
                <w:bCs/>
                <w:color w:val="262626"/>
                <w:sz w:val="18"/>
                <w:szCs w:val="18"/>
              </w:rPr>
              <w:t>Exhibit Description</w:t>
            </w:r>
          </w:p>
        </w:tc>
        <w:tc>
          <w:tcPr>
            <w:tcW w:w="0" w:type="auto"/>
            <w:gridSpan w:val="3"/>
            <w:shd w:val="clear" w:color="auto" w:fill="auto"/>
            <w:tcMar>
              <w:top w:w="0" w:type="dxa"/>
              <w:left w:w="20" w:type="dxa"/>
              <w:bottom w:w="0" w:type="dxa"/>
              <w:right w:w="20" w:type="dxa"/>
            </w:tcMar>
          </w:tcPr>
          <w:p w14:paraId="5C7C7A77"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A78" w14:textId="77777777" w:rsidR="0008009C" w:rsidRDefault="00936FDF">
            <w:pPr>
              <w:jc w:val="center"/>
              <w:textAlignment w:val="bottom"/>
            </w:pPr>
            <w:r>
              <w:rPr>
                <w:rFonts w:ascii="Arial" w:eastAsia="宋体" w:hAnsi="Arial" w:cs="Arial"/>
                <w:b/>
                <w:bCs/>
                <w:color w:val="262626"/>
                <w:sz w:val="18"/>
                <w:szCs w:val="18"/>
              </w:rPr>
              <w:t>Form</w:t>
            </w:r>
          </w:p>
        </w:tc>
        <w:tc>
          <w:tcPr>
            <w:tcW w:w="0" w:type="auto"/>
            <w:gridSpan w:val="3"/>
            <w:tcBorders>
              <w:top w:val="single" w:sz="8" w:space="0" w:color="0068B5"/>
            </w:tcBorders>
            <w:shd w:val="clear" w:color="auto" w:fill="auto"/>
            <w:tcMar>
              <w:top w:w="0" w:type="dxa"/>
              <w:left w:w="20" w:type="dxa"/>
              <w:bottom w:w="0" w:type="dxa"/>
              <w:right w:w="20" w:type="dxa"/>
            </w:tcMar>
          </w:tcPr>
          <w:p w14:paraId="5C7C7A79"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A7A" w14:textId="77777777" w:rsidR="0008009C" w:rsidRDefault="00936FDF">
            <w:pPr>
              <w:jc w:val="center"/>
              <w:textAlignment w:val="bottom"/>
            </w:pPr>
            <w:r>
              <w:rPr>
                <w:rFonts w:ascii="Arial" w:eastAsia="宋体" w:hAnsi="Arial" w:cs="Arial"/>
                <w:b/>
                <w:bCs/>
                <w:color w:val="262626"/>
                <w:sz w:val="18"/>
                <w:szCs w:val="18"/>
              </w:rPr>
              <w:t xml:space="preserve">File </w:t>
            </w:r>
            <w:r>
              <w:rPr>
                <w:rFonts w:ascii="Arial" w:eastAsia="宋体" w:hAnsi="Arial" w:cs="Arial"/>
                <w:b/>
                <w:bCs/>
                <w:color w:val="262626"/>
                <w:sz w:val="18"/>
                <w:szCs w:val="18"/>
              </w:rPr>
              <w:t>Number</w:t>
            </w:r>
          </w:p>
        </w:tc>
        <w:tc>
          <w:tcPr>
            <w:tcW w:w="0" w:type="auto"/>
            <w:gridSpan w:val="3"/>
            <w:tcBorders>
              <w:top w:val="single" w:sz="8" w:space="0" w:color="0068B5"/>
            </w:tcBorders>
            <w:shd w:val="clear" w:color="auto" w:fill="auto"/>
            <w:tcMar>
              <w:top w:w="0" w:type="dxa"/>
              <w:left w:w="20" w:type="dxa"/>
              <w:bottom w:w="0" w:type="dxa"/>
              <w:right w:w="20" w:type="dxa"/>
            </w:tcMar>
          </w:tcPr>
          <w:p w14:paraId="5C7C7A7B"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A7C" w14:textId="77777777" w:rsidR="0008009C" w:rsidRDefault="00936FDF">
            <w:pPr>
              <w:jc w:val="center"/>
              <w:textAlignment w:val="bottom"/>
            </w:pPr>
            <w:r>
              <w:rPr>
                <w:rFonts w:ascii="Arial" w:eastAsia="宋体" w:hAnsi="Arial" w:cs="Arial"/>
                <w:b/>
                <w:bCs/>
                <w:color w:val="262626"/>
                <w:sz w:val="18"/>
                <w:szCs w:val="18"/>
              </w:rPr>
              <w:t>Exhibit</w:t>
            </w:r>
          </w:p>
        </w:tc>
        <w:tc>
          <w:tcPr>
            <w:tcW w:w="0" w:type="auto"/>
            <w:gridSpan w:val="3"/>
            <w:tcBorders>
              <w:top w:val="single" w:sz="8" w:space="0" w:color="0068B5"/>
            </w:tcBorders>
            <w:shd w:val="clear" w:color="auto" w:fill="auto"/>
            <w:tcMar>
              <w:top w:w="0" w:type="dxa"/>
              <w:left w:w="20" w:type="dxa"/>
              <w:bottom w:w="0" w:type="dxa"/>
              <w:right w:w="20" w:type="dxa"/>
            </w:tcMar>
          </w:tcPr>
          <w:p w14:paraId="5C7C7A7D"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5C7C7A7E" w14:textId="77777777" w:rsidR="0008009C" w:rsidRDefault="00936FDF">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tcPr>
          <w:p w14:paraId="5C7C7A7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A80" w14:textId="77777777" w:rsidR="0008009C" w:rsidRDefault="00936FDF">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08009C" w14:paraId="5C7C7A8F" w14:textId="77777777">
        <w:tc>
          <w:tcPr>
            <w:tcW w:w="0" w:type="auto"/>
            <w:gridSpan w:val="3"/>
            <w:tcBorders>
              <w:top w:val="single" w:sz="8" w:space="0" w:color="0068B5"/>
            </w:tcBorders>
            <w:shd w:val="clear" w:color="auto" w:fill="auto"/>
            <w:tcMar>
              <w:top w:w="40" w:type="dxa"/>
              <w:left w:w="20" w:type="dxa"/>
              <w:bottom w:w="40" w:type="dxa"/>
              <w:right w:w="20" w:type="dxa"/>
            </w:tcMar>
          </w:tcPr>
          <w:p w14:paraId="5C7C7A82" w14:textId="77777777" w:rsidR="0008009C" w:rsidRDefault="00936FDF">
            <w:pPr>
              <w:jc w:val="center"/>
              <w:textAlignment w:val="top"/>
            </w:pPr>
            <w:r>
              <w:rPr>
                <w:rFonts w:ascii="Arial" w:eastAsia="宋体" w:hAnsi="Arial" w:cs="Arial"/>
                <w:color w:val="262626"/>
                <w:sz w:val="18"/>
                <w:szCs w:val="18"/>
              </w:rPr>
              <w:t>3.1</w:t>
            </w:r>
          </w:p>
        </w:tc>
        <w:tc>
          <w:tcPr>
            <w:tcW w:w="0" w:type="auto"/>
            <w:gridSpan w:val="3"/>
            <w:shd w:val="clear" w:color="auto" w:fill="auto"/>
            <w:tcMar>
              <w:top w:w="0" w:type="dxa"/>
              <w:left w:w="20" w:type="dxa"/>
              <w:bottom w:w="0" w:type="dxa"/>
              <w:right w:w="20" w:type="dxa"/>
            </w:tcMar>
          </w:tcPr>
          <w:p w14:paraId="5C7C7A83"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5C7C7A84" w14:textId="77777777" w:rsidR="0008009C" w:rsidRDefault="00936FDF">
            <w:pPr>
              <w:textAlignment w:val="top"/>
            </w:pPr>
            <w:hyperlink r:id="rId63" w:history="1">
              <w:r>
                <w:rPr>
                  <w:rStyle w:val="a5"/>
                  <w:rFonts w:ascii="Arial" w:eastAsia="宋体" w:hAnsi="Arial" w:cs="Arial"/>
                  <w:color w:val="0068B5"/>
                  <w:sz w:val="18"/>
                  <w:szCs w:val="18"/>
                </w:rPr>
                <w:t>Third Restated Certificate of Incorporation of Intel Corporation, dated Ma</w:t>
              </w:r>
              <w:r>
                <w:rPr>
                  <w:rStyle w:val="a5"/>
                  <w:rFonts w:ascii="Arial" w:eastAsia="宋体" w:hAnsi="Arial" w:cs="Arial"/>
                  <w:color w:val="0068B5"/>
                  <w:sz w:val="18"/>
                  <w:szCs w:val="18"/>
                </w:rPr>
                <w:t>y 17, 2006</w:t>
              </w:r>
            </w:hyperlink>
          </w:p>
        </w:tc>
        <w:tc>
          <w:tcPr>
            <w:tcW w:w="0" w:type="auto"/>
            <w:gridSpan w:val="3"/>
            <w:shd w:val="clear" w:color="auto" w:fill="auto"/>
            <w:tcMar>
              <w:top w:w="0" w:type="dxa"/>
              <w:left w:w="20" w:type="dxa"/>
              <w:bottom w:w="0" w:type="dxa"/>
              <w:right w:w="20" w:type="dxa"/>
            </w:tcMar>
          </w:tcPr>
          <w:p w14:paraId="5C7C7A85"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5C7C7A86" w14:textId="77777777" w:rsidR="0008009C" w:rsidRDefault="00936FDF">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5C7C7A87"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5C7C7A88" w14:textId="77777777" w:rsidR="0008009C" w:rsidRDefault="00936FDF">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5C7C7A89"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5C7C7A8A" w14:textId="77777777" w:rsidR="0008009C" w:rsidRDefault="00936FDF">
            <w:pPr>
              <w:jc w:val="center"/>
              <w:textAlignment w:val="top"/>
            </w:pPr>
            <w:r>
              <w:rPr>
                <w:rFonts w:ascii="Arial" w:eastAsia="宋体" w:hAnsi="Arial" w:cs="Arial"/>
                <w:color w:val="262626"/>
                <w:sz w:val="18"/>
                <w:szCs w:val="18"/>
              </w:rPr>
              <w:t>3.1</w:t>
            </w:r>
          </w:p>
        </w:tc>
        <w:tc>
          <w:tcPr>
            <w:tcW w:w="0" w:type="auto"/>
            <w:gridSpan w:val="3"/>
            <w:shd w:val="clear" w:color="auto" w:fill="auto"/>
            <w:tcMar>
              <w:top w:w="0" w:type="dxa"/>
              <w:left w:w="20" w:type="dxa"/>
              <w:bottom w:w="0" w:type="dxa"/>
              <w:right w:w="20" w:type="dxa"/>
            </w:tcMar>
          </w:tcPr>
          <w:p w14:paraId="5C7C7A8B"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5C7C7A8C" w14:textId="77777777" w:rsidR="0008009C" w:rsidRDefault="00936FDF">
            <w:pPr>
              <w:jc w:val="center"/>
              <w:textAlignment w:val="top"/>
            </w:pPr>
            <w:r>
              <w:rPr>
                <w:rFonts w:ascii="Arial" w:eastAsia="宋体" w:hAnsi="Arial" w:cs="Arial"/>
                <w:color w:val="262626"/>
                <w:sz w:val="18"/>
                <w:szCs w:val="18"/>
              </w:rPr>
              <w:t>5/22/2006</w:t>
            </w:r>
          </w:p>
        </w:tc>
        <w:tc>
          <w:tcPr>
            <w:tcW w:w="0" w:type="auto"/>
            <w:gridSpan w:val="3"/>
            <w:shd w:val="clear" w:color="auto" w:fill="auto"/>
            <w:tcMar>
              <w:top w:w="0" w:type="dxa"/>
              <w:left w:w="20" w:type="dxa"/>
              <w:bottom w:w="0" w:type="dxa"/>
              <w:right w:w="20" w:type="dxa"/>
            </w:tcMar>
          </w:tcPr>
          <w:p w14:paraId="5C7C7A8D" w14:textId="77777777" w:rsidR="0008009C" w:rsidRDefault="0008009C">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5C7C7A8E" w14:textId="77777777" w:rsidR="0008009C" w:rsidRDefault="0008009C">
            <w:pPr>
              <w:rPr>
                <w:rFonts w:ascii="宋体"/>
              </w:rPr>
            </w:pPr>
          </w:p>
        </w:tc>
      </w:tr>
      <w:tr w:rsidR="0008009C" w14:paraId="5C7C7A9D" w14:textId="77777777">
        <w:tc>
          <w:tcPr>
            <w:tcW w:w="0" w:type="auto"/>
            <w:gridSpan w:val="3"/>
            <w:shd w:val="clear" w:color="auto" w:fill="auto"/>
            <w:tcMar>
              <w:top w:w="40" w:type="dxa"/>
              <w:left w:w="20" w:type="dxa"/>
              <w:bottom w:w="40" w:type="dxa"/>
              <w:right w:w="20" w:type="dxa"/>
            </w:tcMar>
          </w:tcPr>
          <w:p w14:paraId="5C7C7A90" w14:textId="77777777" w:rsidR="0008009C" w:rsidRDefault="00936FDF">
            <w:pPr>
              <w:jc w:val="center"/>
              <w:textAlignment w:val="top"/>
            </w:pPr>
            <w:r>
              <w:rPr>
                <w:rFonts w:ascii="Arial" w:eastAsia="宋体" w:hAnsi="Arial" w:cs="Arial"/>
                <w:color w:val="262626"/>
                <w:sz w:val="18"/>
                <w:szCs w:val="18"/>
              </w:rPr>
              <w:t>3.2</w:t>
            </w:r>
          </w:p>
        </w:tc>
        <w:tc>
          <w:tcPr>
            <w:tcW w:w="0" w:type="auto"/>
            <w:gridSpan w:val="3"/>
            <w:shd w:val="clear" w:color="auto" w:fill="auto"/>
            <w:tcMar>
              <w:top w:w="0" w:type="dxa"/>
              <w:left w:w="20" w:type="dxa"/>
              <w:bottom w:w="0" w:type="dxa"/>
              <w:right w:w="20" w:type="dxa"/>
            </w:tcMar>
          </w:tcPr>
          <w:p w14:paraId="5C7C7A91"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92" w14:textId="77777777" w:rsidR="0008009C" w:rsidRDefault="00936FDF">
            <w:pPr>
              <w:textAlignment w:val="top"/>
            </w:pPr>
            <w:hyperlink r:id="rId64" w:history="1">
              <w:r>
                <w:rPr>
                  <w:rStyle w:val="a5"/>
                  <w:rFonts w:ascii="Arial" w:eastAsia="宋体" w:hAnsi="Arial" w:cs="Arial"/>
                  <w:color w:val="0068B5"/>
                  <w:sz w:val="18"/>
                  <w:szCs w:val="18"/>
                </w:rPr>
                <w:t xml:space="preserve">Intel Corporation Bylaws, as amended and restated on </w:t>
              </w:r>
            </w:hyperlink>
            <w:hyperlink r:id="rId65" w:history="1">
              <w:r>
                <w:rPr>
                  <w:rStyle w:val="a5"/>
                  <w:rFonts w:ascii="Arial" w:eastAsia="宋体" w:hAnsi="Arial" w:cs="Arial"/>
                  <w:color w:val="0068B5"/>
                  <w:sz w:val="18"/>
                  <w:szCs w:val="18"/>
                </w:rPr>
                <w:t>March</w:t>
              </w:r>
            </w:hyperlink>
            <w:hyperlink r:id="rId66" w:history="1">
              <w:r>
                <w:rPr>
                  <w:rStyle w:val="a5"/>
                  <w:rFonts w:ascii="Arial" w:eastAsia="宋体" w:hAnsi="Arial" w:cs="Arial"/>
                  <w:color w:val="0068B5"/>
                  <w:sz w:val="18"/>
                  <w:szCs w:val="18"/>
                </w:rPr>
                <w:t xml:space="preserve"> 1</w:t>
              </w:r>
            </w:hyperlink>
            <w:hyperlink r:id="rId67" w:history="1">
              <w:r>
                <w:rPr>
                  <w:rStyle w:val="a5"/>
                  <w:rFonts w:ascii="Arial" w:eastAsia="宋体" w:hAnsi="Arial" w:cs="Arial"/>
                  <w:color w:val="0068B5"/>
                  <w:sz w:val="18"/>
                  <w:szCs w:val="18"/>
                </w:rPr>
                <w:t>0</w:t>
              </w:r>
            </w:hyperlink>
            <w:hyperlink r:id="rId68" w:history="1">
              <w:r>
                <w:rPr>
                  <w:rStyle w:val="a5"/>
                  <w:rFonts w:ascii="Arial" w:eastAsia="宋体" w:hAnsi="Arial" w:cs="Arial"/>
                  <w:color w:val="0068B5"/>
                  <w:sz w:val="18"/>
                  <w:szCs w:val="18"/>
                </w:rPr>
                <w:t>, 20</w:t>
              </w:r>
            </w:hyperlink>
            <w:hyperlink r:id="rId69" w:history="1">
              <w:r>
                <w:rPr>
                  <w:rStyle w:val="a5"/>
                  <w:rFonts w:ascii="Arial" w:eastAsia="宋体" w:hAnsi="Arial" w:cs="Arial"/>
                  <w:color w:val="0068B5"/>
                  <w:sz w:val="18"/>
                  <w:szCs w:val="18"/>
                </w:rPr>
                <w:t>21</w:t>
              </w:r>
            </w:hyperlink>
          </w:p>
        </w:tc>
        <w:tc>
          <w:tcPr>
            <w:tcW w:w="0" w:type="auto"/>
            <w:gridSpan w:val="3"/>
            <w:shd w:val="clear" w:color="auto" w:fill="auto"/>
            <w:tcMar>
              <w:top w:w="0" w:type="dxa"/>
              <w:left w:w="20" w:type="dxa"/>
              <w:bottom w:w="0" w:type="dxa"/>
              <w:right w:w="20" w:type="dxa"/>
            </w:tcMar>
          </w:tcPr>
          <w:p w14:paraId="5C7C7A93"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94" w14:textId="77777777" w:rsidR="0008009C" w:rsidRDefault="00936FDF">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5C7C7A95"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96" w14:textId="77777777" w:rsidR="0008009C" w:rsidRDefault="00936FDF">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5C7C7A97"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98" w14:textId="77777777" w:rsidR="0008009C" w:rsidRDefault="00936FDF">
            <w:pPr>
              <w:jc w:val="center"/>
              <w:textAlignment w:val="top"/>
            </w:pPr>
            <w:r>
              <w:rPr>
                <w:rFonts w:ascii="Arial" w:eastAsia="宋体" w:hAnsi="Arial" w:cs="Arial"/>
                <w:color w:val="262626"/>
                <w:sz w:val="18"/>
                <w:szCs w:val="18"/>
              </w:rPr>
              <w:t>3.2</w:t>
            </w:r>
          </w:p>
        </w:tc>
        <w:tc>
          <w:tcPr>
            <w:tcW w:w="0" w:type="auto"/>
            <w:gridSpan w:val="3"/>
            <w:shd w:val="clear" w:color="auto" w:fill="auto"/>
            <w:tcMar>
              <w:top w:w="0" w:type="dxa"/>
              <w:left w:w="20" w:type="dxa"/>
              <w:bottom w:w="0" w:type="dxa"/>
              <w:right w:w="20" w:type="dxa"/>
            </w:tcMar>
          </w:tcPr>
          <w:p w14:paraId="5C7C7A99"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9A" w14:textId="77777777" w:rsidR="0008009C" w:rsidRDefault="00936FDF">
            <w:pPr>
              <w:jc w:val="center"/>
              <w:textAlignment w:val="top"/>
            </w:pPr>
            <w:r>
              <w:rPr>
                <w:rFonts w:ascii="Arial" w:eastAsia="宋体" w:hAnsi="Arial" w:cs="Arial"/>
                <w:color w:val="262626"/>
                <w:sz w:val="18"/>
                <w:szCs w:val="18"/>
              </w:rPr>
              <w:t>3/16/2021</w:t>
            </w:r>
          </w:p>
        </w:tc>
        <w:tc>
          <w:tcPr>
            <w:tcW w:w="0" w:type="auto"/>
            <w:gridSpan w:val="3"/>
            <w:shd w:val="clear" w:color="auto" w:fill="auto"/>
            <w:tcMar>
              <w:top w:w="0" w:type="dxa"/>
              <w:left w:w="20" w:type="dxa"/>
              <w:bottom w:w="0" w:type="dxa"/>
              <w:right w:w="20" w:type="dxa"/>
            </w:tcMar>
          </w:tcPr>
          <w:p w14:paraId="5C7C7A9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9C" w14:textId="77777777" w:rsidR="0008009C" w:rsidRDefault="0008009C">
            <w:pPr>
              <w:rPr>
                <w:rFonts w:ascii="宋体"/>
              </w:rPr>
            </w:pPr>
          </w:p>
        </w:tc>
      </w:tr>
      <w:tr w:rsidR="0008009C" w14:paraId="5C7C7AAB" w14:textId="77777777">
        <w:tc>
          <w:tcPr>
            <w:tcW w:w="0" w:type="auto"/>
            <w:gridSpan w:val="3"/>
            <w:shd w:val="clear" w:color="auto" w:fill="auto"/>
            <w:tcMar>
              <w:top w:w="40" w:type="dxa"/>
              <w:left w:w="20" w:type="dxa"/>
              <w:bottom w:w="40" w:type="dxa"/>
              <w:right w:w="20" w:type="dxa"/>
            </w:tcMar>
          </w:tcPr>
          <w:p w14:paraId="5C7C7A9E" w14:textId="77777777" w:rsidR="0008009C" w:rsidRDefault="00936FDF">
            <w:pPr>
              <w:jc w:val="center"/>
              <w:textAlignment w:val="top"/>
            </w:pPr>
            <w:r>
              <w:rPr>
                <w:rFonts w:ascii="Arial" w:eastAsia="宋体" w:hAnsi="Arial" w:cs="Arial"/>
                <w:color w:val="262626"/>
                <w:sz w:val="18"/>
                <w:szCs w:val="18"/>
              </w:rPr>
              <w:t>10.1</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5C7C7A9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A0" w14:textId="77777777" w:rsidR="0008009C" w:rsidRDefault="00936FDF">
            <w:pPr>
              <w:textAlignment w:val="top"/>
            </w:pPr>
            <w:hyperlink r:id="rId70" w:history="1">
              <w:r>
                <w:rPr>
                  <w:rStyle w:val="a5"/>
                  <w:rFonts w:ascii="Arial" w:eastAsia="宋体" w:hAnsi="Arial" w:cs="Arial"/>
                  <w:color w:val="0068B5"/>
                  <w:sz w:val="18"/>
                  <w:szCs w:val="18"/>
                </w:rPr>
                <w:t>Offer Letter</w:t>
              </w:r>
            </w:hyperlink>
            <w:hyperlink r:id="rId71" w:history="1">
              <w:r>
                <w:rPr>
                  <w:rStyle w:val="a5"/>
                  <w:rFonts w:ascii="Arial" w:eastAsia="宋体" w:hAnsi="Arial" w:cs="Arial"/>
                  <w:color w:val="0068B5"/>
                  <w:sz w:val="18"/>
                  <w:szCs w:val="18"/>
                </w:rPr>
                <w:t xml:space="preserve"> between Intel Corporation and </w:t>
              </w:r>
            </w:hyperlink>
            <w:hyperlink r:id="rId72" w:history="1">
              <w:r>
                <w:rPr>
                  <w:rStyle w:val="a5"/>
                  <w:rFonts w:ascii="Arial" w:eastAsia="宋体" w:hAnsi="Arial" w:cs="Arial"/>
                  <w:color w:val="0068B5"/>
                  <w:sz w:val="18"/>
                  <w:szCs w:val="18"/>
                </w:rPr>
                <w:t>Patrick Gelsinger</w:t>
              </w:r>
            </w:hyperlink>
            <w:hyperlink r:id="rId73" w:history="1">
              <w:r>
                <w:rPr>
                  <w:rStyle w:val="a5"/>
                  <w:rFonts w:ascii="Arial" w:eastAsia="宋体" w:hAnsi="Arial" w:cs="Arial"/>
                  <w:color w:val="0068B5"/>
                  <w:sz w:val="18"/>
                  <w:szCs w:val="18"/>
                </w:rPr>
                <w:t xml:space="preserve"> dated </w:t>
              </w:r>
            </w:hyperlink>
            <w:hyperlink r:id="rId74" w:history="1">
              <w:r>
                <w:rPr>
                  <w:rStyle w:val="a5"/>
                  <w:rFonts w:ascii="Arial" w:eastAsia="宋体" w:hAnsi="Arial" w:cs="Arial"/>
                  <w:color w:val="0068B5"/>
                  <w:sz w:val="18"/>
                  <w:szCs w:val="18"/>
                </w:rPr>
                <w:t>January 13, 2021</w:t>
              </w:r>
            </w:hyperlink>
          </w:p>
        </w:tc>
        <w:tc>
          <w:tcPr>
            <w:tcW w:w="0" w:type="auto"/>
            <w:gridSpan w:val="3"/>
            <w:shd w:val="clear" w:color="auto" w:fill="auto"/>
            <w:tcMar>
              <w:top w:w="0" w:type="dxa"/>
              <w:left w:w="20" w:type="dxa"/>
              <w:bottom w:w="0" w:type="dxa"/>
              <w:right w:w="20" w:type="dxa"/>
            </w:tcMar>
          </w:tcPr>
          <w:p w14:paraId="5C7C7AA1"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A2" w14:textId="77777777" w:rsidR="0008009C" w:rsidRDefault="00936FDF">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5C7C7AA3"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A4" w14:textId="77777777" w:rsidR="0008009C" w:rsidRDefault="00936FDF">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5C7C7AA5"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A6" w14:textId="77777777" w:rsidR="0008009C" w:rsidRDefault="00936FDF">
            <w:pPr>
              <w:jc w:val="center"/>
              <w:textAlignment w:val="top"/>
            </w:pPr>
            <w:r>
              <w:rPr>
                <w:rFonts w:ascii="Arial" w:eastAsia="宋体" w:hAnsi="Arial" w:cs="Arial"/>
                <w:color w:val="262626"/>
                <w:sz w:val="18"/>
                <w:szCs w:val="18"/>
              </w:rPr>
              <w:t>10.1</w:t>
            </w:r>
          </w:p>
        </w:tc>
        <w:tc>
          <w:tcPr>
            <w:tcW w:w="0" w:type="auto"/>
            <w:gridSpan w:val="3"/>
            <w:shd w:val="clear" w:color="auto" w:fill="auto"/>
            <w:tcMar>
              <w:top w:w="0" w:type="dxa"/>
              <w:left w:w="20" w:type="dxa"/>
              <w:bottom w:w="0" w:type="dxa"/>
              <w:right w:w="20" w:type="dxa"/>
            </w:tcMar>
          </w:tcPr>
          <w:p w14:paraId="5C7C7AA7"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A8" w14:textId="77777777" w:rsidR="0008009C" w:rsidRDefault="00936FDF">
            <w:pPr>
              <w:jc w:val="center"/>
              <w:textAlignment w:val="top"/>
            </w:pPr>
            <w:r>
              <w:rPr>
                <w:rFonts w:ascii="Arial" w:eastAsia="宋体" w:hAnsi="Arial" w:cs="Arial"/>
                <w:color w:val="262626"/>
                <w:sz w:val="18"/>
                <w:szCs w:val="18"/>
              </w:rPr>
              <w:t>1/14/2021</w:t>
            </w:r>
          </w:p>
        </w:tc>
        <w:tc>
          <w:tcPr>
            <w:tcW w:w="0" w:type="auto"/>
            <w:gridSpan w:val="3"/>
            <w:shd w:val="clear" w:color="auto" w:fill="auto"/>
            <w:tcMar>
              <w:top w:w="0" w:type="dxa"/>
              <w:left w:w="20" w:type="dxa"/>
              <w:bottom w:w="0" w:type="dxa"/>
              <w:right w:w="20" w:type="dxa"/>
            </w:tcMar>
          </w:tcPr>
          <w:p w14:paraId="5C7C7AA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AA" w14:textId="77777777" w:rsidR="0008009C" w:rsidRDefault="0008009C">
            <w:pPr>
              <w:rPr>
                <w:rFonts w:ascii="宋体"/>
              </w:rPr>
            </w:pPr>
          </w:p>
        </w:tc>
      </w:tr>
      <w:tr w:rsidR="0008009C" w14:paraId="5C7C7AB9" w14:textId="77777777">
        <w:tc>
          <w:tcPr>
            <w:tcW w:w="0" w:type="auto"/>
            <w:gridSpan w:val="3"/>
            <w:shd w:val="clear" w:color="auto" w:fill="auto"/>
            <w:tcMar>
              <w:top w:w="40" w:type="dxa"/>
              <w:left w:w="20" w:type="dxa"/>
              <w:bottom w:w="40" w:type="dxa"/>
              <w:right w:w="20" w:type="dxa"/>
            </w:tcMar>
          </w:tcPr>
          <w:p w14:paraId="5C7C7AAC" w14:textId="77777777" w:rsidR="0008009C" w:rsidRDefault="00936FDF">
            <w:pPr>
              <w:jc w:val="center"/>
              <w:textAlignment w:val="top"/>
            </w:pPr>
            <w:r>
              <w:rPr>
                <w:rFonts w:ascii="Arial" w:eastAsia="宋体" w:hAnsi="Arial" w:cs="Arial"/>
                <w:color w:val="262626"/>
                <w:sz w:val="18"/>
                <w:szCs w:val="18"/>
              </w:rPr>
              <w:t>10.2</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5C7C7AAD"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AE" w14:textId="77777777" w:rsidR="0008009C" w:rsidRDefault="00936FDF">
            <w:pPr>
              <w:textAlignment w:val="top"/>
            </w:pPr>
            <w:hyperlink r:id="rId75" w:history="1">
              <w:r>
                <w:rPr>
                  <w:rStyle w:val="a5"/>
                  <w:rFonts w:ascii="Arial" w:eastAsia="宋体" w:hAnsi="Arial" w:cs="Arial"/>
                  <w:color w:val="0068B5"/>
                  <w:sz w:val="18"/>
                  <w:szCs w:val="18"/>
                </w:rPr>
                <w:t>Intel Corporation 2021 Inducement Plan</w:t>
              </w:r>
            </w:hyperlink>
          </w:p>
        </w:tc>
        <w:tc>
          <w:tcPr>
            <w:tcW w:w="0" w:type="auto"/>
            <w:gridSpan w:val="3"/>
            <w:shd w:val="clear" w:color="auto" w:fill="auto"/>
            <w:tcMar>
              <w:top w:w="0" w:type="dxa"/>
              <w:left w:w="20" w:type="dxa"/>
              <w:bottom w:w="0" w:type="dxa"/>
              <w:right w:w="20" w:type="dxa"/>
            </w:tcMar>
          </w:tcPr>
          <w:p w14:paraId="5C7C7AA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B0" w14:textId="77777777" w:rsidR="0008009C" w:rsidRDefault="00936FDF">
            <w:pPr>
              <w:jc w:val="center"/>
              <w:textAlignment w:val="top"/>
            </w:pPr>
            <w:r>
              <w:rPr>
                <w:rFonts w:ascii="Arial" w:eastAsia="宋体" w:hAnsi="Arial" w:cs="Arial"/>
                <w:color w:val="262626"/>
                <w:sz w:val="18"/>
                <w:szCs w:val="18"/>
              </w:rPr>
              <w:t>S-8</w:t>
            </w:r>
          </w:p>
        </w:tc>
        <w:tc>
          <w:tcPr>
            <w:tcW w:w="0" w:type="auto"/>
            <w:gridSpan w:val="3"/>
            <w:shd w:val="clear" w:color="auto" w:fill="auto"/>
            <w:tcMar>
              <w:top w:w="0" w:type="dxa"/>
              <w:left w:w="20" w:type="dxa"/>
              <w:bottom w:w="0" w:type="dxa"/>
              <w:right w:w="20" w:type="dxa"/>
            </w:tcMar>
          </w:tcPr>
          <w:p w14:paraId="5C7C7AB1"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B2" w14:textId="77777777" w:rsidR="0008009C" w:rsidRDefault="00936FDF">
            <w:pPr>
              <w:jc w:val="center"/>
              <w:textAlignment w:val="top"/>
            </w:pPr>
            <w:r>
              <w:rPr>
                <w:rFonts w:ascii="Arial" w:eastAsia="宋体" w:hAnsi="Arial" w:cs="Arial"/>
                <w:color w:val="262626"/>
                <w:sz w:val="18"/>
                <w:szCs w:val="18"/>
              </w:rPr>
              <w:t>333-253077</w:t>
            </w:r>
          </w:p>
        </w:tc>
        <w:tc>
          <w:tcPr>
            <w:tcW w:w="0" w:type="auto"/>
            <w:gridSpan w:val="3"/>
            <w:shd w:val="clear" w:color="auto" w:fill="auto"/>
            <w:tcMar>
              <w:top w:w="0" w:type="dxa"/>
              <w:left w:w="20" w:type="dxa"/>
              <w:bottom w:w="0" w:type="dxa"/>
              <w:right w:w="20" w:type="dxa"/>
            </w:tcMar>
          </w:tcPr>
          <w:p w14:paraId="5C7C7AB3"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B4" w14:textId="77777777" w:rsidR="0008009C" w:rsidRDefault="00936FDF">
            <w:pPr>
              <w:jc w:val="center"/>
              <w:textAlignment w:val="top"/>
            </w:pPr>
            <w:r>
              <w:rPr>
                <w:rFonts w:ascii="Arial" w:eastAsia="宋体" w:hAnsi="Arial" w:cs="Arial"/>
                <w:color w:val="262626"/>
                <w:sz w:val="18"/>
                <w:szCs w:val="18"/>
              </w:rPr>
              <w:t>99.1</w:t>
            </w:r>
          </w:p>
        </w:tc>
        <w:tc>
          <w:tcPr>
            <w:tcW w:w="0" w:type="auto"/>
            <w:gridSpan w:val="3"/>
            <w:shd w:val="clear" w:color="auto" w:fill="auto"/>
            <w:tcMar>
              <w:top w:w="0" w:type="dxa"/>
              <w:left w:w="20" w:type="dxa"/>
              <w:bottom w:w="0" w:type="dxa"/>
              <w:right w:w="20" w:type="dxa"/>
            </w:tcMar>
          </w:tcPr>
          <w:p w14:paraId="5C7C7AB5"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B6" w14:textId="77777777" w:rsidR="0008009C" w:rsidRDefault="00936FDF">
            <w:pPr>
              <w:jc w:val="center"/>
              <w:textAlignment w:val="top"/>
            </w:pPr>
            <w:r>
              <w:rPr>
                <w:rFonts w:ascii="Arial" w:eastAsia="宋体" w:hAnsi="Arial" w:cs="Arial"/>
                <w:color w:val="262626"/>
                <w:sz w:val="18"/>
                <w:szCs w:val="18"/>
              </w:rPr>
              <w:t>2/12/2021</w:t>
            </w:r>
          </w:p>
        </w:tc>
        <w:tc>
          <w:tcPr>
            <w:tcW w:w="0" w:type="auto"/>
            <w:gridSpan w:val="3"/>
            <w:shd w:val="clear" w:color="auto" w:fill="auto"/>
            <w:tcMar>
              <w:top w:w="0" w:type="dxa"/>
              <w:left w:w="20" w:type="dxa"/>
              <w:bottom w:w="0" w:type="dxa"/>
              <w:right w:w="20" w:type="dxa"/>
            </w:tcMar>
          </w:tcPr>
          <w:p w14:paraId="5C7C7AB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B8" w14:textId="77777777" w:rsidR="0008009C" w:rsidRDefault="0008009C">
            <w:pPr>
              <w:rPr>
                <w:rFonts w:ascii="宋体"/>
              </w:rPr>
            </w:pPr>
          </w:p>
        </w:tc>
      </w:tr>
      <w:tr w:rsidR="0008009C" w14:paraId="5C7C7AC7" w14:textId="77777777">
        <w:tc>
          <w:tcPr>
            <w:tcW w:w="0" w:type="auto"/>
            <w:gridSpan w:val="3"/>
            <w:shd w:val="clear" w:color="auto" w:fill="auto"/>
            <w:tcMar>
              <w:top w:w="40" w:type="dxa"/>
              <w:left w:w="20" w:type="dxa"/>
              <w:bottom w:w="40" w:type="dxa"/>
              <w:right w:w="20" w:type="dxa"/>
            </w:tcMar>
          </w:tcPr>
          <w:p w14:paraId="5C7C7ABA" w14:textId="77777777" w:rsidR="0008009C" w:rsidRDefault="00936FDF">
            <w:pPr>
              <w:jc w:val="center"/>
              <w:textAlignment w:val="top"/>
            </w:pPr>
            <w:r>
              <w:rPr>
                <w:rFonts w:ascii="Arial" w:eastAsia="宋体" w:hAnsi="Arial" w:cs="Arial"/>
                <w:color w:val="262626"/>
                <w:sz w:val="18"/>
                <w:szCs w:val="18"/>
              </w:rPr>
              <w:t>10.3</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5C7C7ABB"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BC" w14:textId="77777777" w:rsidR="0008009C" w:rsidRDefault="00936FDF">
            <w:pPr>
              <w:textAlignment w:val="top"/>
            </w:pPr>
            <w:hyperlink r:id="rId76" w:history="1">
              <w:r>
                <w:rPr>
                  <w:rStyle w:val="a5"/>
                  <w:rFonts w:ascii="Arial" w:eastAsia="宋体" w:hAnsi="Arial" w:cs="Arial"/>
                  <w:color w:val="0068B5"/>
                  <w:sz w:val="18"/>
                  <w:szCs w:val="18"/>
                </w:rPr>
                <w:t>Intel Corporation Restricted Stock Unit Agreement under the 2021 Inducement Plan (for time-vesting RSUs)</w:t>
              </w:r>
            </w:hyperlink>
          </w:p>
        </w:tc>
        <w:tc>
          <w:tcPr>
            <w:tcW w:w="0" w:type="auto"/>
            <w:gridSpan w:val="3"/>
            <w:shd w:val="clear" w:color="auto" w:fill="auto"/>
            <w:tcMar>
              <w:top w:w="0" w:type="dxa"/>
              <w:left w:w="20" w:type="dxa"/>
              <w:bottom w:w="0" w:type="dxa"/>
              <w:right w:w="20" w:type="dxa"/>
            </w:tcMar>
          </w:tcPr>
          <w:p w14:paraId="5C7C7AB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B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B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C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C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C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C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C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C5"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C6" w14:textId="77777777" w:rsidR="0008009C" w:rsidRDefault="00936FDF">
            <w:pPr>
              <w:jc w:val="center"/>
              <w:textAlignment w:val="top"/>
            </w:pPr>
            <w:r>
              <w:rPr>
                <w:rFonts w:ascii="Arial" w:eastAsia="宋体" w:hAnsi="Arial" w:cs="Arial"/>
                <w:color w:val="262626"/>
                <w:sz w:val="18"/>
                <w:szCs w:val="18"/>
              </w:rPr>
              <w:t>X</w:t>
            </w:r>
          </w:p>
        </w:tc>
      </w:tr>
      <w:tr w:rsidR="0008009C" w14:paraId="5C7C7AD5" w14:textId="77777777">
        <w:tc>
          <w:tcPr>
            <w:tcW w:w="0" w:type="auto"/>
            <w:gridSpan w:val="3"/>
            <w:shd w:val="clear" w:color="auto" w:fill="auto"/>
            <w:tcMar>
              <w:top w:w="40" w:type="dxa"/>
              <w:left w:w="20" w:type="dxa"/>
              <w:bottom w:w="40" w:type="dxa"/>
              <w:right w:w="20" w:type="dxa"/>
            </w:tcMar>
          </w:tcPr>
          <w:p w14:paraId="5C7C7AC8" w14:textId="77777777" w:rsidR="0008009C" w:rsidRDefault="00936FDF">
            <w:pPr>
              <w:jc w:val="center"/>
              <w:textAlignment w:val="top"/>
            </w:pPr>
            <w:r>
              <w:rPr>
                <w:rFonts w:ascii="Arial" w:eastAsia="宋体" w:hAnsi="Arial" w:cs="Arial"/>
                <w:color w:val="262626"/>
                <w:sz w:val="18"/>
                <w:szCs w:val="18"/>
              </w:rPr>
              <w:t>10.4</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5C7C7AC9"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CA" w14:textId="77777777" w:rsidR="0008009C" w:rsidRDefault="00936FDF">
            <w:pPr>
              <w:textAlignment w:val="top"/>
            </w:pPr>
            <w:hyperlink r:id="rId77" w:history="1">
              <w:r>
                <w:rPr>
                  <w:rStyle w:val="a5"/>
                  <w:rFonts w:ascii="Arial" w:eastAsia="宋体" w:hAnsi="Arial" w:cs="Arial"/>
                  <w:color w:val="0068B5"/>
                  <w:sz w:val="18"/>
                  <w:szCs w:val="18"/>
                </w:rPr>
                <w:t>Intel Corporation Restricted Stock Unit Agreement under the 2021 Inducement Plan (for optional investment matching RSUs)</w:t>
              </w:r>
            </w:hyperlink>
          </w:p>
        </w:tc>
        <w:tc>
          <w:tcPr>
            <w:tcW w:w="0" w:type="auto"/>
            <w:gridSpan w:val="3"/>
            <w:shd w:val="clear" w:color="auto" w:fill="auto"/>
            <w:tcMar>
              <w:top w:w="0" w:type="dxa"/>
              <w:left w:w="20" w:type="dxa"/>
              <w:bottom w:w="0" w:type="dxa"/>
              <w:right w:w="20" w:type="dxa"/>
            </w:tcMar>
          </w:tcPr>
          <w:p w14:paraId="5C7C7AC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C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C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C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C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D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D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D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D3"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D4" w14:textId="77777777" w:rsidR="0008009C" w:rsidRDefault="00936FDF">
            <w:pPr>
              <w:jc w:val="center"/>
              <w:textAlignment w:val="top"/>
            </w:pPr>
            <w:r>
              <w:rPr>
                <w:rFonts w:ascii="Arial" w:eastAsia="宋体" w:hAnsi="Arial" w:cs="Arial"/>
                <w:color w:val="262626"/>
                <w:sz w:val="18"/>
                <w:szCs w:val="18"/>
              </w:rPr>
              <w:t>X</w:t>
            </w:r>
          </w:p>
        </w:tc>
      </w:tr>
      <w:tr w:rsidR="0008009C" w14:paraId="5C7C7AE3" w14:textId="77777777">
        <w:tc>
          <w:tcPr>
            <w:tcW w:w="0" w:type="auto"/>
            <w:gridSpan w:val="3"/>
            <w:shd w:val="clear" w:color="auto" w:fill="auto"/>
            <w:tcMar>
              <w:top w:w="40" w:type="dxa"/>
              <w:left w:w="20" w:type="dxa"/>
              <w:bottom w:w="40" w:type="dxa"/>
              <w:right w:w="20" w:type="dxa"/>
            </w:tcMar>
          </w:tcPr>
          <w:p w14:paraId="5C7C7AD6" w14:textId="77777777" w:rsidR="0008009C" w:rsidRDefault="00936FDF">
            <w:pPr>
              <w:jc w:val="center"/>
              <w:textAlignment w:val="top"/>
            </w:pPr>
            <w:r>
              <w:rPr>
                <w:rFonts w:ascii="Arial" w:eastAsia="宋体" w:hAnsi="Arial" w:cs="Arial"/>
                <w:color w:val="262626"/>
                <w:sz w:val="18"/>
                <w:szCs w:val="18"/>
              </w:rPr>
              <w:t>10.5</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5C7C7AD7"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D8" w14:textId="77777777" w:rsidR="0008009C" w:rsidRDefault="00936FDF">
            <w:pPr>
              <w:textAlignment w:val="top"/>
            </w:pPr>
            <w:hyperlink r:id="rId78" w:history="1">
              <w:r>
                <w:rPr>
                  <w:rStyle w:val="a5"/>
                  <w:rFonts w:ascii="Arial" w:eastAsia="宋体" w:hAnsi="Arial" w:cs="Arial"/>
                  <w:color w:val="0068B5"/>
                  <w:sz w:val="18"/>
                  <w:szCs w:val="18"/>
                </w:rPr>
                <w:t xml:space="preserve">Intel Corporation Restricted Stock Unit Agreement under the 2021 Inducement Plan (for relative TSR performance-based RSUs) </w:t>
              </w:r>
            </w:hyperlink>
          </w:p>
        </w:tc>
        <w:tc>
          <w:tcPr>
            <w:tcW w:w="0" w:type="auto"/>
            <w:gridSpan w:val="3"/>
            <w:shd w:val="clear" w:color="auto" w:fill="auto"/>
            <w:tcMar>
              <w:top w:w="0" w:type="dxa"/>
              <w:left w:w="20" w:type="dxa"/>
              <w:bottom w:w="0" w:type="dxa"/>
              <w:right w:w="20" w:type="dxa"/>
            </w:tcMar>
          </w:tcPr>
          <w:p w14:paraId="5C7C7AD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D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D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D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D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D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D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E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E1"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E2" w14:textId="77777777" w:rsidR="0008009C" w:rsidRDefault="00936FDF">
            <w:pPr>
              <w:jc w:val="center"/>
              <w:textAlignment w:val="top"/>
            </w:pPr>
            <w:r>
              <w:rPr>
                <w:rFonts w:ascii="Arial" w:eastAsia="宋体" w:hAnsi="Arial" w:cs="Arial"/>
                <w:color w:val="262626"/>
                <w:sz w:val="18"/>
                <w:szCs w:val="18"/>
              </w:rPr>
              <w:t>X</w:t>
            </w:r>
          </w:p>
        </w:tc>
      </w:tr>
      <w:tr w:rsidR="0008009C" w14:paraId="5C7C7AF1" w14:textId="77777777">
        <w:tc>
          <w:tcPr>
            <w:tcW w:w="0" w:type="auto"/>
            <w:gridSpan w:val="3"/>
            <w:shd w:val="clear" w:color="auto" w:fill="auto"/>
            <w:tcMar>
              <w:top w:w="40" w:type="dxa"/>
              <w:left w:w="20" w:type="dxa"/>
              <w:bottom w:w="40" w:type="dxa"/>
              <w:right w:w="20" w:type="dxa"/>
            </w:tcMar>
          </w:tcPr>
          <w:p w14:paraId="5C7C7AE4" w14:textId="77777777" w:rsidR="0008009C" w:rsidRDefault="00936FDF">
            <w:pPr>
              <w:jc w:val="center"/>
              <w:textAlignment w:val="top"/>
            </w:pPr>
            <w:r>
              <w:rPr>
                <w:rFonts w:ascii="Arial" w:eastAsia="宋体" w:hAnsi="Arial" w:cs="Arial"/>
                <w:color w:val="262626"/>
                <w:sz w:val="18"/>
                <w:szCs w:val="18"/>
              </w:rPr>
              <w:t>10.6</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5C7C7AE5"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E6" w14:textId="77777777" w:rsidR="0008009C" w:rsidRDefault="00936FDF">
            <w:pPr>
              <w:textAlignment w:val="top"/>
            </w:pPr>
            <w:hyperlink r:id="rId79" w:history="1">
              <w:r>
                <w:rPr>
                  <w:rStyle w:val="a5"/>
                  <w:rFonts w:ascii="Arial" w:eastAsia="宋体" w:hAnsi="Arial" w:cs="Arial"/>
                  <w:color w:val="0068B5"/>
                  <w:sz w:val="18"/>
                  <w:szCs w:val="18"/>
                </w:rPr>
                <w:t>Intel Corporation Restricted Stock Unit Agreement under the 2021 Inducement Plan (for strategic growth performance-based RSUs)</w:t>
              </w:r>
            </w:hyperlink>
          </w:p>
        </w:tc>
        <w:tc>
          <w:tcPr>
            <w:tcW w:w="0" w:type="auto"/>
            <w:gridSpan w:val="3"/>
            <w:shd w:val="clear" w:color="auto" w:fill="auto"/>
            <w:tcMar>
              <w:top w:w="0" w:type="dxa"/>
              <w:left w:w="20" w:type="dxa"/>
              <w:bottom w:w="0" w:type="dxa"/>
              <w:right w:w="20" w:type="dxa"/>
            </w:tcMar>
          </w:tcPr>
          <w:p w14:paraId="5C7C7AE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E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E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E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E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E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E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E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E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F0" w14:textId="77777777" w:rsidR="0008009C" w:rsidRDefault="00936FDF">
            <w:pPr>
              <w:jc w:val="center"/>
              <w:textAlignment w:val="top"/>
            </w:pPr>
            <w:r>
              <w:rPr>
                <w:rFonts w:ascii="Arial" w:eastAsia="宋体" w:hAnsi="Arial" w:cs="Arial"/>
                <w:color w:val="262626"/>
                <w:sz w:val="18"/>
                <w:szCs w:val="18"/>
              </w:rPr>
              <w:t>X</w:t>
            </w:r>
          </w:p>
        </w:tc>
      </w:tr>
      <w:tr w:rsidR="0008009C" w14:paraId="5C7C7AFF" w14:textId="77777777">
        <w:tc>
          <w:tcPr>
            <w:tcW w:w="0" w:type="auto"/>
            <w:gridSpan w:val="3"/>
            <w:shd w:val="clear" w:color="auto" w:fill="auto"/>
            <w:tcMar>
              <w:top w:w="40" w:type="dxa"/>
              <w:left w:w="20" w:type="dxa"/>
              <w:bottom w:w="40" w:type="dxa"/>
              <w:right w:w="20" w:type="dxa"/>
            </w:tcMar>
          </w:tcPr>
          <w:p w14:paraId="5C7C7AF2" w14:textId="77777777" w:rsidR="0008009C" w:rsidRDefault="00936FDF">
            <w:pPr>
              <w:jc w:val="center"/>
              <w:textAlignment w:val="top"/>
            </w:pPr>
            <w:r>
              <w:rPr>
                <w:rFonts w:ascii="Arial" w:eastAsia="宋体" w:hAnsi="Arial" w:cs="Arial"/>
                <w:color w:val="262626"/>
                <w:sz w:val="18"/>
                <w:szCs w:val="18"/>
              </w:rPr>
              <w:t>10.7</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5C7C7AF3"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F4" w14:textId="77777777" w:rsidR="0008009C" w:rsidRDefault="00936FDF">
            <w:pPr>
              <w:textAlignment w:val="top"/>
            </w:pPr>
            <w:hyperlink r:id="rId80" w:history="1">
              <w:r>
                <w:rPr>
                  <w:rStyle w:val="a5"/>
                  <w:rFonts w:ascii="Arial" w:eastAsia="宋体" w:hAnsi="Arial" w:cs="Arial"/>
                  <w:color w:val="0068B5"/>
                  <w:sz w:val="18"/>
                  <w:szCs w:val="18"/>
                </w:rPr>
                <w:t>Intel Corporation Restricted Stock Unit Agreement under the 2021 Inducement Plan (for outperformance performance-based RSUs)</w:t>
              </w:r>
            </w:hyperlink>
          </w:p>
        </w:tc>
        <w:tc>
          <w:tcPr>
            <w:tcW w:w="0" w:type="auto"/>
            <w:gridSpan w:val="3"/>
            <w:shd w:val="clear" w:color="auto" w:fill="auto"/>
            <w:tcMar>
              <w:top w:w="0" w:type="dxa"/>
              <w:left w:w="20" w:type="dxa"/>
              <w:bottom w:w="0" w:type="dxa"/>
              <w:right w:w="20" w:type="dxa"/>
            </w:tcMar>
          </w:tcPr>
          <w:p w14:paraId="5C7C7AF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F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F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F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F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F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F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F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AFD"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AFE" w14:textId="77777777" w:rsidR="0008009C" w:rsidRDefault="00936FDF">
            <w:pPr>
              <w:jc w:val="center"/>
              <w:textAlignment w:val="top"/>
            </w:pPr>
            <w:r>
              <w:rPr>
                <w:rFonts w:ascii="Arial" w:eastAsia="宋体" w:hAnsi="Arial" w:cs="Arial"/>
                <w:color w:val="262626"/>
                <w:sz w:val="18"/>
                <w:szCs w:val="18"/>
              </w:rPr>
              <w:t>X</w:t>
            </w:r>
          </w:p>
        </w:tc>
      </w:tr>
      <w:tr w:rsidR="0008009C" w14:paraId="5C7C7B0D" w14:textId="77777777">
        <w:tc>
          <w:tcPr>
            <w:tcW w:w="0" w:type="auto"/>
            <w:gridSpan w:val="3"/>
            <w:shd w:val="clear" w:color="auto" w:fill="auto"/>
            <w:tcMar>
              <w:top w:w="40" w:type="dxa"/>
              <w:left w:w="20" w:type="dxa"/>
              <w:bottom w:w="40" w:type="dxa"/>
              <w:right w:w="20" w:type="dxa"/>
            </w:tcMar>
          </w:tcPr>
          <w:p w14:paraId="5C7C7B00" w14:textId="77777777" w:rsidR="0008009C" w:rsidRDefault="00936FDF">
            <w:pPr>
              <w:jc w:val="center"/>
              <w:textAlignment w:val="top"/>
            </w:pPr>
            <w:r>
              <w:rPr>
                <w:rFonts w:ascii="Arial" w:eastAsia="宋体" w:hAnsi="Arial" w:cs="Arial"/>
                <w:color w:val="262626"/>
                <w:sz w:val="18"/>
                <w:szCs w:val="18"/>
              </w:rPr>
              <w:t>10.8</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5C7C7B01"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02" w14:textId="77777777" w:rsidR="0008009C" w:rsidRDefault="00936FDF">
            <w:pPr>
              <w:textAlignment w:val="top"/>
            </w:pPr>
            <w:hyperlink r:id="rId81" w:history="1">
              <w:r>
                <w:rPr>
                  <w:rStyle w:val="a5"/>
                  <w:rFonts w:ascii="Arial" w:eastAsia="宋体" w:hAnsi="Arial" w:cs="Arial"/>
                  <w:color w:val="0068B5"/>
                  <w:sz w:val="18"/>
                  <w:szCs w:val="18"/>
                </w:rPr>
                <w:t>Intel Corporation Option Agreement under the 2021 Inducement Plan (for strategic growth performance-based stock options)</w:t>
              </w:r>
            </w:hyperlink>
          </w:p>
        </w:tc>
        <w:tc>
          <w:tcPr>
            <w:tcW w:w="0" w:type="auto"/>
            <w:gridSpan w:val="3"/>
            <w:shd w:val="clear" w:color="auto" w:fill="auto"/>
            <w:tcMar>
              <w:top w:w="0" w:type="dxa"/>
              <w:left w:w="20" w:type="dxa"/>
              <w:bottom w:w="0" w:type="dxa"/>
              <w:right w:w="20" w:type="dxa"/>
            </w:tcMar>
          </w:tcPr>
          <w:p w14:paraId="5C7C7B0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0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0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0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0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0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0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0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0B"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0C" w14:textId="77777777" w:rsidR="0008009C" w:rsidRDefault="00936FDF">
            <w:pPr>
              <w:jc w:val="center"/>
              <w:textAlignment w:val="top"/>
            </w:pPr>
            <w:r>
              <w:rPr>
                <w:rFonts w:ascii="Arial" w:eastAsia="宋体" w:hAnsi="Arial" w:cs="Arial"/>
                <w:color w:val="262626"/>
                <w:sz w:val="18"/>
                <w:szCs w:val="18"/>
              </w:rPr>
              <w:t>X</w:t>
            </w:r>
          </w:p>
        </w:tc>
      </w:tr>
      <w:tr w:rsidR="0008009C" w14:paraId="5C7C7B1B" w14:textId="77777777">
        <w:tc>
          <w:tcPr>
            <w:tcW w:w="0" w:type="auto"/>
            <w:gridSpan w:val="3"/>
            <w:shd w:val="clear" w:color="auto" w:fill="auto"/>
            <w:tcMar>
              <w:top w:w="40" w:type="dxa"/>
              <w:left w:w="20" w:type="dxa"/>
              <w:bottom w:w="40" w:type="dxa"/>
              <w:right w:w="20" w:type="dxa"/>
            </w:tcMar>
          </w:tcPr>
          <w:p w14:paraId="5C7C7B0E" w14:textId="77777777" w:rsidR="0008009C" w:rsidRDefault="00936FDF">
            <w:pPr>
              <w:jc w:val="center"/>
              <w:textAlignment w:val="top"/>
            </w:pPr>
            <w:r>
              <w:rPr>
                <w:rFonts w:ascii="Arial" w:eastAsia="宋体" w:hAnsi="Arial" w:cs="Arial"/>
                <w:color w:val="262626"/>
                <w:sz w:val="18"/>
                <w:szCs w:val="18"/>
              </w:rPr>
              <w:t>10.9</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5C7C7B0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10" w14:textId="77777777" w:rsidR="0008009C" w:rsidRDefault="00936FDF">
            <w:pPr>
              <w:textAlignment w:val="top"/>
            </w:pPr>
            <w:hyperlink r:id="rId82" w:history="1">
              <w:r>
                <w:rPr>
                  <w:rStyle w:val="a5"/>
                  <w:rFonts w:ascii="Arial" w:eastAsia="宋体" w:hAnsi="Arial" w:cs="Arial"/>
                  <w:color w:val="0068B5"/>
                  <w:sz w:val="18"/>
                  <w:szCs w:val="18"/>
                </w:rPr>
                <w:t>Subscription Agreement between Intel Corporation and Patrick Gelsinger dated February 16, 2021</w:t>
              </w:r>
            </w:hyperlink>
          </w:p>
        </w:tc>
        <w:tc>
          <w:tcPr>
            <w:tcW w:w="0" w:type="auto"/>
            <w:gridSpan w:val="3"/>
            <w:shd w:val="clear" w:color="auto" w:fill="auto"/>
            <w:tcMar>
              <w:top w:w="0" w:type="dxa"/>
              <w:left w:w="20" w:type="dxa"/>
              <w:bottom w:w="0" w:type="dxa"/>
              <w:right w:w="20" w:type="dxa"/>
            </w:tcMar>
          </w:tcPr>
          <w:p w14:paraId="5C7C7B1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1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1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1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1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1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1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1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19"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1A" w14:textId="77777777" w:rsidR="0008009C" w:rsidRDefault="00936FDF">
            <w:pPr>
              <w:jc w:val="center"/>
              <w:textAlignment w:val="top"/>
            </w:pPr>
            <w:r>
              <w:rPr>
                <w:rFonts w:ascii="Arial" w:eastAsia="宋体" w:hAnsi="Arial" w:cs="Arial"/>
                <w:color w:val="262626"/>
                <w:sz w:val="18"/>
                <w:szCs w:val="18"/>
              </w:rPr>
              <w:t>X</w:t>
            </w:r>
          </w:p>
        </w:tc>
      </w:tr>
      <w:tr w:rsidR="0008009C" w14:paraId="5C7C7B29" w14:textId="77777777">
        <w:tc>
          <w:tcPr>
            <w:tcW w:w="0" w:type="auto"/>
            <w:gridSpan w:val="3"/>
            <w:shd w:val="clear" w:color="auto" w:fill="auto"/>
            <w:tcMar>
              <w:top w:w="40" w:type="dxa"/>
              <w:left w:w="20" w:type="dxa"/>
              <w:bottom w:w="40" w:type="dxa"/>
              <w:right w:w="20" w:type="dxa"/>
            </w:tcMar>
          </w:tcPr>
          <w:p w14:paraId="5C7C7B1C" w14:textId="77777777" w:rsidR="0008009C" w:rsidRDefault="00936FDF">
            <w:pPr>
              <w:jc w:val="center"/>
              <w:textAlignment w:val="top"/>
            </w:pPr>
            <w:r>
              <w:rPr>
                <w:rFonts w:ascii="Arial" w:eastAsia="宋体" w:hAnsi="Arial" w:cs="Arial"/>
                <w:color w:val="262626"/>
                <w:sz w:val="18"/>
                <w:szCs w:val="18"/>
              </w:rPr>
              <w:t>31.1</w:t>
            </w:r>
          </w:p>
        </w:tc>
        <w:tc>
          <w:tcPr>
            <w:tcW w:w="0" w:type="auto"/>
            <w:gridSpan w:val="3"/>
            <w:shd w:val="clear" w:color="auto" w:fill="auto"/>
            <w:tcMar>
              <w:top w:w="0" w:type="dxa"/>
              <w:left w:w="20" w:type="dxa"/>
              <w:bottom w:w="0" w:type="dxa"/>
              <w:right w:w="20" w:type="dxa"/>
            </w:tcMar>
          </w:tcPr>
          <w:p w14:paraId="5C7C7B1D"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1E" w14:textId="77777777" w:rsidR="0008009C" w:rsidRDefault="00936FDF">
            <w:pPr>
              <w:textAlignment w:val="top"/>
            </w:pPr>
            <w:hyperlink r:id="rId83" w:history="1">
              <w:r>
                <w:rPr>
                  <w:rStyle w:val="a5"/>
                  <w:rFonts w:ascii="Arial" w:eastAsia="宋体" w:hAnsi="Arial" w:cs="Arial"/>
                  <w:color w:val="0068B5"/>
                  <w:sz w:val="18"/>
                  <w:szCs w:val="18"/>
                </w:rPr>
                <w:t>Certification of the Chief Executive Officer pursuant to Rule 13a-14(a) of the Exchange Act</w:t>
              </w:r>
            </w:hyperlink>
          </w:p>
        </w:tc>
        <w:tc>
          <w:tcPr>
            <w:tcW w:w="0" w:type="auto"/>
            <w:gridSpan w:val="3"/>
            <w:shd w:val="clear" w:color="auto" w:fill="auto"/>
            <w:tcMar>
              <w:top w:w="0" w:type="dxa"/>
              <w:left w:w="20" w:type="dxa"/>
              <w:bottom w:w="0" w:type="dxa"/>
              <w:right w:w="20" w:type="dxa"/>
            </w:tcMar>
          </w:tcPr>
          <w:p w14:paraId="5C7C7B1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2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2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2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2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2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2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2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27"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28" w14:textId="77777777" w:rsidR="0008009C" w:rsidRDefault="00936FDF">
            <w:pPr>
              <w:jc w:val="center"/>
              <w:textAlignment w:val="top"/>
            </w:pPr>
            <w:r>
              <w:rPr>
                <w:rFonts w:ascii="Arial" w:eastAsia="宋体" w:hAnsi="Arial" w:cs="Arial"/>
                <w:color w:val="262626"/>
                <w:sz w:val="18"/>
                <w:szCs w:val="18"/>
              </w:rPr>
              <w:t>X</w:t>
            </w:r>
          </w:p>
        </w:tc>
      </w:tr>
      <w:tr w:rsidR="0008009C" w14:paraId="5C7C7B37" w14:textId="77777777">
        <w:tc>
          <w:tcPr>
            <w:tcW w:w="0" w:type="auto"/>
            <w:gridSpan w:val="3"/>
            <w:shd w:val="clear" w:color="auto" w:fill="auto"/>
            <w:tcMar>
              <w:top w:w="40" w:type="dxa"/>
              <w:left w:w="20" w:type="dxa"/>
              <w:bottom w:w="40" w:type="dxa"/>
              <w:right w:w="20" w:type="dxa"/>
            </w:tcMar>
          </w:tcPr>
          <w:p w14:paraId="5C7C7B2A" w14:textId="77777777" w:rsidR="0008009C" w:rsidRDefault="00936FDF">
            <w:pPr>
              <w:jc w:val="center"/>
              <w:textAlignment w:val="top"/>
            </w:pPr>
            <w:r>
              <w:rPr>
                <w:rFonts w:ascii="Arial" w:eastAsia="宋体" w:hAnsi="Arial" w:cs="Arial"/>
                <w:color w:val="262626"/>
                <w:sz w:val="18"/>
                <w:szCs w:val="18"/>
              </w:rPr>
              <w:t>31.2</w:t>
            </w:r>
          </w:p>
        </w:tc>
        <w:tc>
          <w:tcPr>
            <w:tcW w:w="0" w:type="auto"/>
            <w:gridSpan w:val="3"/>
            <w:shd w:val="clear" w:color="auto" w:fill="auto"/>
            <w:tcMar>
              <w:top w:w="0" w:type="dxa"/>
              <w:left w:w="20" w:type="dxa"/>
              <w:bottom w:w="0" w:type="dxa"/>
              <w:right w:w="20" w:type="dxa"/>
            </w:tcMar>
          </w:tcPr>
          <w:p w14:paraId="5C7C7B2B"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2C" w14:textId="77777777" w:rsidR="0008009C" w:rsidRDefault="00936FDF">
            <w:pPr>
              <w:textAlignment w:val="top"/>
            </w:pPr>
            <w:hyperlink r:id="rId84" w:history="1">
              <w:r>
                <w:rPr>
                  <w:rStyle w:val="a5"/>
                  <w:rFonts w:ascii="Arial" w:eastAsia="宋体" w:hAnsi="Arial" w:cs="Arial"/>
                  <w:color w:val="0068B5"/>
                  <w:sz w:val="18"/>
                  <w:szCs w:val="18"/>
                </w:rPr>
                <w:t>Certification of the Chief Financial Officer pursuant to Rule 13a-14(a) of the Exchange Act</w:t>
              </w:r>
            </w:hyperlink>
          </w:p>
        </w:tc>
        <w:tc>
          <w:tcPr>
            <w:tcW w:w="0" w:type="auto"/>
            <w:gridSpan w:val="3"/>
            <w:shd w:val="clear" w:color="auto" w:fill="auto"/>
            <w:tcMar>
              <w:top w:w="0" w:type="dxa"/>
              <w:left w:w="20" w:type="dxa"/>
              <w:bottom w:w="0" w:type="dxa"/>
              <w:right w:w="20" w:type="dxa"/>
            </w:tcMar>
          </w:tcPr>
          <w:p w14:paraId="5C7C7B2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2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2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3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3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3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3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3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35"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36" w14:textId="77777777" w:rsidR="0008009C" w:rsidRDefault="00936FDF">
            <w:pPr>
              <w:jc w:val="center"/>
              <w:textAlignment w:val="top"/>
            </w:pPr>
            <w:r>
              <w:rPr>
                <w:rFonts w:ascii="Arial" w:eastAsia="宋体" w:hAnsi="Arial" w:cs="Arial"/>
                <w:color w:val="262626"/>
                <w:sz w:val="18"/>
                <w:szCs w:val="18"/>
              </w:rPr>
              <w:t>X</w:t>
            </w:r>
          </w:p>
        </w:tc>
      </w:tr>
      <w:tr w:rsidR="0008009C" w14:paraId="5C7C7B45" w14:textId="77777777">
        <w:trPr>
          <w:hidden/>
        </w:trPr>
        <w:tc>
          <w:tcPr>
            <w:tcW w:w="0" w:type="auto"/>
            <w:gridSpan w:val="3"/>
            <w:shd w:val="clear" w:color="auto" w:fill="auto"/>
          </w:tcPr>
          <w:p w14:paraId="5C7C7B38" w14:textId="77777777" w:rsidR="0008009C" w:rsidRDefault="0008009C">
            <w:pPr>
              <w:rPr>
                <w:rFonts w:ascii="宋体"/>
                <w:vanish/>
              </w:rPr>
            </w:pPr>
          </w:p>
        </w:tc>
        <w:tc>
          <w:tcPr>
            <w:tcW w:w="0" w:type="auto"/>
            <w:gridSpan w:val="3"/>
            <w:shd w:val="clear" w:color="auto" w:fill="auto"/>
          </w:tcPr>
          <w:p w14:paraId="5C7C7B39" w14:textId="77777777" w:rsidR="0008009C" w:rsidRDefault="0008009C">
            <w:pPr>
              <w:rPr>
                <w:rFonts w:ascii="宋体"/>
                <w:vanish/>
              </w:rPr>
            </w:pPr>
          </w:p>
        </w:tc>
        <w:tc>
          <w:tcPr>
            <w:tcW w:w="0" w:type="auto"/>
            <w:gridSpan w:val="3"/>
            <w:shd w:val="clear" w:color="auto" w:fill="auto"/>
          </w:tcPr>
          <w:p w14:paraId="5C7C7B3A" w14:textId="77777777" w:rsidR="0008009C" w:rsidRDefault="0008009C">
            <w:pPr>
              <w:rPr>
                <w:rFonts w:ascii="宋体"/>
                <w:vanish/>
              </w:rPr>
            </w:pPr>
          </w:p>
        </w:tc>
        <w:tc>
          <w:tcPr>
            <w:tcW w:w="0" w:type="auto"/>
            <w:gridSpan w:val="3"/>
            <w:shd w:val="clear" w:color="auto" w:fill="auto"/>
          </w:tcPr>
          <w:p w14:paraId="5C7C7B3B" w14:textId="77777777" w:rsidR="0008009C" w:rsidRDefault="0008009C">
            <w:pPr>
              <w:rPr>
                <w:rFonts w:ascii="宋体"/>
                <w:vanish/>
              </w:rPr>
            </w:pPr>
          </w:p>
        </w:tc>
        <w:tc>
          <w:tcPr>
            <w:tcW w:w="0" w:type="auto"/>
            <w:gridSpan w:val="3"/>
            <w:shd w:val="clear" w:color="auto" w:fill="auto"/>
          </w:tcPr>
          <w:p w14:paraId="5C7C7B3C" w14:textId="77777777" w:rsidR="0008009C" w:rsidRDefault="0008009C">
            <w:pPr>
              <w:rPr>
                <w:rFonts w:ascii="宋体"/>
                <w:vanish/>
              </w:rPr>
            </w:pPr>
          </w:p>
        </w:tc>
        <w:tc>
          <w:tcPr>
            <w:tcW w:w="0" w:type="auto"/>
            <w:gridSpan w:val="3"/>
            <w:shd w:val="clear" w:color="auto" w:fill="auto"/>
          </w:tcPr>
          <w:p w14:paraId="5C7C7B3D" w14:textId="77777777" w:rsidR="0008009C" w:rsidRDefault="0008009C">
            <w:pPr>
              <w:rPr>
                <w:rFonts w:ascii="宋体"/>
                <w:vanish/>
              </w:rPr>
            </w:pPr>
          </w:p>
        </w:tc>
        <w:tc>
          <w:tcPr>
            <w:tcW w:w="0" w:type="auto"/>
            <w:gridSpan w:val="3"/>
            <w:shd w:val="clear" w:color="auto" w:fill="auto"/>
          </w:tcPr>
          <w:p w14:paraId="5C7C7B3E" w14:textId="77777777" w:rsidR="0008009C" w:rsidRDefault="0008009C">
            <w:pPr>
              <w:rPr>
                <w:rFonts w:ascii="宋体"/>
                <w:vanish/>
              </w:rPr>
            </w:pPr>
          </w:p>
        </w:tc>
        <w:tc>
          <w:tcPr>
            <w:tcW w:w="0" w:type="auto"/>
            <w:gridSpan w:val="3"/>
            <w:shd w:val="clear" w:color="auto" w:fill="auto"/>
          </w:tcPr>
          <w:p w14:paraId="5C7C7B3F" w14:textId="77777777" w:rsidR="0008009C" w:rsidRDefault="0008009C">
            <w:pPr>
              <w:rPr>
                <w:rFonts w:ascii="宋体"/>
                <w:vanish/>
              </w:rPr>
            </w:pPr>
          </w:p>
        </w:tc>
        <w:tc>
          <w:tcPr>
            <w:tcW w:w="0" w:type="auto"/>
            <w:gridSpan w:val="3"/>
            <w:shd w:val="clear" w:color="auto" w:fill="auto"/>
          </w:tcPr>
          <w:p w14:paraId="5C7C7B40" w14:textId="77777777" w:rsidR="0008009C" w:rsidRDefault="0008009C">
            <w:pPr>
              <w:rPr>
                <w:rFonts w:ascii="宋体"/>
                <w:vanish/>
              </w:rPr>
            </w:pPr>
          </w:p>
        </w:tc>
        <w:tc>
          <w:tcPr>
            <w:tcW w:w="0" w:type="auto"/>
            <w:gridSpan w:val="3"/>
            <w:shd w:val="clear" w:color="auto" w:fill="auto"/>
          </w:tcPr>
          <w:p w14:paraId="5C7C7B41" w14:textId="77777777" w:rsidR="0008009C" w:rsidRDefault="0008009C">
            <w:pPr>
              <w:rPr>
                <w:rFonts w:ascii="宋体"/>
                <w:vanish/>
              </w:rPr>
            </w:pPr>
          </w:p>
        </w:tc>
        <w:tc>
          <w:tcPr>
            <w:tcW w:w="0" w:type="auto"/>
            <w:gridSpan w:val="3"/>
            <w:shd w:val="clear" w:color="auto" w:fill="auto"/>
          </w:tcPr>
          <w:p w14:paraId="5C7C7B42" w14:textId="77777777" w:rsidR="0008009C" w:rsidRDefault="0008009C">
            <w:pPr>
              <w:rPr>
                <w:rFonts w:ascii="宋体"/>
                <w:vanish/>
              </w:rPr>
            </w:pPr>
          </w:p>
        </w:tc>
        <w:tc>
          <w:tcPr>
            <w:tcW w:w="0" w:type="auto"/>
            <w:gridSpan w:val="3"/>
            <w:shd w:val="clear" w:color="auto" w:fill="auto"/>
          </w:tcPr>
          <w:p w14:paraId="5C7C7B43" w14:textId="77777777" w:rsidR="0008009C" w:rsidRDefault="0008009C">
            <w:pPr>
              <w:rPr>
                <w:rFonts w:ascii="宋体"/>
                <w:vanish/>
              </w:rPr>
            </w:pPr>
          </w:p>
        </w:tc>
        <w:tc>
          <w:tcPr>
            <w:tcW w:w="0" w:type="auto"/>
            <w:gridSpan w:val="3"/>
            <w:shd w:val="clear" w:color="auto" w:fill="auto"/>
          </w:tcPr>
          <w:p w14:paraId="5C7C7B44" w14:textId="77777777" w:rsidR="0008009C" w:rsidRDefault="0008009C">
            <w:pPr>
              <w:rPr>
                <w:rFonts w:ascii="宋体"/>
                <w:vanish/>
              </w:rPr>
            </w:pPr>
          </w:p>
        </w:tc>
      </w:tr>
      <w:tr w:rsidR="0008009C" w14:paraId="5C7C7B53" w14:textId="77777777">
        <w:tc>
          <w:tcPr>
            <w:tcW w:w="0" w:type="auto"/>
            <w:gridSpan w:val="3"/>
            <w:shd w:val="clear" w:color="auto" w:fill="auto"/>
            <w:tcMar>
              <w:top w:w="40" w:type="dxa"/>
              <w:left w:w="20" w:type="dxa"/>
              <w:bottom w:w="40" w:type="dxa"/>
              <w:right w:w="20" w:type="dxa"/>
            </w:tcMar>
          </w:tcPr>
          <w:p w14:paraId="5C7C7B46" w14:textId="77777777" w:rsidR="0008009C" w:rsidRDefault="00936FDF">
            <w:pPr>
              <w:jc w:val="center"/>
              <w:textAlignment w:val="top"/>
            </w:pPr>
            <w:r>
              <w:rPr>
                <w:rFonts w:ascii="Arial" w:eastAsia="宋体" w:hAnsi="Arial" w:cs="Arial"/>
                <w:color w:val="262626"/>
                <w:sz w:val="18"/>
                <w:szCs w:val="18"/>
              </w:rPr>
              <w:t>32.1</w:t>
            </w:r>
          </w:p>
        </w:tc>
        <w:tc>
          <w:tcPr>
            <w:tcW w:w="0" w:type="auto"/>
            <w:gridSpan w:val="3"/>
            <w:shd w:val="clear" w:color="auto" w:fill="auto"/>
            <w:tcMar>
              <w:top w:w="0" w:type="dxa"/>
              <w:left w:w="20" w:type="dxa"/>
              <w:bottom w:w="0" w:type="dxa"/>
              <w:right w:w="20" w:type="dxa"/>
            </w:tcMar>
          </w:tcPr>
          <w:p w14:paraId="5C7C7B47"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48" w14:textId="77777777" w:rsidR="0008009C" w:rsidRDefault="00936FDF">
            <w:pPr>
              <w:textAlignment w:val="top"/>
            </w:pPr>
            <w:hyperlink r:id="rId85" w:history="1">
              <w:r>
                <w:rPr>
                  <w:rStyle w:val="a5"/>
                  <w:rFonts w:ascii="Arial" w:eastAsia="宋体" w:hAnsi="Arial" w:cs="Arial"/>
                  <w:color w:val="0068B5"/>
                  <w:sz w:val="18"/>
                  <w:szCs w:val="18"/>
                </w:rPr>
                <w:t>Certification of the Chief Executive Officer and the Chief Financial Officer pursuant to Rule 13a-14(b) of the Exchange Act and 18 U.S.C. Section 1350</w:t>
              </w:r>
            </w:hyperlink>
          </w:p>
        </w:tc>
        <w:tc>
          <w:tcPr>
            <w:tcW w:w="0" w:type="auto"/>
            <w:gridSpan w:val="3"/>
            <w:shd w:val="clear" w:color="auto" w:fill="auto"/>
            <w:tcMar>
              <w:top w:w="0" w:type="dxa"/>
              <w:left w:w="20" w:type="dxa"/>
              <w:bottom w:w="0" w:type="dxa"/>
              <w:right w:w="20" w:type="dxa"/>
            </w:tcMar>
          </w:tcPr>
          <w:p w14:paraId="5C7C7B4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4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4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4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4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4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4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5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51"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52" w14:textId="77777777" w:rsidR="0008009C" w:rsidRDefault="00936FDF">
            <w:pPr>
              <w:jc w:val="center"/>
              <w:textAlignment w:val="top"/>
            </w:pPr>
            <w:r>
              <w:rPr>
                <w:rFonts w:ascii="Arial" w:eastAsia="宋体" w:hAnsi="Arial" w:cs="Arial"/>
                <w:color w:val="262626"/>
                <w:sz w:val="18"/>
                <w:szCs w:val="18"/>
              </w:rPr>
              <w:t>X</w:t>
            </w:r>
          </w:p>
        </w:tc>
      </w:tr>
      <w:tr w:rsidR="0008009C" w14:paraId="5C7C7B61" w14:textId="77777777">
        <w:tc>
          <w:tcPr>
            <w:tcW w:w="0" w:type="auto"/>
            <w:gridSpan w:val="3"/>
            <w:shd w:val="clear" w:color="auto" w:fill="auto"/>
            <w:tcMar>
              <w:top w:w="40" w:type="dxa"/>
              <w:left w:w="20" w:type="dxa"/>
              <w:bottom w:w="40" w:type="dxa"/>
              <w:right w:w="20" w:type="dxa"/>
            </w:tcMar>
          </w:tcPr>
          <w:p w14:paraId="5C7C7B54" w14:textId="77777777" w:rsidR="0008009C" w:rsidRDefault="00936FDF">
            <w:pPr>
              <w:jc w:val="center"/>
              <w:textAlignment w:val="top"/>
            </w:pPr>
            <w:r>
              <w:rPr>
                <w:rFonts w:ascii="Arial" w:eastAsia="宋体" w:hAnsi="Arial" w:cs="Arial"/>
                <w:color w:val="262626"/>
                <w:sz w:val="18"/>
                <w:szCs w:val="18"/>
              </w:rPr>
              <w:t>101.INS</w:t>
            </w:r>
          </w:p>
        </w:tc>
        <w:tc>
          <w:tcPr>
            <w:tcW w:w="0" w:type="auto"/>
            <w:gridSpan w:val="3"/>
            <w:shd w:val="clear" w:color="auto" w:fill="auto"/>
            <w:tcMar>
              <w:top w:w="0" w:type="dxa"/>
              <w:left w:w="20" w:type="dxa"/>
              <w:bottom w:w="0" w:type="dxa"/>
              <w:right w:w="20" w:type="dxa"/>
            </w:tcMar>
          </w:tcPr>
          <w:p w14:paraId="5C7C7B55"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56" w14:textId="77777777" w:rsidR="0008009C" w:rsidRDefault="00936FDF">
            <w:pPr>
              <w:textAlignment w:val="top"/>
            </w:pPr>
            <w:r>
              <w:rPr>
                <w:rFonts w:ascii="Arial" w:eastAsia="宋体" w:hAnsi="Arial" w:cs="Arial"/>
                <w:color w:val="262626"/>
                <w:sz w:val="18"/>
                <w:szCs w:val="18"/>
              </w:rPr>
              <w:t>XBRL Instance Document - the instance document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tcPr>
          <w:p w14:paraId="5C7C7B5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5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5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5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5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5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5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5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5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60" w14:textId="77777777" w:rsidR="0008009C" w:rsidRDefault="00936FDF">
            <w:pPr>
              <w:jc w:val="center"/>
              <w:textAlignment w:val="top"/>
            </w:pPr>
            <w:r>
              <w:rPr>
                <w:rFonts w:ascii="Arial" w:eastAsia="宋体" w:hAnsi="Arial" w:cs="Arial"/>
                <w:color w:val="262626"/>
                <w:sz w:val="18"/>
                <w:szCs w:val="18"/>
              </w:rPr>
              <w:t>X</w:t>
            </w:r>
          </w:p>
        </w:tc>
      </w:tr>
      <w:tr w:rsidR="0008009C" w14:paraId="5C7C7B6F" w14:textId="77777777">
        <w:tc>
          <w:tcPr>
            <w:tcW w:w="0" w:type="auto"/>
            <w:gridSpan w:val="3"/>
            <w:shd w:val="clear" w:color="auto" w:fill="auto"/>
            <w:tcMar>
              <w:top w:w="40" w:type="dxa"/>
              <w:left w:w="20" w:type="dxa"/>
              <w:bottom w:w="40" w:type="dxa"/>
              <w:right w:w="20" w:type="dxa"/>
            </w:tcMar>
          </w:tcPr>
          <w:p w14:paraId="5C7C7B62" w14:textId="77777777" w:rsidR="0008009C" w:rsidRDefault="00936FDF">
            <w:pPr>
              <w:jc w:val="center"/>
              <w:textAlignment w:val="top"/>
            </w:pPr>
            <w:r>
              <w:rPr>
                <w:rFonts w:ascii="Arial" w:eastAsia="宋体" w:hAnsi="Arial" w:cs="Arial"/>
                <w:color w:val="262626"/>
                <w:sz w:val="18"/>
                <w:szCs w:val="18"/>
              </w:rPr>
              <w:t>101.SCH</w:t>
            </w:r>
          </w:p>
        </w:tc>
        <w:tc>
          <w:tcPr>
            <w:tcW w:w="0" w:type="auto"/>
            <w:gridSpan w:val="3"/>
            <w:shd w:val="clear" w:color="auto" w:fill="auto"/>
            <w:tcMar>
              <w:top w:w="0" w:type="dxa"/>
              <w:left w:w="20" w:type="dxa"/>
              <w:bottom w:w="0" w:type="dxa"/>
              <w:right w:w="20" w:type="dxa"/>
            </w:tcMar>
          </w:tcPr>
          <w:p w14:paraId="5C7C7B63"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64" w14:textId="77777777" w:rsidR="0008009C" w:rsidRDefault="00936FDF">
            <w:pPr>
              <w:textAlignment w:val="top"/>
            </w:pPr>
            <w:r>
              <w:rPr>
                <w:rFonts w:ascii="Arial" w:eastAsia="宋体" w:hAnsi="Arial" w:cs="Arial"/>
                <w:color w:val="262626"/>
                <w:sz w:val="18"/>
                <w:szCs w:val="18"/>
              </w:rPr>
              <w:t>XBRL Taxonomy Extension Schema Document</w:t>
            </w:r>
          </w:p>
        </w:tc>
        <w:tc>
          <w:tcPr>
            <w:tcW w:w="0" w:type="auto"/>
            <w:gridSpan w:val="3"/>
            <w:shd w:val="clear" w:color="auto" w:fill="auto"/>
            <w:tcMar>
              <w:top w:w="0" w:type="dxa"/>
              <w:left w:w="20" w:type="dxa"/>
              <w:bottom w:w="0" w:type="dxa"/>
              <w:right w:w="20" w:type="dxa"/>
            </w:tcMar>
          </w:tcPr>
          <w:p w14:paraId="5C7C7B6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6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6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6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6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6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6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6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6D"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6E" w14:textId="77777777" w:rsidR="0008009C" w:rsidRDefault="00936FDF">
            <w:pPr>
              <w:jc w:val="center"/>
              <w:textAlignment w:val="top"/>
            </w:pPr>
            <w:r>
              <w:rPr>
                <w:rFonts w:ascii="Arial" w:eastAsia="宋体" w:hAnsi="Arial" w:cs="Arial"/>
                <w:color w:val="262626"/>
                <w:sz w:val="18"/>
                <w:szCs w:val="18"/>
              </w:rPr>
              <w:t>X</w:t>
            </w:r>
          </w:p>
        </w:tc>
      </w:tr>
      <w:tr w:rsidR="0008009C" w14:paraId="5C7C7B7D" w14:textId="77777777">
        <w:tc>
          <w:tcPr>
            <w:tcW w:w="0" w:type="auto"/>
            <w:gridSpan w:val="3"/>
            <w:shd w:val="clear" w:color="auto" w:fill="auto"/>
            <w:tcMar>
              <w:top w:w="40" w:type="dxa"/>
              <w:left w:w="20" w:type="dxa"/>
              <w:bottom w:w="40" w:type="dxa"/>
              <w:right w:w="20" w:type="dxa"/>
            </w:tcMar>
          </w:tcPr>
          <w:p w14:paraId="5C7C7B70" w14:textId="77777777" w:rsidR="0008009C" w:rsidRDefault="00936FDF">
            <w:pPr>
              <w:jc w:val="center"/>
              <w:textAlignment w:val="top"/>
            </w:pPr>
            <w:r>
              <w:rPr>
                <w:rFonts w:ascii="Arial" w:eastAsia="宋体" w:hAnsi="Arial" w:cs="Arial"/>
                <w:color w:val="262626"/>
                <w:sz w:val="18"/>
                <w:szCs w:val="18"/>
              </w:rPr>
              <w:t>101.CAL</w:t>
            </w:r>
          </w:p>
        </w:tc>
        <w:tc>
          <w:tcPr>
            <w:tcW w:w="0" w:type="auto"/>
            <w:gridSpan w:val="3"/>
            <w:shd w:val="clear" w:color="auto" w:fill="auto"/>
            <w:tcMar>
              <w:top w:w="0" w:type="dxa"/>
              <w:left w:w="20" w:type="dxa"/>
              <w:bottom w:w="0" w:type="dxa"/>
              <w:right w:w="20" w:type="dxa"/>
            </w:tcMar>
          </w:tcPr>
          <w:p w14:paraId="5C7C7B71"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72" w14:textId="77777777" w:rsidR="0008009C" w:rsidRDefault="00936FDF">
            <w:pPr>
              <w:textAlignment w:val="top"/>
            </w:pPr>
            <w:r>
              <w:rPr>
                <w:rFonts w:ascii="Arial" w:eastAsia="宋体" w:hAnsi="Arial" w:cs="Arial"/>
                <w:color w:val="262626"/>
                <w:sz w:val="18"/>
                <w:szCs w:val="18"/>
              </w:rPr>
              <w:t>XBRL Taxonomy Extension Calculation Linkbase Document</w:t>
            </w:r>
          </w:p>
        </w:tc>
        <w:tc>
          <w:tcPr>
            <w:tcW w:w="0" w:type="auto"/>
            <w:gridSpan w:val="3"/>
            <w:shd w:val="clear" w:color="auto" w:fill="auto"/>
            <w:tcMar>
              <w:top w:w="0" w:type="dxa"/>
              <w:left w:w="20" w:type="dxa"/>
              <w:bottom w:w="0" w:type="dxa"/>
              <w:right w:w="20" w:type="dxa"/>
            </w:tcMar>
          </w:tcPr>
          <w:p w14:paraId="5C7C7B7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7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7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7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7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7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7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7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7B"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7C" w14:textId="77777777" w:rsidR="0008009C" w:rsidRDefault="00936FDF">
            <w:pPr>
              <w:jc w:val="center"/>
              <w:textAlignment w:val="top"/>
            </w:pPr>
            <w:r>
              <w:rPr>
                <w:rFonts w:ascii="Arial" w:eastAsia="宋体" w:hAnsi="Arial" w:cs="Arial"/>
                <w:color w:val="262626"/>
                <w:sz w:val="18"/>
                <w:szCs w:val="18"/>
              </w:rPr>
              <w:t>X</w:t>
            </w:r>
          </w:p>
        </w:tc>
      </w:tr>
      <w:tr w:rsidR="0008009C" w14:paraId="5C7C7B8B" w14:textId="77777777">
        <w:tc>
          <w:tcPr>
            <w:tcW w:w="0" w:type="auto"/>
            <w:gridSpan w:val="3"/>
            <w:shd w:val="clear" w:color="auto" w:fill="auto"/>
            <w:tcMar>
              <w:top w:w="40" w:type="dxa"/>
              <w:left w:w="20" w:type="dxa"/>
              <w:bottom w:w="40" w:type="dxa"/>
              <w:right w:w="20" w:type="dxa"/>
            </w:tcMar>
          </w:tcPr>
          <w:p w14:paraId="5C7C7B7E" w14:textId="77777777" w:rsidR="0008009C" w:rsidRDefault="00936FDF">
            <w:pPr>
              <w:jc w:val="center"/>
              <w:textAlignment w:val="top"/>
            </w:pPr>
            <w:r>
              <w:rPr>
                <w:rFonts w:ascii="Arial" w:eastAsia="宋体" w:hAnsi="Arial" w:cs="Arial"/>
                <w:color w:val="262626"/>
                <w:sz w:val="18"/>
                <w:szCs w:val="18"/>
              </w:rPr>
              <w:t>101.DEF</w:t>
            </w:r>
          </w:p>
        </w:tc>
        <w:tc>
          <w:tcPr>
            <w:tcW w:w="0" w:type="auto"/>
            <w:gridSpan w:val="3"/>
            <w:shd w:val="clear" w:color="auto" w:fill="auto"/>
            <w:tcMar>
              <w:top w:w="0" w:type="dxa"/>
              <w:left w:w="20" w:type="dxa"/>
              <w:bottom w:w="0" w:type="dxa"/>
              <w:right w:w="20" w:type="dxa"/>
            </w:tcMar>
          </w:tcPr>
          <w:p w14:paraId="5C7C7B7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80" w14:textId="77777777" w:rsidR="0008009C" w:rsidRDefault="00936FDF">
            <w:pPr>
              <w:textAlignment w:val="top"/>
            </w:pPr>
            <w:r>
              <w:rPr>
                <w:rFonts w:ascii="Arial" w:eastAsia="宋体" w:hAnsi="Arial" w:cs="Arial"/>
                <w:color w:val="262626"/>
                <w:sz w:val="18"/>
                <w:szCs w:val="18"/>
              </w:rPr>
              <w:t>XBRL Taxonomy Extension Definition Linkbase Document</w:t>
            </w:r>
          </w:p>
        </w:tc>
        <w:tc>
          <w:tcPr>
            <w:tcW w:w="0" w:type="auto"/>
            <w:gridSpan w:val="3"/>
            <w:shd w:val="clear" w:color="auto" w:fill="auto"/>
            <w:tcMar>
              <w:top w:w="0" w:type="dxa"/>
              <w:left w:w="20" w:type="dxa"/>
              <w:bottom w:w="0" w:type="dxa"/>
              <w:right w:w="20" w:type="dxa"/>
            </w:tcMar>
          </w:tcPr>
          <w:p w14:paraId="5C7C7B8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8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8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8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8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8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8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8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89"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8A" w14:textId="77777777" w:rsidR="0008009C" w:rsidRDefault="00936FDF">
            <w:pPr>
              <w:jc w:val="center"/>
              <w:textAlignment w:val="top"/>
            </w:pPr>
            <w:r>
              <w:rPr>
                <w:rFonts w:ascii="Arial" w:eastAsia="宋体" w:hAnsi="Arial" w:cs="Arial"/>
                <w:color w:val="262626"/>
                <w:sz w:val="18"/>
                <w:szCs w:val="18"/>
              </w:rPr>
              <w:t>X</w:t>
            </w:r>
          </w:p>
        </w:tc>
      </w:tr>
      <w:tr w:rsidR="0008009C" w14:paraId="5C7C7B99" w14:textId="77777777">
        <w:tc>
          <w:tcPr>
            <w:tcW w:w="0" w:type="auto"/>
            <w:gridSpan w:val="3"/>
            <w:shd w:val="clear" w:color="auto" w:fill="auto"/>
            <w:tcMar>
              <w:top w:w="40" w:type="dxa"/>
              <w:left w:w="20" w:type="dxa"/>
              <w:bottom w:w="40" w:type="dxa"/>
              <w:right w:w="20" w:type="dxa"/>
            </w:tcMar>
          </w:tcPr>
          <w:p w14:paraId="5C7C7B8C" w14:textId="77777777" w:rsidR="0008009C" w:rsidRDefault="00936FDF">
            <w:pPr>
              <w:jc w:val="center"/>
              <w:textAlignment w:val="top"/>
            </w:pPr>
            <w:r>
              <w:rPr>
                <w:rFonts w:ascii="Arial" w:eastAsia="宋体" w:hAnsi="Arial" w:cs="Arial"/>
                <w:color w:val="262626"/>
                <w:sz w:val="18"/>
                <w:szCs w:val="18"/>
              </w:rPr>
              <w:t>101.LAB</w:t>
            </w:r>
          </w:p>
        </w:tc>
        <w:tc>
          <w:tcPr>
            <w:tcW w:w="0" w:type="auto"/>
            <w:gridSpan w:val="3"/>
            <w:shd w:val="clear" w:color="auto" w:fill="auto"/>
            <w:tcMar>
              <w:top w:w="0" w:type="dxa"/>
              <w:left w:w="20" w:type="dxa"/>
              <w:bottom w:w="0" w:type="dxa"/>
              <w:right w:w="20" w:type="dxa"/>
            </w:tcMar>
          </w:tcPr>
          <w:p w14:paraId="5C7C7B8D"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8E" w14:textId="77777777" w:rsidR="0008009C" w:rsidRDefault="00936FDF">
            <w:pPr>
              <w:textAlignment w:val="top"/>
            </w:pPr>
            <w:r>
              <w:rPr>
                <w:rFonts w:ascii="Arial" w:eastAsia="宋体" w:hAnsi="Arial" w:cs="Arial"/>
                <w:color w:val="262626"/>
                <w:sz w:val="18"/>
                <w:szCs w:val="18"/>
              </w:rPr>
              <w:t>XBRL Taxonomy Extension Label Linkbase Document</w:t>
            </w:r>
          </w:p>
        </w:tc>
        <w:tc>
          <w:tcPr>
            <w:tcW w:w="0" w:type="auto"/>
            <w:gridSpan w:val="3"/>
            <w:shd w:val="clear" w:color="auto" w:fill="auto"/>
            <w:tcMar>
              <w:top w:w="0" w:type="dxa"/>
              <w:left w:w="20" w:type="dxa"/>
              <w:bottom w:w="0" w:type="dxa"/>
              <w:right w:w="20" w:type="dxa"/>
            </w:tcMar>
          </w:tcPr>
          <w:p w14:paraId="5C7C7B8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9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9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9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9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9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9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9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97"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98" w14:textId="77777777" w:rsidR="0008009C" w:rsidRDefault="00936FDF">
            <w:pPr>
              <w:jc w:val="center"/>
              <w:textAlignment w:val="top"/>
            </w:pPr>
            <w:r>
              <w:rPr>
                <w:rFonts w:ascii="Arial" w:eastAsia="宋体" w:hAnsi="Arial" w:cs="Arial"/>
                <w:color w:val="262626"/>
                <w:sz w:val="18"/>
                <w:szCs w:val="18"/>
              </w:rPr>
              <w:t>X</w:t>
            </w:r>
          </w:p>
        </w:tc>
      </w:tr>
      <w:tr w:rsidR="0008009C" w14:paraId="5C7C7BA7" w14:textId="77777777">
        <w:tc>
          <w:tcPr>
            <w:tcW w:w="0" w:type="auto"/>
            <w:gridSpan w:val="3"/>
            <w:shd w:val="clear" w:color="auto" w:fill="auto"/>
            <w:tcMar>
              <w:top w:w="40" w:type="dxa"/>
              <w:left w:w="20" w:type="dxa"/>
              <w:bottom w:w="40" w:type="dxa"/>
              <w:right w:w="20" w:type="dxa"/>
            </w:tcMar>
          </w:tcPr>
          <w:p w14:paraId="5C7C7B9A" w14:textId="77777777" w:rsidR="0008009C" w:rsidRDefault="00936FDF">
            <w:pPr>
              <w:jc w:val="center"/>
              <w:textAlignment w:val="top"/>
            </w:pPr>
            <w:r>
              <w:rPr>
                <w:rFonts w:ascii="Arial" w:eastAsia="宋体" w:hAnsi="Arial" w:cs="Arial"/>
                <w:color w:val="262626"/>
                <w:sz w:val="18"/>
                <w:szCs w:val="18"/>
              </w:rPr>
              <w:t>101.PRE</w:t>
            </w:r>
          </w:p>
        </w:tc>
        <w:tc>
          <w:tcPr>
            <w:tcW w:w="0" w:type="auto"/>
            <w:gridSpan w:val="3"/>
            <w:shd w:val="clear" w:color="auto" w:fill="auto"/>
            <w:tcMar>
              <w:top w:w="0" w:type="dxa"/>
              <w:left w:w="20" w:type="dxa"/>
              <w:bottom w:w="0" w:type="dxa"/>
              <w:right w:w="20" w:type="dxa"/>
            </w:tcMar>
          </w:tcPr>
          <w:p w14:paraId="5C7C7B9B"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9C" w14:textId="77777777" w:rsidR="0008009C" w:rsidRDefault="00936FDF">
            <w:pPr>
              <w:textAlignment w:val="top"/>
            </w:pPr>
            <w:r>
              <w:rPr>
                <w:rFonts w:ascii="Arial" w:eastAsia="宋体" w:hAnsi="Arial" w:cs="Arial"/>
                <w:color w:val="262626"/>
                <w:sz w:val="18"/>
                <w:szCs w:val="18"/>
              </w:rPr>
              <w:t xml:space="preserve">XBRL Taxonomy </w:t>
            </w:r>
            <w:r>
              <w:rPr>
                <w:rFonts w:ascii="Arial" w:eastAsia="宋体" w:hAnsi="Arial" w:cs="Arial"/>
                <w:color w:val="262626"/>
                <w:sz w:val="18"/>
                <w:szCs w:val="18"/>
              </w:rPr>
              <w:t>Extension Presentation Linkbase Document</w:t>
            </w:r>
          </w:p>
        </w:tc>
        <w:tc>
          <w:tcPr>
            <w:tcW w:w="0" w:type="auto"/>
            <w:gridSpan w:val="3"/>
            <w:shd w:val="clear" w:color="auto" w:fill="auto"/>
            <w:tcMar>
              <w:top w:w="0" w:type="dxa"/>
              <w:left w:w="20" w:type="dxa"/>
              <w:bottom w:w="0" w:type="dxa"/>
              <w:right w:w="20" w:type="dxa"/>
            </w:tcMar>
          </w:tcPr>
          <w:p w14:paraId="5C7C7B9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9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9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A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A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A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A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A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A5"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A6" w14:textId="77777777" w:rsidR="0008009C" w:rsidRDefault="00936FDF">
            <w:pPr>
              <w:jc w:val="center"/>
              <w:textAlignment w:val="top"/>
            </w:pPr>
            <w:r>
              <w:rPr>
                <w:rFonts w:ascii="Arial" w:eastAsia="宋体" w:hAnsi="Arial" w:cs="Arial"/>
                <w:color w:val="262626"/>
                <w:sz w:val="18"/>
                <w:szCs w:val="18"/>
              </w:rPr>
              <w:t>X</w:t>
            </w:r>
          </w:p>
        </w:tc>
      </w:tr>
      <w:tr w:rsidR="0008009C" w14:paraId="5C7C7BB5" w14:textId="77777777">
        <w:tc>
          <w:tcPr>
            <w:tcW w:w="0" w:type="auto"/>
            <w:gridSpan w:val="3"/>
            <w:shd w:val="clear" w:color="auto" w:fill="auto"/>
            <w:tcMar>
              <w:top w:w="40" w:type="dxa"/>
              <w:left w:w="20" w:type="dxa"/>
              <w:bottom w:w="40" w:type="dxa"/>
              <w:right w:w="20" w:type="dxa"/>
            </w:tcMar>
          </w:tcPr>
          <w:p w14:paraId="5C7C7BA8" w14:textId="77777777" w:rsidR="0008009C" w:rsidRDefault="00936FDF">
            <w:pPr>
              <w:jc w:val="center"/>
              <w:textAlignment w:val="top"/>
            </w:pPr>
            <w:r>
              <w:rPr>
                <w:rFonts w:ascii="Arial" w:eastAsia="宋体" w:hAnsi="Arial" w:cs="Arial"/>
                <w:color w:val="262626"/>
                <w:sz w:val="18"/>
                <w:szCs w:val="18"/>
              </w:rPr>
              <w:t>104</w:t>
            </w:r>
          </w:p>
        </w:tc>
        <w:tc>
          <w:tcPr>
            <w:tcW w:w="0" w:type="auto"/>
            <w:gridSpan w:val="3"/>
            <w:shd w:val="clear" w:color="auto" w:fill="auto"/>
            <w:tcMar>
              <w:top w:w="0" w:type="dxa"/>
              <w:left w:w="20" w:type="dxa"/>
              <w:bottom w:w="0" w:type="dxa"/>
              <w:right w:w="20" w:type="dxa"/>
            </w:tcMar>
          </w:tcPr>
          <w:p w14:paraId="5C7C7BA9"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AA" w14:textId="77777777" w:rsidR="0008009C" w:rsidRDefault="00936FDF">
            <w:pPr>
              <w:textAlignment w:val="top"/>
            </w:pPr>
            <w:r>
              <w:rPr>
                <w:rFonts w:ascii="Arial" w:eastAsia="宋体" w:hAnsi="Arial" w:cs="Arial"/>
                <w:color w:val="262626"/>
                <w:sz w:val="18"/>
                <w:szCs w:val="18"/>
              </w:rPr>
              <w:t>Cover Page Interactive Data File - formatted in Inline XBRL and included as Exhibit 101</w:t>
            </w:r>
          </w:p>
        </w:tc>
        <w:tc>
          <w:tcPr>
            <w:tcW w:w="0" w:type="auto"/>
            <w:gridSpan w:val="3"/>
            <w:shd w:val="clear" w:color="auto" w:fill="auto"/>
            <w:tcMar>
              <w:top w:w="0" w:type="dxa"/>
              <w:left w:w="20" w:type="dxa"/>
              <w:bottom w:w="0" w:type="dxa"/>
              <w:right w:w="20" w:type="dxa"/>
            </w:tcMar>
          </w:tcPr>
          <w:p w14:paraId="5C7C7BA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A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AD"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AE"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AF"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B0"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B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B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BB3"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BB4" w14:textId="77777777" w:rsidR="0008009C" w:rsidRDefault="00936FDF">
            <w:pPr>
              <w:jc w:val="center"/>
              <w:textAlignment w:val="top"/>
            </w:pPr>
            <w:r>
              <w:rPr>
                <w:rFonts w:ascii="Arial" w:eastAsia="宋体" w:hAnsi="Arial" w:cs="Arial"/>
                <w:color w:val="262626"/>
                <w:sz w:val="18"/>
                <w:szCs w:val="18"/>
              </w:rPr>
              <w:t>X</w:t>
            </w:r>
          </w:p>
        </w:tc>
      </w:tr>
    </w:tbl>
    <w:p w14:paraId="5C7C7BB6" w14:textId="77777777" w:rsidR="0008009C" w:rsidRDefault="00936FDF">
      <w:pPr>
        <w:spacing w:after="180"/>
      </w:pPr>
      <w:r>
        <w:rPr>
          <w:rFonts w:ascii="Arial" w:eastAsia="宋体" w:hAnsi="Arial" w:cs="Arial"/>
          <w:i/>
          <w:iCs/>
          <w:color w:val="262626"/>
          <w:sz w:val="11"/>
          <w:szCs w:val="11"/>
        </w:rPr>
        <w:t xml:space="preserve">† </w:t>
      </w:r>
      <w:r>
        <w:rPr>
          <w:rFonts w:ascii="Arial" w:eastAsia="宋体" w:hAnsi="Arial" w:cs="Arial"/>
          <w:i/>
          <w:iCs/>
          <w:color w:val="262626"/>
          <w:sz w:val="18"/>
          <w:szCs w:val="18"/>
        </w:rPr>
        <w:t xml:space="preserve">Management contracts or compensation plans or arrangements in which directors or </w:t>
      </w:r>
      <w:r>
        <w:rPr>
          <w:rFonts w:ascii="Arial" w:eastAsia="宋体" w:hAnsi="Arial" w:cs="Arial"/>
          <w:i/>
          <w:iCs/>
          <w:color w:val="262626"/>
          <w:sz w:val="18"/>
          <w:szCs w:val="18"/>
        </w:rPr>
        <w:t>executive officers are eligible to participate.</w:t>
      </w: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08009C" w14:paraId="5C7C7BC0" w14:textId="77777777">
        <w:tc>
          <w:tcPr>
            <w:tcW w:w="50" w:type="pct"/>
            <w:shd w:val="clear" w:color="auto" w:fill="auto"/>
            <w:vAlign w:val="bottom"/>
          </w:tcPr>
          <w:p w14:paraId="5C7C7BB7" w14:textId="77777777" w:rsidR="0008009C" w:rsidRDefault="0008009C">
            <w:pPr>
              <w:rPr>
                <w:rFonts w:ascii="宋体"/>
              </w:rPr>
            </w:pPr>
          </w:p>
        </w:tc>
        <w:tc>
          <w:tcPr>
            <w:tcW w:w="212" w:type="pct"/>
            <w:shd w:val="clear" w:color="auto" w:fill="auto"/>
            <w:vAlign w:val="bottom"/>
          </w:tcPr>
          <w:p w14:paraId="5C7C7BB8" w14:textId="77777777" w:rsidR="0008009C" w:rsidRDefault="0008009C">
            <w:pPr>
              <w:rPr>
                <w:rFonts w:ascii="宋体"/>
              </w:rPr>
            </w:pPr>
          </w:p>
        </w:tc>
        <w:tc>
          <w:tcPr>
            <w:tcW w:w="5" w:type="pct"/>
            <w:shd w:val="clear" w:color="auto" w:fill="auto"/>
            <w:vAlign w:val="bottom"/>
          </w:tcPr>
          <w:p w14:paraId="5C7C7BB9" w14:textId="77777777" w:rsidR="0008009C" w:rsidRDefault="0008009C">
            <w:pPr>
              <w:rPr>
                <w:rFonts w:ascii="宋体"/>
              </w:rPr>
            </w:pPr>
          </w:p>
        </w:tc>
        <w:tc>
          <w:tcPr>
            <w:tcW w:w="50" w:type="pct"/>
            <w:shd w:val="clear" w:color="auto" w:fill="auto"/>
            <w:vAlign w:val="bottom"/>
          </w:tcPr>
          <w:p w14:paraId="5C7C7BBA" w14:textId="77777777" w:rsidR="0008009C" w:rsidRDefault="0008009C">
            <w:pPr>
              <w:rPr>
                <w:rFonts w:ascii="宋体"/>
              </w:rPr>
            </w:pPr>
          </w:p>
        </w:tc>
        <w:tc>
          <w:tcPr>
            <w:tcW w:w="2492" w:type="pct"/>
            <w:shd w:val="clear" w:color="auto" w:fill="auto"/>
            <w:vAlign w:val="bottom"/>
          </w:tcPr>
          <w:p w14:paraId="5C7C7BBB" w14:textId="77777777" w:rsidR="0008009C" w:rsidRDefault="0008009C">
            <w:pPr>
              <w:rPr>
                <w:rFonts w:ascii="宋体"/>
              </w:rPr>
            </w:pPr>
          </w:p>
        </w:tc>
        <w:tc>
          <w:tcPr>
            <w:tcW w:w="5" w:type="pct"/>
            <w:shd w:val="clear" w:color="auto" w:fill="auto"/>
            <w:vAlign w:val="bottom"/>
          </w:tcPr>
          <w:p w14:paraId="5C7C7BBC" w14:textId="77777777" w:rsidR="0008009C" w:rsidRDefault="0008009C">
            <w:pPr>
              <w:rPr>
                <w:rFonts w:ascii="宋体"/>
              </w:rPr>
            </w:pPr>
          </w:p>
        </w:tc>
        <w:tc>
          <w:tcPr>
            <w:tcW w:w="50" w:type="pct"/>
            <w:shd w:val="clear" w:color="auto" w:fill="auto"/>
            <w:vAlign w:val="bottom"/>
          </w:tcPr>
          <w:p w14:paraId="5C7C7BBD" w14:textId="77777777" w:rsidR="0008009C" w:rsidRDefault="0008009C">
            <w:pPr>
              <w:rPr>
                <w:rFonts w:ascii="宋体"/>
              </w:rPr>
            </w:pPr>
          </w:p>
        </w:tc>
        <w:tc>
          <w:tcPr>
            <w:tcW w:w="2130" w:type="pct"/>
            <w:shd w:val="clear" w:color="auto" w:fill="auto"/>
            <w:vAlign w:val="bottom"/>
          </w:tcPr>
          <w:p w14:paraId="5C7C7BBE" w14:textId="77777777" w:rsidR="0008009C" w:rsidRDefault="0008009C">
            <w:pPr>
              <w:rPr>
                <w:rFonts w:ascii="宋体"/>
              </w:rPr>
            </w:pPr>
          </w:p>
        </w:tc>
        <w:tc>
          <w:tcPr>
            <w:tcW w:w="5" w:type="pct"/>
            <w:shd w:val="clear" w:color="auto" w:fill="auto"/>
            <w:vAlign w:val="bottom"/>
          </w:tcPr>
          <w:p w14:paraId="5C7C7BBF" w14:textId="77777777" w:rsidR="0008009C" w:rsidRDefault="0008009C">
            <w:pPr>
              <w:rPr>
                <w:rFonts w:ascii="宋体"/>
              </w:rPr>
            </w:pPr>
          </w:p>
        </w:tc>
      </w:tr>
      <w:tr w:rsidR="0008009C" w14:paraId="5C7C7BC4"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7BC1"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7E" wp14:editId="5C7C7D7F">
                  <wp:extent cx="304800" cy="304800"/>
                  <wp:effectExtent l="0" t="0" r="0" b="0"/>
                  <wp:docPr id="52" name="图片 13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2"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BC2" w14:textId="77777777" w:rsidR="0008009C" w:rsidRDefault="00936FDF">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BC3" w14:textId="77777777" w:rsidR="0008009C" w:rsidRDefault="00936FDF">
            <w:pPr>
              <w:jc w:val="right"/>
              <w:textAlignment w:val="center"/>
            </w:pPr>
            <w:r>
              <w:rPr>
                <w:rFonts w:ascii="Arial" w:eastAsia="宋体" w:hAnsi="Arial" w:cs="Arial"/>
                <w:color w:val="262626"/>
                <w:sz w:val="16"/>
                <w:szCs w:val="16"/>
              </w:rPr>
              <w:t>38</w:t>
            </w:r>
          </w:p>
        </w:tc>
      </w:tr>
    </w:tbl>
    <w:p w14:paraId="5C7C7BC5" w14:textId="77777777" w:rsidR="0008009C" w:rsidRDefault="00936FDF">
      <w:r>
        <w:pict w14:anchorId="5C7C7D80">
          <v:rect id="_x0000_i1064" style="width:415.3pt;height:1.5pt" o:hralign="center" o:hrstd="t" o:hr="t" fillcolor="#a0a0a0" stroked="f"/>
        </w:pict>
      </w:r>
    </w:p>
    <w:p w14:paraId="5C7C7BC6" w14:textId="77777777" w:rsidR="0008009C" w:rsidRDefault="00936FDF">
      <w:pPr>
        <w:spacing w:after="180"/>
        <w:jc w:val="right"/>
      </w:pPr>
      <w:hyperlink r:id="rId86" w:anchor="i3a00378f6cc84b1c9cfc83239548ad53_7" w:history="1">
        <w:r>
          <w:rPr>
            <w:rStyle w:val="a5"/>
            <w:rFonts w:ascii="Arial" w:eastAsia="宋体" w:hAnsi="Arial" w:cs="Arial"/>
            <w:b/>
            <w:bCs/>
            <w:sz w:val="16"/>
            <w:szCs w:val="16"/>
          </w:rPr>
          <w:t>Table of Contents</w:t>
        </w:r>
      </w:hyperlink>
    </w:p>
    <w:p w14:paraId="5C7C7BC7" w14:textId="77777777" w:rsidR="0008009C" w:rsidRDefault="0008009C">
      <w:pPr>
        <w:spacing w:after="180"/>
        <w:jc w:val="right"/>
      </w:pPr>
    </w:p>
    <w:p w14:paraId="5C7C7BC8" w14:textId="77777777" w:rsidR="0008009C" w:rsidRDefault="00936FDF">
      <w:r>
        <w:rPr>
          <w:rFonts w:ascii="Arial" w:eastAsia="宋体" w:hAnsi="Arial" w:cs="Arial"/>
          <w:color w:val="0068B5"/>
          <w:sz w:val="28"/>
          <w:szCs w:val="28"/>
        </w:rPr>
        <w:t>Form 10-Q Cross-Reference Index</w:t>
      </w:r>
    </w:p>
    <w:tbl>
      <w:tblPr>
        <w:tblW w:w="5000" w:type="pct"/>
        <w:tblCellMar>
          <w:top w:w="15" w:type="dxa"/>
          <w:left w:w="15" w:type="dxa"/>
          <w:bottom w:w="15" w:type="dxa"/>
          <w:right w:w="15" w:type="dxa"/>
        </w:tblCellMar>
        <w:tblLook w:val="04A0" w:firstRow="1" w:lastRow="0" w:firstColumn="1" w:lastColumn="0" w:noHBand="0" w:noVBand="1"/>
      </w:tblPr>
      <w:tblGrid>
        <w:gridCol w:w="77"/>
        <w:gridCol w:w="943"/>
        <w:gridCol w:w="37"/>
        <w:gridCol w:w="69"/>
        <w:gridCol w:w="4861"/>
        <w:gridCol w:w="38"/>
        <w:gridCol w:w="69"/>
        <w:gridCol w:w="2205"/>
        <w:gridCol w:w="37"/>
      </w:tblGrid>
      <w:tr w:rsidR="0008009C" w14:paraId="5C7C7BD2" w14:textId="77777777">
        <w:tc>
          <w:tcPr>
            <w:tcW w:w="50" w:type="pct"/>
            <w:shd w:val="clear" w:color="auto" w:fill="auto"/>
          </w:tcPr>
          <w:p w14:paraId="5C7C7BC9" w14:textId="77777777" w:rsidR="0008009C" w:rsidRDefault="0008009C">
            <w:pPr>
              <w:rPr>
                <w:rFonts w:ascii="宋体"/>
              </w:rPr>
            </w:pPr>
          </w:p>
        </w:tc>
        <w:tc>
          <w:tcPr>
            <w:tcW w:w="580" w:type="pct"/>
            <w:shd w:val="clear" w:color="auto" w:fill="auto"/>
          </w:tcPr>
          <w:p w14:paraId="5C7C7BCA" w14:textId="77777777" w:rsidR="0008009C" w:rsidRDefault="0008009C">
            <w:pPr>
              <w:rPr>
                <w:rFonts w:ascii="宋体"/>
              </w:rPr>
            </w:pPr>
          </w:p>
        </w:tc>
        <w:tc>
          <w:tcPr>
            <w:tcW w:w="5" w:type="pct"/>
            <w:shd w:val="clear" w:color="auto" w:fill="auto"/>
          </w:tcPr>
          <w:p w14:paraId="5C7C7BCB" w14:textId="77777777" w:rsidR="0008009C" w:rsidRDefault="0008009C">
            <w:pPr>
              <w:rPr>
                <w:rFonts w:ascii="宋体"/>
              </w:rPr>
            </w:pPr>
          </w:p>
        </w:tc>
        <w:tc>
          <w:tcPr>
            <w:tcW w:w="50" w:type="pct"/>
            <w:shd w:val="clear" w:color="auto" w:fill="auto"/>
          </w:tcPr>
          <w:p w14:paraId="5C7C7BCC" w14:textId="77777777" w:rsidR="0008009C" w:rsidRDefault="0008009C">
            <w:pPr>
              <w:rPr>
                <w:rFonts w:ascii="宋体"/>
              </w:rPr>
            </w:pPr>
          </w:p>
        </w:tc>
        <w:tc>
          <w:tcPr>
            <w:tcW w:w="2923" w:type="pct"/>
            <w:shd w:val="clear" w:color="auto" w:fill="auto"/>
          </w:tcPr>
          <w:p w14:paraId="5C7C7BCD" w14:textId="77777777" w:rsidR="0008009C" w:rsidRDefault="0008009C">
            <w:pPr>
              <w:rPr>
                <w:rFonts w:ascii="宋体"/>
              </w:rPr>
            </w:pPr>
          </w:p>
        </w:tc>
        <w:tc>
          <w:tcPr>
            <w:tcW w:w="5" w:type="pct"/>
            <w:shd w:val="clear" w:color="auto" w:fill="auto"/>
          </w:tcPr>
          <w:p w14:paraId="5C7C7BCE" w14:textId="77777777" w:rsidR="0008009C" w:rsidRDefault="0008009C">
            <w:pPr>
              <w:rPr>
                <w:rFonts w:ascii="宋体"/>
              </w:rPr>
            </w:pPr>
          </w:p>
        </w:tc>
        <w:tc>
          <w:tcPr>
            <w:tcW w:w="50" w:type="pct"/>
            <w:shd w:val="clear" w:color="auto" w:fill="auto"/>
          </w:tcPr>
          <w:p w14:paraId="5C7C7BCF" w14:textId="77777777" w:rsidR="0008009C" w:rsidRDefault="0008009C">
            <w:pPr>
              <w:rPr>
                <w:rFonts w:ascii="宋体"/>
              </w:rPr>
            </w:pPr>
          </w:p>
        </w:tc>
        <w:tc>
          <w:tcPr>
            <w:tcW w:w="1331" w:type="pct"/>
            <w:shd w:val="clear" w:color="auto" w:fill="auto"/>
          </w:tcPr>
          <w:p w14:paraId="5C7C7BD0" w14:textId="77777777" w:rsidR="0008009C" w:rsidRDefault="0008009C">
            <w:pPr>
              <w:rPr>
                <w:rFonts w:ascii="宋体"/>
              </w:rPr>
            </w:pPr>
          </w:p>
        </w:tc>
        <w:tc>
          <w:tcPr>
            <w:tcW w:w="5" w:type="pct"/>
            <w:shd w:val="clear" w:color="auto" w:fill="auto"/>
          </w:tcPr>
          <w:p w14:paraId="5C7C7BD1" w14:textId="77777777" w:rsidR="0008009C" w:rsidRDefault="0008009C">
            <w:pPr>
              <w:rPr>
                <w:rFonts w:ascii="宋体"/>
              </w:rPr>
            </w:pPr>
          </w:p>
        </w:tc>
      </w:tr>
      <w:tr w:rsidR="0008009C" w14:paraId="5C7C7BD6" w14:textId="77777777">
        <w:tc>
          <w:tcPr>
            <w:tcW w:w="0" w:type="auto"/>
            <w:gridSpan w:val="3"/>
            <w:shd w:val="clear" w:color="auto" w:fill="auto"/>
            <w:tcMar>
              <w:top w:w="40" w:type="dxa"/>
              <w:left w:w="20" w:type="dxa"/>
              <w:bottom w:w="40" w:type="dxa"/>
              <w:right w:w="20" w:type="dxa"/>
            </w:tcMar>
            <w:vAlign w:val="bottom"/>
          </w:tcPr>
          <w:p w14:paraId="5C7C7BD3" w14:textId="77777777" w:rsidR="0008009C" w:rsidRDefault="00936FDF">
            <w:pPr>
              <w:textAlignment w:val="bottom"/>
            </w:pPr>
            <w:r>
              <w:rPr>
                <w:rFonts w:ascii="Arial" w:eastAsia="宋体" w:hAnsi="Arial" w:cs="Arial"/>
                <w:b/>
                <w:bCs/>
                <w:color w:val="262626"/>
                <w:sz w:val="18"/>
                <w:szCs w:val="18"/>
              </w:rPr>
              <w:t>Item Number</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C7C7BD4" w14:textId="77777777" w:rsidR="0008009C" w:rsidRDefault="00936FDF">
            <w:pPr>
              <w:textAlignment w:val="bottom"/>
            </w:pPr>
            <w:r>
              <w:rPr>
                <w:rFonts w:ascii="Arial" w:eastAsia="宋体" w:hAnsi="Arial" w:cs="Arial"/>
                <w:b/>
                <w:bCs/>
                <w:color w:val="262626"/>
                <w:sz w:val="18"/>
                <w:szCs w:val="18"/>
              </w:rPr>
              <w:t>Item</w:t>
            </w:r>
          </w:p>
        </w:tc>
        <w:tc>
          <w:tcPr>
            <w:tcW w:w="0" w:type="auto"/>
            <w:gridSpan w:val="3"/>
            <w:shd w:val="clear" w:color="auto" w:fill="auto"/>
            <w:tcMar>
              <w:top w:w="40" w:type="dxa"/>
              <w:left w:w="20" w:type="dxa"/>
              <w:bottom w:w="40" w:type="dxa"/>
              <w:right w:w="20" w:type="dxa"/>
            </w:tcMar>
            <w:vAlign w:val="center"/>
          </w:tcPr>
          <w:p w14:paraId="5C7C7BD5" w14:textId="77777777" w:rsidR="0008009C" w:rsidRDefault="00936FDF">
            <w:pPr>
              <w:jc w:val="center"/>
              <w:textAlignment w:val="center"/>
            </w:pPr>
            <w:r>
              <w:rPr>
                <w:rFonts w:ascii="Arial" w:eastAsia="宋体" w:hAnsi="Arial" w:cs="Arial"/>
                <w:b/>
                <w:bCs/>
                <w:color w:val="262626"/>
                <w:sz w:val="18"/>
                <w:szCs w:val="18"/>
              </w:rPr>
              <w:t> </w:t>
            </w:r>
          </w:p>
        </w:tc>
      </w:tr>
      <w:tr w:rsidR="0008009C" w14:paraId="5C7C7BD9" w14:textId="77777777">
        <w:tc>
          <w:tcPr>
            <w:tcW w:w="0" w:type="auto"/>
            <w:gridSpan w:val="6"/>
            <w:tcBorders>
              <w:top w:val="single" w:sz="8" w:space="0" w:color="0068B5"/>
            </w:tcBorders>
            <w:shd w:val="clear" w:color="auto" w:fill="auto"/>
            <w:tcMar>
              <w:top w:w="40" w:type="dxa"/>
              <w:left w:w="20" w:type="dxa"/>
              <w:bottom w:w="40" w:type="dxa"/>
              <w:right w:w="20" w:type="dxa"/>
            </w:tcMar>
            <w:vAlign w:val="bottom"/>
          </w:tcPr>
          <w:p w14:paraId="5C7C7BD7" w14:textId="77777777" w:rsidR="0008009C" w:rsidRDefault="00936FDF">
            <w:pPr>
              <w:textAlignment w:val="bottom"/>
            </w:pPr>
            <w:r>
              <w:rPr>
                <w:rFonts w:ascii="Arial" w:eastAsia="宋体" w:hAnsi="Arial" w:cs="Arial"/>
                <w:b/>
                <w:bCs/>
                <w:color w:val="0068B5"/>
                <w:sz w:val="18"/>
                <w:szCs w:val="18"/>
              </w:rPr>
              <w:t xml:space="preserve">Part I - </w:t>
            </w:r>
            <w:r>
              <w:rPr>
                <w:rFonts w:ascii="Arial" w:eastAsia="宋体" w:hAnsi="Arial" w:cs="Arial"/>
                <w:b/>
                <w:bCs/>
                <w:color w:val="0068B5"/>
                <w:sz w:val="18"/>
                <w:szCs w:val="18"/>
              </w:rPr>
              <w:t>Financial Information</w:t>
            </w:r>
          </w:p>
        </w:tc>
        <w:tc>
          <w:tcPr>
            <w:tcW w:w="0" w:type="auto"/>
            <w:gridSpan w:val="3"/>
            <w:tcBorders>
              <w:top w:val="single" w:sz="8" w:space="0" w:color="0068B5"/>
            </w:tcBorders>
            <w:shd w:val="clear" w:color="auto" w:fill="auto"/>
            <w:tcMar>
              <w:top w:w="0" w:type="dxa"/>
              <w:left w:w="20" w:type="dxa"/>
              <w:bottom w:w="0" w:type="dxa"/>
              <w:right w:w="20" w:type="dxa"/>
            </w:tcMar>
          </w:tcPr>
          <w:p w14:paraId="5C7C7BD8" w14:textId="77777777" w:rsidR="0008009C" w:rsidRDefault="0008009C">
            <w:pPr>
              <w:rPr>
                <w:rFonts w:ascii="宋体"/>
              </w:rPr>
            </w:pPr>
          </w:p>
        </w:tc>
      </w:tr>
      <w:tr w:rsidR="0008009C" w14:paraId="5C7C7BDD" w14:textId="77777777">
        <w:tc>
          <w:tcPr>
            <w:tcW w:w="0" w:type="auto"/>
            <w:gridSpan w:val="3"/>
            <w:shd w:val="clear" w:color="auto" w:fill="auto"/>
            <w:tcMar>
              <w:top w:w="40" w:type="dxa"/>
              <w:left w:w="20" w:type="dxa"/>
              <w:bottom w:w="40" w:type="dxa"/>
              <w:right w:w="20" w:type="dxa"/>
            </w:tcMar>
            <w:vAlign w:val="bottom"/>
          </w:tcPr>
          <w:p w14:paraId="5C7C7BDA" w14:textId="77777777" w:rsidR="0008009C" w:rsidRDefault="00936FDF">
            <w:pPr>
              <w:textAlignment w:val="bottom"/>
            </w:pPr>
            <w:r>
              <w:rPr>
                <w:rFonts w:ascii="Arial" w:eastAsia="宋体" w:hAnsi="Arial" w:cs="Arial"/>
                <w:b/>
                <w:bCs/>
                <w:color w:val="262626"/>
                <w:sz w:val="18"/>
                <w:szCs w:val="18"/>
              </w:rPr>
              <w:t>Item 1.</w:t>
            </w:r>
          </w:p>
        </w:tc>
        <w:tc>
          <w:tcPr>
            <w:tcW w:w="0" w:type="auto"/>
            <w:gridSpan w:val="3"/>
            <w:shd w:val="clear" w:color="auto" w:fill="auto"/>
            <w:tcMar>
              <w:top w:w="40" w:type="dxa"/>
              <w:left w:w="20" w:type="dxa"/>
              <w:bottom w:w="40" w:type="dxa"/>
              <w:right w:w="20" w:type="dxa"/>
            </w:tcMar>
            <w:vAlign w:val="bottom"/>
          </w:tcPr>
          <w:p w14:paraId="5C7C7BDB" w14:textId="77777777" w:rsidR="0008009C" w:rsidRDefault="00936FDF">
            <w:pPr>
              <w:textAlignment w:val="bottom"/>
            </w:pPr>
            <w:r>
              <w:rPr>
                <w:rFonts w:ascii="Arial" w:eastAsia="宋体" w:hAnsi="Arial" w:cs="Arial"/>
                <w:b/>
                <w:bCs/>
                <w:color w:val="262626"/>
                <w:sz w:val="18"/>
                <w:szCs w:val="18"/>
              </w:rPr>
              <w:t>Financial Statements</w:t>
            </w:r>
          </w:p>
        </w:tc>
        <w:tc>
          <w:tcPr>
            <w:tcW w:w="0" w:type="auto"/>
            <w:gridSpan w:val="3"/>
            <w:shd w:val="clear" w:color="auto" w:fill="auto"/>
            <w:tcMar>
              <w:top w:w="40" w:type="dxa"/>
              <w:left w:w="20" w:type="dxa"/>
              <w:bottom w:w="40" w:type="dxa"/>
              <w:right w:w="20" w:type="dxa"/>
            </w:tcMar>
            <w:vAlign w:val="center"/>
          </w:tcPr>
          <w:p w14:paraId="5C7C7BDC" w14:textId="77777777" w:rsidR="0008009C" w:rsidRDefault="00936FDF">
            <w:pPr>
              <w:jc w:val="center"/>
              <w:textAlignment w:val="center"/>
            </w:pPr>
            <w:r>
              <w:rPr>
                <w:rFonts w:ascii="Arial" w:eastAsia="宋体" w:hAnsi="Arial" w:cs="Arial"/>
                <w:color w:val="262626"/>
                <w:sz w:val="18"/>
                <w:szCs w:val="18"/>
              </w:rPr>
              <w:t xml:space="preserve">Pages </w:t>
            </w:r>
            <w:hyperlink r:id="rId87" w:anchor="i3a00378f6cc84b1c9cfc83239548ad53_25" w:history="1">
              <w:r>
                <w:rPr>
                  <w:rStyle w:val="a5"/>
                  <w:rFonts w:ascii="Arial" w:eastAsia="宋体" w:hAnsi="Arial" w:cs="Arial"/>
                  <w:color w:val="262626"/>
                  <w:sz w:val="18"/>
                  <w:szCs w:val="18"/>
                </w:rPr>
                <w:t>3</w:t>
              </w:r>
            </w:hyperlink>
            <w:r>
              <w:rPr>
                <w:rFonts w:ascii="Arial" w:eastAsia="宋体" w:hAnsi="Arial" w:cs="Arial"/>
                <w:color w:val="262626"/>
                <w:sz w:val="18"/>
                <w:szCs w:val="18"/>
              </w:rPr>
              <w:t xml:space="preserve"> - </w:t>
            </w:r>
            <w:hyperlink r:id="rId88" w:anchor="i3a00378f6cc84b1c9cfc83239548ad53_157" w:history="1">
              <w:r>
                <w:rPr>
                  <w:rStyle w:val="a5"/>
                  <w:rFonts w:ascii="Arial" w:eastAsia="宋体" w:hAnsi="Arial" w:cs="Arial"/>
                  <w:color w:val="262626"/>
                  <w:sz w:val="18"/>
                  <w:szCs w:val="18"/>
                </w:rPr>
                <w:t>22</w:t>
              </w:r>
            </w:hyperlink>
          </w:p>
        </w:tc>
      </w:tr>
      <w:tr w:rsidR="0008009C" w14:paraId="5C7C7BE1" w14:textId="77777777">
        <w:tc>
          <w:tcPr>
            <w:tcW w:w="0" w:type="auto"/>
            <w:gridSpan w:val="3"/>
            <w:shd w:val="clear" w:color="auto" w:fill="auto"/>
            <w:tcMar>
              <w:top w:w="40" w:type="dxa"/>
              <w:left w:w="20" w:type="dxa"/>
              <w:bottom w:w="40" w:type="dxa"/>
              <w:right w:w="20" w:type="dxa"/>
            </w:tcMar>
            <w:vAlign w:val="center"/>
          </w:tcPr>
          <w:p w14:paraId="5C7C7BDE" w14:textId="77777777" w:rsidR="0008009C" w:rsidRDefault="00936FDF">
            <w:pPr>
              <w:textAlignment w:val="center"/>
            </w:pPr>
            <w:r>
              <w:rPr>
                <w:rFonts w:ascii="Arial" w:eastAsia="宋体" w:hAnsi="Arial" w:cs="Arial"/>
                <w:b/>
                <w:bCs/>
                <w:color w:val="262626"/>
                <w:sz w:val="18"/>
                <w:szCs w:val="18"/>
              </w:rPr>
              <w:t>Item 2.</w:t>
            </w:r>
          </w:p>
        </w:tc>
        <w:tc>
          <w:tcPr>
            <w:tcW w:w="0" w:type="auto"/>
            <w:gridSpan w:val="3"/>
            <w:shd w:val="clear" w:color="auto" w:fill="auto"/>
            <w:tcMar>
              <w:top w:w="40" w:type="dxa"/>
              <w:left w:w="20" w:type="dxa"/>
              <w:bottom w:w="40" w:type="dxa"/>
              <w:right w:w="20" w:type="dxa"/>
            </w:tcMar>
            <w:vAlign w:val="bottom"/>
          </w:tcPr>
          <w:p w14:paraId="5C7C7BDF" w14:textId="77777777" w:rsidR="0008009C" w:rsidRDefault="00936FDF">
            <w:pPr>
              <w:textAlignment w:val="bottom"/>
            </w:pPr>
            <w:r>
              <w:rPr>
                <w:rFonts w:ascii="Arial" w:eastAsia="宋体" w:hAnsi="Arial" w:cs="Arial"/>
                <w:b/>
                <w:bCs/>
                <w:color w:val="262626"/>
                <w:sz w:val="18"/>
                <w:szCs w:val="18"/>
              </w:rPr>
              <w:t>Management's Discussion and Analysis of Financial Condition and Results of Operations:</w:t>
            </w:r>
          </w:p>
        </w:tc>
        <w:tc>
          <w:tcPr>
            <w:tcW w:w="0" w:type="auto"/>
            <w:gridSpan w:val="3"/>
            <w:shd w:val="clear" w:color="auto" w:fill="auto"/>
            <w:tcMar>
              <w:top w:w="0" w:type="dxa"/>
              <w:left w:w="20" w:type="dxa"/>
              <w:bottom w:w="0" w:type="dxa"/>
              <w:right w:w="20" w:type="dxa"/>
            </w:tcMar>
          </w:tcPr>
          <w:p w14:paraId="5C7C7BE0" w14:textId="77777777" w:rsidR="0008009C" w:rsidRDefault="0008009C">
            <w:pPr>
              <w:rPr>
                <w:rFonts w:ascii="宋体"/>
              </w:rPr>
            </w:pPr>
          </w:p>
        </w:tc>
      </w:tr>
      <w:tr w:rsidR="0008009C" w14:paraId="5C7C7BE5" w14:textId="77777777">
        <w:tc>
          <w:tcPr>
            <w:tcW w:w="0" w:type="auto"/>
            <w:gridSpan w:val="3"/>
            <w:shd w:val="clear" w:color="auto" w:fill="auto"/>
            <w:tcMar>
              <w:top w:w="0" w:type="dxa"/>
              <w:left w:w="20" w:type="dxa"/>
              <w:bottom w:w="0" w:type="dxa"/>
              <w:right w:w="20" w:type="dxa"/>
            </w:tcMar>
          </w:tcPr>
          <w:p w14:paraId="5C7C7BE2" w14:textId="77777777" w:rsidR="0008009C" w:rsidRDefault="0008009C">
            <w:pPr>
              <w:rPr>
                <w:rFonts w:ascii="宋体"/>
              </w:rPr>
            </w:pPr>
          </w:p>
        </w:tc>
        <w:tc>
          <w:tcPr>
            <w:tcW w:w="0" w:type="auto"/>
            <w:gridSpan w:val="3"/>
            <w:shd w:val="clear" w:color="auto" w:fill="auto"/>
            <w:tcMar>
              <w:top w:w="40" w:type="dxa"/>
              <w:left w:w="245" w:type="dxa"/>
              <w:bottom w:w="40" w:type="dxa"/>
              <w:right w:w="20" w:type="dxa"/>
            </w:tcMar>
            <w:vAlign w:val="bottom"/>
          </w:tcPr>
          <w:p w14:paraId="5C7C7BE3" w14:textId="77777777" w:rsidR="0008009C" w:rsidRDefault="00936FDF">
            <w:pPr>
              <w:textAlignment w:val="bottom"/>
            </w:pPr>
            <w:r>
              <w:rPr>
                <w:rFonts w:ascii="Arial" w:eastAsia="宋体" w:hAnsi="Arial" w:cs="Arial"/>
                <w:color w:val="262626"/>
                <w:sz w:val="18"/>
                <w:szCs w:val="18"/>
              </w:rPr>
              <w:t>Results of operations</w:t>
            </w:r>
          </w:p>
        </w:tc>
        <w:tc>
          <w:tcPr>
            <w:tcW w:w="0" w:type="auto"/>
            <w:gridSpan w:val="3"/>
            <w:shd w:val="clear" w:color="auto" w:fill="auto"/>
            <w:tcMar>
              <w:top w:w="40" w:type="dxa"/>
              <w:left w:w="20" w:type="dxa"/>
              <w:bottom w:w="40" w:type="dxa"/>
              <w:right w:w="20" w:type="dxa"/>
            </w:tcMar>
            <w:vAlign w:val="center"/>
          </w:tcPr>
          <w:p w14:paraId="5C7C7BE4" w14:textId="77777777" w:rsidR="0008009C" w:rsidRDefault="00936FDF">
            <w:pPr>
              <w:jc w:val="center"/>
              <w:textAlignment w:val="center"/>
            </w:pPr>
            <w:r>
              <w:rPr>
                <w:rFonts w:ascii="Arial" w:eastAsia="宋体" w:hAnsi="Arial" w:cs="Arial"/>
                <w:color w:val="262626"/>
                <w:sz w:val="18"/>
                <w:szCs w:val="18"/>
              </w:rPr>
              <w:t xml:space="preserve">Pages </w:t>
            </w:r>
            <w:hyperlink r:id="rId89" w:anchor="i3a00378f6cc84b1c9cfc83239548ad53_16" w:history="1">
              <w:r>
                <w:rPr>
                  <w:rStyle w:val="a5"/>
                  <w:rFonts w:ascii="Arial" w:eastAsia="宋体" w:hAnsi="Arial" w:cs="Arial"/>
                  <w:color w:val="262626"/>
                  <w:sz w:val="18"/>
                  <w:szCs w:val="18"/>
                </w:rPr>
                <w:t>2</w:t>
              </w:r>
            </w:hyperlink>
            <w:r>
              <w:rPr>
                <w:rFonts w:ascii="Arial" w:eastAsia="宋体" w:hAnsi="Arial" w:cs="Arial"/>
                <w:color w:val="262626"/>
                <w:sz w:val="18"/>
                <w:szCs w:val="18"/>
              </w:rPr>
              <w:t xml:space="preserve">, </w:t>
            </w:r>
            <w:hyperlink r:id="rId90" w:anchor="i3a00378f6cc84b1c9cfc83239548ad53_163" w:history="1">
              <w:r>
                <w:rPr>
                  <w:rStyle w:val="a5"/>
                  <w:rFonts w:ascii="Arial" w:eastAsia="宋体" w:hAnsi="Arial" w:cs="Arial"/>
                  <w:color w:val="262626"/>
                  <w:sz w:val="18"/>
                  <w:szCs w:val="18"/>
                </w:rPr>
                <w:t>23</w:t>
              </w:r>
            </w:hyperlink>
            <w:r>
              <w:rPr>
                <w:rFonts w:ascii="Arial" w:eastAsia="宋体" w:hAnsi="Arial" w:cs="Arial"/>
                <w:color w:val="262626"/>
                <w:sz w:val="18"/>
                <w:szCs w:val="18"/>
              </w:rPr>
              <w:t xml:space="preserve"> - </w:t>
            </w:r>
            <w:hyperlink r:id="rId91" w:anchor="i3a00378f6cc84b1c9cfc83239548ad53_199" w:history="1">
              <w:r>
                <w:rPr>
                  <w:rStyle w:val="a5"/>
                  <w:rFonts w:ascii="Arial" w:eastAsia="宋体" w:hAnsi="Arial" w:cs="Arial"/>
                  <w:color w:val="262626"/>
                  <w:sz w:val="18"/>
                  <w:szCs w:val="18"/>
                </w:rPr>
                <w:t>31</w:t>
              </w:r>
            </w:hyperlink>
          </w:p>
        </w:tc>
      </w:tr>
      <w:tr w:rsidR="0008009C" w14:paraId="5C7C7BE9" w14:textId="77777777">
        <w:tc>
          <w:tcPr>
            <w:tcW w:w="0" w:type="auto"/>
            <w:gridSpan w:val="3"/>
            <w:shd w:val="clear" w:color="auto" w:fill="auto"/>
            <w:tcMar>
              <w:top w:w="0" w:type="dxa"/>
              <w:left w:w="20" w:type="dxa"/>
              <w:bottom w:w="0" w:type="dxa"/>
              <w:right w:w="20" w:type="dxa"/>
            </w:tcMar>
          </w:tcPr>
          <w:p w14:paraId="5C7C7BE6" w14:textId="77777777" w:rsidR="0008009C" w:rsidRDefault="0008009C">
            <w:pPr>
              <w:rPr>
                <w:rFonts w:ascii="宋体"/>
              </w:rPr>
            </w:pPr>
          </w:p>
        </w:tc>
        <w:tc>
          <w:tcPr>
            <w:tcW w:w="0" w:type="auto"/>
            <w:gridSpan w:val="3"/>
            <w:shd w:val="clear" w:color="auto" w:fill="auto"/>
            <w:tcMar>
              <w:top w:w="40" w:type="dxa"/>
              <w:left w:w="245" w:type="dxa"/>
              <w:bottom w:w="40" w:type="dxa"/>
              <w:right w:w="20" w:type="dxa"/>
            </w:tcMar>
            <w:vAlign w:val="bottom"/>
          </w:tcPr>
          <w:p w14:paraId="5C7C7BE7" w14:textId="77777777" w:rsidR="0008009C" w:rsidRDefault="00936FDF">
            <w:pPr>
              <w:textAlignment w:val="bottom"/>
            </w:pPr>
            <w:r>
              <w:rPr>
                <w:rFonts w:ascii="Arial" w:eastAsia="宋体" w:hAnsi="Arial" w:cs="Arial"/>
                <w:color w:val="262626"/>
                <w:sz w:val="18"/>
                <w:szCs w:val="18"/>
              </w:rPr>
              <w:t>Liquidity and capital resources</w:t>
            </w:r>
          </w:p>
        </w:tc>
        <w:tc>
          <w:tcPr>
            <w:tcW w:w="0" w:type="auto"/>
            <w:gridSpan w:val="3"/>
            <w:shd w:val="clear" w:color="auto" w:fill="auto"/>
            <w:tcMar>
              <w:top w:w="40" w:type="dxa"/>
              <w:left w:w="20" w:type="dxa"/>
              <w:bottom w:w="40" w:type="dxa"/>
              <w:right w:w="20" w:type="dxa"/>
            </w:tcMar>
            <w:vAlign w:val="center"/>
          </w:tcPr>
          <w:p w14:paraId="5C7C7BE8" w14:textId="77777777" w:rsidR="0008009C" w:rsidRDefault="00936FDF">
            <w:pPr>
              <w:jc w:val="center"/>
              <w:textAlignment w:val="center"/>
            </w:pPr>
            <w:r>
              <w:rPr>
                <w:rFonts w:ascii="Arial" w:eastAsia="宋体" w:hAnsi="Arial" w:cs="Arial"/>
                <w:color w:val="262626"/>
                <w:sz w:val="18"/>
                <w:szCs w:val="18"/>
              </w:rPr>
              <w:t xml:space="preserve">Pages </w:t>
            </w:r>
            <w:hyperlink r:id="rId92" w:anchor="i3a00378f6cc84b1c9cfc83239548ad53_205" w:history="1">
              <w:r>
                <w:rPr>
                  <w:rStyle w:val="a5"/>
                  <w:rFonts w:ascii="Arial" w:eastAsia="宋体" w:hAnsi="Arial" w:cs="Arial"/>
                  <w:color w:val="262626"/>
                  <w:sz w:val="18"/>
                  <w:szCs w:val="18"/>
                </w:rPr>
                <w:t>32</w:t>
              </w:r>
            </w:hyperlink>
            <w:r>
              <w:rPr>
                <w:rFonts w:ascii="Arial" w:eastAsia="宋体" w:hAnsi="Arial" w:cs="Arial"/>
                <w:color w:val="262626"/>
                <w:sz w:val="18"/>
                <w:szCs w:val="18"/>
              </w:rPr>
              <w:t xml:space="preserve"> - </w:t>
            </w:r>
            <w:hyperlink r:id="rId93" w:anchor="i3a00378f6cc84b1c9cfc83239548ad53_220" w:history="1">
              <w:r>
                <w:rPr>
                  <w:rStyle w:val="a5"/>
                  <w:rFonts w:ascii="Arial" w:eastAsia="宋体" w:hAnsi="Arial" w:cs="Arial"/>
                  <w:color w:val="262626"/>
                  <w:sz w:val="18"/>
                  <w:szCs w:val="18"/>
                </w:rPr>
                <w:t>33</w:t>
              </w:r>
            </w:hyperlink>
          </w:p>
        </w:tc>
      </w:tr>
      <w:tr w:rsidR="0008009C" w14:paraId="5C7C7BED" w14:textId="77777777">
        <w:trPr>
          <w:hidden/>
        </w:trPr>
        <w:tc>
          <w:tcPr>
            <w:tcW w:w="0" w:type="auto"/>
            <w:gridSpan w:val="3"/>
            <w:shd w:val="clear" w:color="auto" w:fill="auto"/>
          </w:tcPr>
          <w:p w14:paraId="5C7C7BEA" w14:textId="77777777" w:rsidR="0008009C" w:rsidRDefault="0008009C">
            <w:pPr>
              <w:rPr>
                <w:rFonts w:ascii="宋体"/>
                <w:vanish/>
              </w:rPr>
            </w:pPr>
          </w:p>
        </w:tc>
        <w:tc>
          <w:tcPr>
            <w:tcW w:w="0" w:type="auto"/>
            <w:gridSpan w:val="3"/>
            <w:shd w:val="clear" w:color="auto" w:fill="auto"/>
          </w:tcPr>
          <w:p w14:paraId="5C7C7BEB" w14:textId="77777777" w:rsidR="0008009C" w:rsidRDefault="0008009C">
            <w:pPr>
              <w:rPr>
                <w:rFonts w:ascii="宋体"/>
                <w:vanish/>
              </w:rPr>
            </w:pPr>
          </w:p>
        </w:tc>
        <w:tc>
          <w:tcPr>
            <w:tcW w:w="0" w:type="auto"/>
            <w:gridSpan w:val="3"/>
            <w:shd w:val="clear" w:color="auto" w:fill="auto"/>
          </w:tcPr>
          <w:p w14:paraId="5C7C7BEC" w14:textId="77777777" w:rsidR="0008009C" w:rsidRDefault="0008009C">
            <w:pPr>
              <w:rPr>
                <w:rFonts w:ascii="宋体"/>
                <w:vanish/>
              </w:rPr>
            </w:pPr>
          </w:p>
        </w:tc>
      </w:tr>
      <w:tr w:rsidR="0008009C" w14:paraId="5C7C7BF1" w14:textId="77777777">
        <w:tc>
          <w:tcPr>
            <w:tcW w:w="0" w:type="auto"/>
            <w:gridSpan w:val="3"/>
            <w:shd w:val="clear" w:color="auto" w:fill="auto"/>
            <w:tcMar>
              <w:top w:w="0" w:type="dxa"/>
              <w:left w:w="20" w:type="dxa"/>
              <w:bottom w:w="0" w:type="dxa"/>
              <w:right w:w="20" w:type="dxa"/>
            </w:tcMar>
          </w:tcPr>
          <w:p w14:paraId="5C7C7BEE" w14:textId="77777777" w:rsidR="0008009C" w:rsidRDefault="0008009C">
            <w:pPr>
              <w:rPr>
                <w:rFonts w:ascii="宋体"/>
              </w:rPr>
            </w:pPr>
          </w:p>
        </w:tc>
        <w:tc>
          <w:tcPr>
            <w:tcW w:w="0" w:type="auto"/>
            <w:gridSpan w:val="3"/>
            <w:shd w:val="clear" w:color="auto" w:fill="auto"/>
            <w:tcMar>
              <w:top w:w="40" w:type="dxa"/>
              <w:left w:w="245" w:type="dxa"/>
              <w:bottom w:w="40" w:type="dxa"/>
              <w:right w:w="20" w:type="dxa"/>
            </w:tcMar>
            <w:vAlign w:val="bottom"/>
          </w:tcPr>
          <w:p w14:paraId="5C7C7BEF" w14:textId="77777777" w:rsidR="0008009C" w:rsidRDefault="00936FDF">
            <w:pPr>
              <w:textAlignment w:val="bottom"/>
            </w:pPr>
            <w:r>
              <w:rPr>
                <w:rFonts w:ascii="Arial" w:eastAsia="宋体" w:hAnsi="Arial" w:cs="Arial"/>
                <w:color w:val="262626"/>
                <w:sz w:val="18"/>
                <w:szCs w:val="18"/>
              </w:rPr>
              <w:t xml:space="preserve">Off-balance sheet arrangements </w:t>
            </w:r>
          </w:p>
        </w:tc>
        <w:tc>
          <w:tcPr>
            <w:tcW w:w="0" w:type="auto"/>
            <w:gridSpan w:val="3"/>
            <w:shd w:val="clear" w:color="auto" w:fill="auto"/>
            <w:tcMar>
              <w:top w:w="40" w:type="dxa"/>
              <w:left w:w="20" w:type="dxa"/>
              <w:bottom w:w="40" w:type="dxa"/>
              <w:right w:w="20" w:type="dxa"/>
            </w:tcMar>
            <w:vAlign w:val="center"/>
          </w:tcPr>
          <w:p w14:paraId="5C7C7BF0" w14:textId="77777777" w:rsidR="0008009C" w:rsidRDefault="00936FDF">
            <w:pPr>
              <w:jc w:val="center"/>
              <w:textAlignment w:val="center"/>
            </w:pPr>
            <w:r>
              <w:rPr>
                <w:rFonts w:ascii="Arial" w:eastAsia="宋体" w:hAnsi="Arial" w:cs="Arial"/>
                <w:color w:val="262626"/>
                <w:sz w:val="18"/>
                <w:szCs w:val="18"/>
              </w:rPr>
              <w:t>(a)</w:t>
            </w:r>
          </w:p>
        </w:tc>
      </w:tr>
      <w:tr w:rsidR="0008009C" w14:paraId="5C7C7BF5" w14:textId="77777777">
        <w:tc>
          <w:tcPr>
            <w:tcW w:w="0" w:type="auto"/>
            <w:gridSpan w:val="3"/>
            <w:shd w:val="clear" w:color="auto" w:fill="auto"/>
            <w:tcMar>
              <w:top w:w="0" w:type="dxa"/>
              <w:left w:w="20" w:type="dxa"/>
              <w:bottom w:w="0" w:type="dxa"/>
              <w:right w:w="20" w:type="dxa"/>
            </w:tcMar>
          </w:tcPr>
          <w:p w14:paraId="5C7C7BF2" w14:textId="77777777" w:rsidR="0008009C" w:rsidRDefault="0008009C">
            <w:pPr>
              <w:rPr>
                <w:rFonts w:ascii="宋体"/>
              </w:rPr>
            </w:pPr>
          </w:p>
        </w:tc>
        <w:tc>
          <w:tcPr>
            <w:tcW w:w="0" w:type="auto"/>
            <w:gridSpan w:val="3"/>
            <w:shd w:val="clear" w:color="auto" w:fill="auto"/>
            <w:tcMar>
              <w:top w:w="40" w:type="dxa"/>
              <w:left w:w="245" w:type="dxa"/>
              <w:bottom w:w="40" w:type="dxa"/>
              <w:right w:w="20" w:type="dxa"/>
            </w:tcMar>
            <w:vAlign w:val="bottom"/>
          </w:tcPr>
          <w:p w14:paraId="5C7C7BF3" w14:textId="77777777" w:rsidR="0008009C" w:rsidRDefault="00936FDF">
            <w:pPr>
              <w:textAlignment w:val="bottom"/>
            </w:pPr>
            <w:r>
              <w:rPr>
                <w:rFonts w:ascii="Arial" w:eastAsia="宋体" w:hAnsi="Arial" w:cs="Arial"/>
                <w:color w:val="262626"/>
                <w:sz w:val="18"/>
                <w:szCs w:val="18"/>
              </w:rPr>
              <w:t>Contractual obligations</w:t>
            </w:r>
          </w:p>
        </w:tc>
        <w:tc>
          <w:tcPr>
            <w:tcW w:w="0" w:type="auto"/>
            <w:gridSpan w:val="3"/>
            <w:shd w:val="clear" w:color="auto" w:fill="auto"/>
            <w:tcMar>
              <w:top w:w="40" w:type="dxa"/>
              <w:left w:w="20" w:type="dxa"/>
              <w:bottom w:w="40" w:type="dxa"/>
              <w:right w:w="20" w:type="dxa"/>
            </w:tcMar>
            <w:vAlign w:val="center"/>
          </w:tcPr>
          <w:p w14:paraId="5C7C7BF4" w14:textId="77777777" w:rsidR="0008009C" w:rsidRDefault="00936FDF">
            <w:pPr>
              <w:jc w:val="center"/>
              <w:textAlignment w:val="center"/>
            </w:pPr>
            <w:r>
              <w:rPr>
                <w:rFonts w:ascii="Arial" w:eastAsia="宋体" w:hAnsi="Arial" w:cs="Arial"/>
                <w:color w:val="262626"/>
                <w:sz w:val="18"/>
                <w:szCs w:val="18"/>
              </w:rPr>
              <w:t>(b)</w:t>
            </w:r>
          </w:p>
        </w:tc>
      </w:tr>
      <w:tr w:rsidR="0008009C" w14:paraId="5C7C7BF9" w14:textId="77777777">
        <w:tc>
          <w:tcPr>
            <w:tcW w:w="0" w:type="auto"/>
            <w:gridSpan w:val="3"/>
            <w:shd w:val="clear" w:color="auto" w:fill="auto"/>
            <w:tcMar>
              <w:top w:w="40" w:type="dxa"/>
              <w:left w:w="20" w:type="dxa"/>
              <w:bottom w:w="40" w:type="dxa"/>
              <w:right w:w="20" w:type="dxa"/>
            </w:tcMar>
            <w:vAlign w:val="bottom"/>
          </w:tcPr>
          <w:p w14:paraId="5C7C7BF6" w14:textId="77777777" w:rsidR="0008009C" w:rsidRDefault="00936FDF">
            <w:pPr>
              <w:textAlignment w:val="bottom"/>
            </w:pPr>
            <w:r>
              <w:rPr>
                <w:rFonts w:ascii="Arial" w:eastAsia="宋体" w:hAnsi="Arial" w:cs="Arial"/>
                <w:b/>
                <w:bCs/>
                <w:color w:val="262626"/>
                <w:sz w:val="18"/>
                <w:szCs w:val="18"/>
              </w:rPr>
              <w:t>Item 3.</w:t>
            </w:r>
          </w:p>
        </w:tc>
        <w:tc>
          <w:tcPr>
            <w:tcW w:w="0" w:type="auto"/>
            <w:gridSpan w:val="3"/>
            <w:shd w:val="clear" w:color="auto" w:fill="auto"/>
            <w:tcMar>
              <w:top w:w="40" w:type="dxa"/>
              <w:left w:w="20" w:type="dxa"/>
              <w:bottom w:w="40" w:type="dxa"/>
              <w:right w:w="20" w:type="dxa"/>
            </w:tcMar>
            <w:vAlign w:val="bottom"/>
          </w:tcPr>
          <w:p w14:paraId="5C7C7BF7" w14:textId="77777777" w:rsidR="0008009C" w:rsidRDefault="00936FDF">
            <w:pPr>
              <w:textAlignment w:val="bottom"/>
            </w:pPr>
            <w:r>
              <w:rPr>
                <w:rFonts w:ascii="Arial" w:eastAsia="宋体" w:hAnsi="Arial" w:cs="Arial"/>
                <w:b/>
                <w:bCs/>
                <w:color w:val="262626"/>
                <w:sz w:val="18"/>
                <w:szCs w:val="18"/>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5C7C7BF8" w14:textId="77777777" w:rsidR="0008009C" w:rsidRDefault="00936FDF">
            <w:pPr>
              <w:jc w:val="center"/>
              <w:textAlignment w:val="center"/>
            </w:pPr>
            <w:r>
              <w:rPr>
                <w:rFonts w:ascii="Arial" w:eastAsia="宋体" w:hAnsi="Arial" w:cs="Arial"/>
                <w:color w:val="262626"/>
                <w:sz w:val="18"/>
                <w:szCs w:val="18"/>
              </w:rPr>
              <w:t xml:space="preserve">Page </w:t>
            </w:r>
            <w:hyperlink r:id="rId94" w:anchor="i3a00378f6cc84b1c9cfc83239548ad53_214" w:history="1">
              <w:r>
                <w:rPr>
                  <w:rStyle w:val="a5"/>
                  <w:rFonts w:ascii="Arial" w:eastAsia="宋体" w:hAnsi="Arial" w:cs="Arial"/>
                  <w:color w:val="262626"/>
                  <w:sz w:val="18"/>
                  <w:szCs w:val="18"/>
                </w:rPr>
                <w:t>36</w:t>
              </w:r>
            </w:hyperlink>
          </w:p>
        </w:tc>
      </w:tr>
      <w:tr w:rsidR="0008009C" w14:paraId="5C7C7BFD" w14:textId="77777777">
        <w:tc>
          <w:tcPr>
            <w:tcW w:w="0" w:type="auto"/>
            <w:gridSpan w:val="3"/>
            <w:shd w:val="clear" w:color="auto" w:fill="auto"/>
            <w:tcMar>
              <w:top w:w="40" w:type="dxa"/>
              <w:left w:w="20" w:type="dxa"/>
              <w:bottom w:w="40" w:type="dxa"/>
              <w:right w:w="20" w:type="dxa"/>
            </w:tcMar>
            <w:vAlign w:val="bottom"/>
          </w:tcPr>
          <w:p w14:paraId="5C7C7BFA" w14:textId="77777777" w:rsidR="0008009C" w:rsidRDefault="00936FDF">
            <w:pPr>
              <w:textAlignment w:val="bottom"/>
            </w:pPr>
            <w:r>
              <w:rPr>
                <w:rFonts w:ascii="Arial" w:eastAsia="宋体" w:hAnsi="Arial" w:cs="Arial"/>
                <w:b/>
                <w:bCs/>
                <w:color w:val="262626"/>
                <w:sz w:val="18"/>
                <w:szCs w:val="18"/>
              </w:rPr>
              <w:t>Item 4.</w:t>
            </w:r>
          </w:p>
        </w:tc>
        <w:tc>
          <w:tcPr>
            <w:tcW w:w="0" w:type="auto"/>
            <w:gridSpan w:val="3"/>
            <w:shd w:val="clear" w:color="auto" w:fill="auto"/>
            <w:tcMar>
              <w:top w:w="40" w:type="dxa"/>
              <w:left w:w="20" w:type="dxa"/>
              <w:bottom w:w="40" w:type="dxa"/>
              <w:right w:w="20" w:type="dxa"/>
            </w:tcMar>
            <w:vAlign w:val="bottom"/>
          </w:tcPr>
          <w:p w14:paraId="5C7C7BFB" w14:textId="77777777" w:rsidR="0008009C" w:rsidRDefault="00936FDF">
            <w:pPr>
              <w:textAlignment w:val="bottom"/>
            </w:pPr>
            <w:r>
              <w:rPr>
                <w:rFonts w:ascii="Arial" w:eastAsia="宋体" w:hAnsi="Arial" w:cs="Arial"/>
                <w:b/>
                <w:bCs/>
                <w:color w:val="262626"/>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5C7C7BFC" w14:textId="77777777" w:rsidR="0008009C" w:rsidRDefault="00936FDF">
            <w:pPr>
              <w:jc w:val="center"/>
              <w:textAlignment w:val="center"/>
            </w:pPr>
            <w:r>
              <w:rPr>
                <w:rFonts w:ascii="Arial" w:eastAsia="宋体" w:hAnsi="Arial" w:cs="Arial"/>
                <w:color w:val="262626"/>
                <w:sz w:val="18"/>
                <w:szCs w:val="18"/>
              </w:rPr>
              <w:t xml:space="preserve">Page </w:t>
            </w:r>
            <w:hyperlink r:id="rId95" w:anchor="i3a00378f6cc84b1c9cfc83239548ad53_238" w:history="1">
              <w:r>
                <w:rPr>
                  <w:rStyle w:val="a5"/>
                  <w:rFonts w:ascii="Arial" w:eastAsia="宋体" w:hAnsi="Arial" w:cs="Arial"/>
                  <w:color w:val="262626"/>
                  <w:sz w:val="18"/>
                  <w:szCs w:val="18"/>
                </w:rPr>
                <w:t>36</w:t>
              </w:r>
            </w:hyperlink>
          </w:p>
        </w:tc>
      </w:tr>
      <w:tr w:rsidR="0008009C" w14:paraId="5C7C7C01" w14:textId="77777777">
        <w:tc>
          <w:tcPr>
            <w:tcW w:w="0" w:type="auto"/>
            <w:gridSpan w:val="3"/>
            <w:shd w:val="clear" w:color="auto" w:fill="auto"/>
            <w:tcMar>
              <w:top w:w="0" w:type="dxa"/>
              <w:left w:w="20" w:type="dxa"/>
              <w:bottom w:w="0" w:type="dxa"/>
              <w:right w:w="20" w:type="dxa"/>
            </w:tcMar>
          </w:tcPr>
          <w:p w14:paraId="5C7C7BFE" w14:textId="77777777" w:rsidR="0008009C" w:rsidRDefault="0008009C">
            <w:pPr>
              <w:rPr>
                <w:rFonts w:ascii="宋体"/>
              </w:rPr>
            </w:pPr>
          </w:p>
        </w:tc>
        <w:tc>
          <w:tcPr>
            <w:tcW w:w="0" w:type="auto"/>
            <w:gridSpan w:val="3"/>
            <w:tcBorders>
              <w:bottom w:val="single" w:sz="8" w:space="0" w:color="0068B5"/>
            </w:tcBorders>
            <w:shd w:val="clear" w:color="auto" w:fill="auto"/>
            <w:tcMar>
              <w:top w:w="0" w:type="dxa"/>
              <w:left w:w="20" w:type="dxa"/>
              <w:bottom w:w="0" w:type="dxa"/>
              <w:right w:w="20" w:type="dxa"/>
            </w:tcMar>
          </w:tcPr>
          <w:p w14:paraId="5C7C7BF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center"/>
          </w:tcPr>
          <w:p w14:paraId="5C7C7C00" w14:textId="77777777" w:rsidR="0008009C" w:rsidRDefault="00936FDF">
            <w:pPr>
              <w:jc w:val="center"/>
              <w:textAlignment w:val="center"/>
            </w:pPr>
            <w:r>
              <w:rPr>
                <w:rFonts w:ascii="Arial" w:eastAsia="宋体" w:hAnsi="Arial" w:cs="Arial"/>
                <w:b/>
                <w:bCs/>
                <w:color w:val="262626"/>
                <w:sz w:val="18"/>
                <w:szCs w:val="18"/>
              </w:rPr>
              <w:t> </w:t>
            </w:r>
          </w:p>
        </w:tc>
      </w:tr>
      <w:tr w:rsidR="0008009C" w14:paraId="5C7C7C04" w14:textId="77777777">
        <w:tc>
          <w:tcPr>
            <w:tcW w:w="0" w:type="auto"/>
            <w:gridSpan w:val="6"/>
            <w:tcBorders>
              <w:top w:val="single" w:sz="8" w:space="0" w:color="0068B5"/>
            </w:tcBorders>
            <w:shd w:val="clear" w:color="auto" w:fill="auto"/>
            <w:tcMar>
              <w:top w:w="40" w:type="dxa"/>
              <w:left w:w="20" w:type="dxa"/>
              <w:bottom w:w="40" w:type="dxa"/>
              <w:right w:w="20" w:type="dxa"/>
            </w:tcMar>
            <w:vAlign w:val="bottom"/>
          </w:tcPr>
          <w:p w14:paraId="5C7C7C02" w14:textId="77777777" w:rsidR="0008009C" w:rsidRDefault="00936FDF">
            <w:pPr>
              <w:textAlignment w:val="bottom"/>
            </w:pPr>
            <w:r>
              <w:rPr>
                <w:rFonts w:ascii="Arial" w:eastAsia="宋体" w:hAnsi="Arial" w:cs="Arial"/>
                <w:b/>
                <w:bCs/>
                <w:color w:val="0068B5"/>
                <w:sz w:val="18"/>
                <w:szCs w:val="18"/>
              </w:rPr>
              <w:t>Part II - Other Information</w:t>
            </w:r>
          </w:p>
        </w:tc>
        <w:tc>
          <w:tcPr>
            <w:tcW w:w="0" w:type="auto"/>
            <w:gridSpan w:val="3"/>
            <w:tcBorders>
              <w:top w:val="single" w:sz="8" w:space="0" w:color="0068B5"/>
            </w:tcBorders>
            <w:shd w:val="clear" w:color="auto" w:fill="auto"/>
            <w:tcMar>
              <w:top w:w="0" w:type="dxa"/>
              <w:left w:w="20" w:type="dxa"/>
              <w:bottom w:w="0" w:type="dxa"/>
              <w:right w:w="20" w:type="dxa"/>
            </w:tcMar>
          </w:tcPr>
          <w:p w14:paraId="5C7C7C03" w14:textId="77777777" w:rsidR="0008009C" w:rsidRDefault="0008009C">
            <w:pPr>
              <w:rPr>
                <w:rFonts w:ascii="宋体"/>
              </w:rPr>
            </w:pPr>
          </w:p>
        </w:tc>
      </w:tr>
      <w:tr w:rsidR="0008009C" w14:paraId="5C7C7C08" w14:textId="77777777">
        <w:tc>
          <w:tcPr>
            <w:tcW w:w="0" w:type="auto"/>
            <w:gridSpan w:val="3"/>
            <w:shd w:val="clear" w:color="auto" w:fill="auto"/>
            <w:tcMar>
              <w:top w:w="40" w:type="dxa"/>
              <w:left w:w="20" w:type="dxa"/>
              <w:bottom w:w="40" w:type="dxa"/>
              <w:right w:w="20" w:type="dxa"/>
            </w:tcMar>
            <w:vAlign w:val="bottom"/>
          </w:tcPr>
          <w:p w14:paraId="5C7C7C05" w14:textId="77777777" w:rsidR="0008009C" w:rsidRDefault="00936FDF">
            <w:pPr>
              <w:textAlignment w:val="bottom"/>
            </w:pPr>
            <w:r>
              <w:rPr>
                <w:rFonts w:ascii="Arial" w:eastAsia="宋体" w:hAnsi="Arial" w:cs="Arial"/>
                <w:b/>
                <w:bCs/>
                <w:color w:val="262626"/>
                <w:sz w:val="18"/>
                <w:szCs w:val="18"/>
              </w:rPr>
              <w:t>Item 1.</w:t>
            </w:r>
          </w:p>
        </w:tc>
        <w:tc>
          <w:tcPr>
            <w:tcW w:w="0" w:type="auto"/>
            <w:gridSpan w:val="3"/>
            <w:shd w:val="clear" w:color="auto" w:fill="auto"/>
            <w:tcMar>
              <w:top w:w="40" w:type="dxa"/>
              <w:left w:w="20" w:type="dxa"/>
              <w:bottom w:w="40" w:type="dxa"/>
              <w:right w:w="20" w:type="dxa"/>
            </w:tcMar>
            <w:vAlign w:val="bottom"/>
          </w:tcPr>
          <w:p w14:paraId="5C7C7C06" w14:textId="77777777" w:rsidR="0008009C" w:rsidRDefault="00936FDF">
            <w:pPr>
              <w:textAlignment w:val="bottom"/>
            </w:pPr>
            <w:r>
              <w:rPr>
                <w:rFonts w:ascii="Arial" w:eastAsia="宋体" w:hAnsi="Arial" w:cs="Arial"/>
                <w:b/>
                <w:bCs/>
                <w:color w:val="262626"/>
                <w:sz w:val="18"/>
                <w:szCs w:val="18"/>
              </w:rPr>
              <w:t>Legal Proceedings</w:t>
            </w:r>
          </w:p>
        </w:tc>
        <w:tc>
          <w:tcPr>
            <w:tcW w:w="0" w:type="auto"/>
            <w:gridSpan w:val="3"/>
            <w:shd w:val="clear" w:color="auto" w:fill="auto"/>
            <w:tcMar>
              <w:top w:w="40" w:type="dxa"/>
              <w:left w:w="20" w:type="dxa"/>
              <w:bottom w:w="40" w:type="dxa"/>
              <w:right w:w="20" w:type="dxa"/>
            </w:tcMar>
            <w:vAlign w:val="center"/>
          </w:tcPr>
          <w:p w14:paraId="5C7C7C07" w14:textId="77777777" w:rsidR="0008009C" w:rsidRDefault="00936FDF">
            <w:pPr>
              <w:jc w:val="center"/>
              <w:textAlignment w:val="center"/>
            </w:pPr>
            <w:r>
              <w:rPr>
                <w:rFonts w:ascii="Arial" w:eastAsia="宋体" w:hAnsi="Arial" w:cs="Arial"/>
                <w:color w:val="262626"/>
                <w:sz w:val="18"/>
                <w:szCs w:val="18"/>
              </w:rPr>
              <w:t xml:space="preserve">Pages </w:t>
            </w:r>
            <w:hyperlink r:id="rId96" w:anchor="i3a00378f6cc84b1c9cfc83239548ad53_151" w:history="1">
              <w:r>
                <w:rPr>
                  <w:rStyle w:val="a5"/>
                  <w:rFonts w:ascii="Arial" w:eastAsia="宋体" w:hAnsi="Arial" w:cs="Arial"/>
                  <w:color w:val="262626"/>
                  <w:sz w:val="18"/>
                  <w:szCs w:val="18"/>
                </w:rPr>
                <w:t>18</w:t>
              </w:r>
            </w:hyperlink>
            <w:r>
              <w:rPr>
                <w:rFonts w:ascii="Arial" w:eastAsia="宋体" w:hAnsi="Arial" w:cs="Arial"/>
                <w:color w:val="262626"/>
                <w:sz w:val="18"/>
                <w:szCs w:val="18"/>
              </w:rPr>
              <w:t xml:space="preserve"> - </w:t>
            </w:r>
            <w:hyperlink r:id="rId97" w:anchor="i3a00378f6cc84b1c9cfc83239548ad53_154" w:history="1">
              <w:r>
                <w:rPr>
                  <w:rStyle w:val="a5"/>
                  <w:rFonts w:ascii="Arial" w:eastAsia="宋体" w:hAnsi="Arial" w:cs="Arial"/>
                  <w:color w:val="262626"/>
                  <w:sz w:val="18"/>
                  <w:szCs w:val="18"/>
                </w:rPr>
                <w:t>21</w:t>
              </w:r>
            </w:hyperlink>
          </w:p>
        </w:tc>
      </w:tr>
      <w:tr w:rsidR="0008009C" w14:paraId="5C7C7C0C" w14:textId="77777777">
        <w:tc>
          <w:tcPr>
            <w:tcW w:w="0" w:type="auto"/>
            <w:gridSpan w:val="3"/>
            <w:shd w:val="clear" w:color="auto" w:fill="auto"/>
            <w:tcMar>
              <w:top w:w="40" w:type="dxa"/>
              <w:left w:w="20" w:type="dxa"/>
              <w:bottom w:w="40" w:type="dxa"/>
              <w:right w:w="20" w:type="dxa"/>
            </w:tcMar>
            <w:vAlign w:val="bottom"/>
          </w:tcPr>
          <w:p w14:paraId="5C7C7C09" w14:textId="77777777" w:rsidR="0008009C" w:rsidRDefault="00936FDF">
            <w:pPr>
              <w:textAlignment w:val="bottom"/>
            </w:pPr>
            <w:r>
              <w:rPr>
                <w:rFonts w:ascii="Arial" w:eastAsia="宋体" w:hAnsi="Arial" w:cs="Arial"/>
                <w:b/>
                <w:bCs/>
                <w:color w:val="262626"/>
                <w:sz w:val="18"/>
                <w:szCs w:val="18"/>
              </w:rPr>
              <w:t>Item 1A.</w:t>
            </w:r>
          </w:p>
        </w:tc>
        <w:tc>
          <w:tcPr>
            <w:tcW w:w="0" w:type="auto"/>
            <w:gridSpan w:val="3"/>
            <w:shd w:val="clear" w:color="auto" w:fill="auto"/>
            <w:tcMar>
              <w:top w:w="40" w:type="dxa"/>
              <w:left w:w="20" w:type="dxa"/>
              <w:bottom w:w="40" w:type="dxa"/>
              <w:right w:w="20" w:type="dxa"/>
            </w:tcMar>
            <w:vAlign w:val="bottom"/>
          </w:tcPr>
          <w:p w14:paraId="5C7C7C0A" w14:textId="77777777" w:rsidR="0008009C" w:rsidRDefault="00936FDF">
            <w:pPr>
              <w:textAlignment w:val="bottom"/>
            </w:pPr>
            <w:r>
              <w:rPr>
                <w:rFonts w:ascii="Arial" w:eastAsia="宋体" w:hAnsi="Arial" w:cs="Arial"/>
                <w:b/>
                <w:bCs/>
                <w:color w:val="262626"/>
                <w:sz w:val="18"/>
                <w:szCs w:val="18"/>
              </w:rPr>
              <w:t>Risk Factors</w:t>
            </w:r>
          </w:p>
        </w:tc>
        <w:tc>
          <w:tcPr>
            <w:tcW w:w="0" w:type="auto"/>
            <w:gridSpan w:val="3"/>
            <w:shd w:val="clear" w:color="auto" w:fill="auto"/>
            <w:tcMar>
              <w:top w:w="40" w:type="dxa"/>
              <w:left w:w="20" w:type="dxa"/>
              <w:bottom w:w="40" w:type="dxa"/>
              <w:right w:w="20" w:type="dxa"/>
            </w:tcMar>
            <w:vAlign w:val="center"/>
          </w:tcPr>
          <w:p w14:paraId="5C7C7C0B" w14:textId="77777777" w:rsidR="0008009C" w:rsidRDefault="00936FDF">
            <w:pPr>
              <w:jc w:val="center"/>
              <w:textAlignment w:val="center"/>
            </w:pPr>
            <w:r>
              <w:rPr>
                <w:rFonts w:ascii="Arial" w:eastAsia="宋体" w:hAnsi="Arial" w:cs="Arial"/>
                <w:color w:val="262626"/>
                <w:sz w:val="18"/>
                <w:szCs w:val="18"/>
              </w:rPr>
              <w:t xml:space="preserve">Page </w:t>
            </w:r>
            <w:hyperlink r:id="rId98" w:anchor="i3a00378f6cc84b1c9cfc83239548ad53_232" w:history="1">
              <w:r>
                <w:rPr>
                  <w:rStyle w:val="a5"/>
                  <w:rFonts w:ascii="Arial" w:eastAsia="宋体" w:hAnsi="Arial" w:cs="Arial"/>
                  <w:color w:val="262626"/>
                  <w:sz w:val="18"/>
                  <w:szCs w:val="18"/>
                </w:rPr>
                <w:t>36</w:t>
              </w:r>
            </w:hyperlink>
          </w:p>
        </w:tc>
      </w:tr>
      <w:tr w:rsidR="0008009C" w14:paraId="5C7C7C10" w14:textId="77777777">
        <w:tc>
          <w:tcPr>
            <w:tcW w:w="0" w:type="auto"/>
            <w:gridSpan w:val="3"/>
            <w:shd w:val="clear" w:color="auto" w:fill="auto"/>
            <w:tcMar>
              <w:top w:w="40" w:type="dxa"/>
              <w:left w:w="20" w:type="dxa"/>
              <w:bottom w:w="40" w:type="dxa"/>
              <w:right w:w="20" w:type="dxa"/>
            </w:tcMar>
            <w:vAlign w:val="bottom"/>
          </w:tcPr>
          <w:p w14:paraId="5C7C7C0D" w14:textId="77777777" w:rsidR="0008009C" w:rsidRDefault="00936FDF">
            <w:pPr>
              <w:textAlignment w:val="bottom"/>
            </w:pPr>
            <w:r>
              <w:rPr>
                <w:rFonts w:ascii="Arial" w:eastAsia="宋体" w:hAnsi="Arial" w:cs="Arial"/>
                <w:b/>
                <w:bCs/>
                <w:color w:val="262626"/>
                <w:sz w:val="18"/>
                <w:szCs w:val="18"/>
              </w:rPr>
              <w:t>Item 2.</w:t>
            </w:r>
          </w:p>
        </w:tc>
        <w:tc>
          <w:tcPr>
            <w:tcW w:w="0" w:type="auto"/>
            <w:gridSpan w:val="3"/>
            <w:shd w:val="clear" w:color="auto" w:fill="auto"/>
            <w:tcMar>
              <w:top w:w="40" w:type="dxa"/>
              <w:left w:w="20" w:type="dxa"/>
              <w:bottom w:w="40" w:type="dxa"/>
              <w:right w:w="20" w:type="dxa"/>
            </w:tcMar>
            <w:vAlign w:val="bottom"/>
          </w:tcPr>
          <w:p w14:paraId="5C7C7C0E" w14:textId="77777777" w:rsidR="0008009C" w:rsidRDefault="00936FDF">
            <w:pPr>
              <w:textAlignment w:val="bottom"/>
            </w:pPr>
            <w:r>
              <w:rPr>
                <w:rFonts w:ascii="Arial" w:eastAsia="宋体" w:hAnsi="Arial" w:cs="Arial"/>
                <w:b/>
                <w:bCs/>
                <w:color w:val="262626"/>
                <w:sz w:val="18"/>
                <w:szCs w:val="18"/>
              </w:rPr>
              <w:t>Unregistered Sales of Equity Securities and Use of Proceeds</w:t>
            </w:r>
          </w:p>
        </w:tc>
        <w:tc>
          <w:tcPr>
            <w:tcW w:w="0" w:type="auto"/>
            <w:gridSpan w:val="3"/>
            <w:shd w:val="clear" w:color="auto" w:fill="auto"/>
            <w:tcMar>
              <w:top w:w="40" w:type="dxa"/>
              <w:left w:w="20" w:type="dxa"/>
              <w:bottom w:w="40" w:type="dxa"/>
              <w:right w:w="20" w:type="dxa"/>
            </w:tcMar>
            <w:vAlign w:val="center"/>
          </w:tcPr>
          <w:p w14:paraId="5C7C7C0F" w14:textId="77777777" w:rsidR="0008009C" w:rsidRDefault="00936FDF">
            <w:pPr>
              <w:jc w:val="center"/>
              <w:textAlignment w:val="center"/>
            </w:pPr>
            <w:r>
              <w:rPr>
                <w:rFonts w:ascii="Arial" w:eastAsia="宋体" w:hAnsi="Arial" w:cs="Arial"/>
                <w:color w:val="262626"/>
                <w:sz w:val="18"/>
                <w:szCs w:val="18"/>
              </w:rPr>
              <w:t xml:space="preserve">Page </w:t>
            </w:r>
            <w:hyperlink r:id="rId99" w:anchor="i3a00378f6cc84b1c9cfc83239548ad53_241" w:history="1">
              <w:r>
                <w:rPr>
                  <w:rStyle w:val="a5"/>
                  <w:rFonts w:ascii="Arial" w:eastAsia="宋体" w:hAnsi="Arial" w:cs="Arial"/>
                  <w:color w:val="262626"/>
                  <w:sz w:val="18"/>
                  <w:szCs w:val="18"/>
                </w:rPr>
                <w:t>37</w:t>
              </w:r>
            </w:hyperlink>
          </w:p>
        </w:tc>
      </w:tr>
      <w:tr w:rsidR="0008009C" w14:paraId="5C7C7C14" w14:textId="77777777">
        <w:tc>
          <w:tcPr>
            <w:tcW w:w="0" w:type="auto"/>
            <w:gridSpan w:val="3"/>
            <w:shd w:val="clear" w:color="auto" w:fill="auto"/>
            <w:tcMar>
              <w:top w:w="40" w:type="dxa"/>
              <w:left w:w="20" w:type="dxa"/>
              <w:bottom w:w="40" w:type="dxa"/>
              <w:right w:w="20" w:type="dxa"/>
            </w:tcMar>
            <w:vAlign w:val="bottom"/>
          </w:tcPr>
          <w:p w14:paraId="5C7C7C11" w14:textId="77777777" w:rsidR="0008009C" w:rsidRDefault="00936FDF">
            <w:pPr>
              <w:textAlignment w:val="bottom"/>
            </w:pPr>
            <w:r>
              <w:rPr>
                <w:rFonts w:ascii="Arial" w:eastAsia="宋体" w:hAnsi="Arial" w:cs="Arial"/>
                <w:b/>
                <w:bCs/>
                <w:color w:val="262626"/>
                <w:sz w:val="18"/>
                <w:szCs w:val="18"/>
              </w:rPr>
              <w:t>Item 3.</w:t>
            </w:r>
          </w:p>
        </w:tc>
        <w:tc>
          <w:tcPr>
            <w:tcW w:w="0" w:type="auto"/>
            <w:gridSpan w:val="3"/>
            <w:shd w:val="clear" w:color="auto" w:fill="auto"/>
            <w:tcMar>
              <w:top w:w="40" w:type="dxa"/>
              <w:left w:w="20" w:type="dxa"/>
              <w:bottom w:w="40" w:type="dxa"/>
              <w:right w:w="20" w:type="dxa"/>
            </w:tcMar>
            <w:vAlign w:val="bottom"/>
          </w:tcPr>
          <w:p w14:paraId="5C7C7C12" w14:textId="77777777" w:rsidR="0008009C" w:rsidRDefault="00936FDF">
            <w:pPr>
              <w:textAlignment w:val="bottom"/>
            </w:pPr>
            <w:r>
              <w:rPr>
                <w:rFonts w:ascii="Arial" w:eastAsia="宋体" w:hAnsi="Arial" w:cs="Arial"/>
                <w:b/>
                <w:bCs/>
                <w:color w:val="262626"/>
                <w:sz w:val="18"/>
                <w:szCs w:val="18"/>
              </w:rPr>
              <w:t>Defaults Upon Senior Securities</w:t>
            </w:r>
          </w:p>
        </w:tc>
        <w:tc>
          <w:tcPr>
            <w:tcW w:w="0" w:type="auto"/>
            <w:gridSpan w:val="3"/>
            <w:shd w:val="clear" w:color="auto" w:fill="auto"/>
            <w:tcMar>
              <w:top w:w="40" w:type="dxa"/>
              <w:left w:w="20" w:type="dxa"/>
              <w:bottom w:w="40" w:type="dxa"/>
              <w:right w:w="20" w:type="dxa"/>
            </w:tcMar>
            <w:vAlign w:val="center"/>
          </w:tcPr>
          <w:p w14:paraId="5C7C7C13" w14:textId="77777777" w:rsidR="0008009C" w:rsidRDefault="00936FDF">
            <w:pPr>
              <w:jc w:val="center"/>
              <w:textAlignment w:val="center"/>
            </w:pPr>
            <w:r>
              <w:rPr>
                <w:rFonts w:ascii="Arial" w:eastAsia="宋体" w:hAnsi="Arial" w:cs="Arial"/>
                <w:color w:val="262626"/>
                <w:sz w:val="18"/>
                <w:szCs w:val="18"/>
              </w:rPr>
              <w:t>Not applicable</w:t>
            </w:r>
          </w:p>
        </w:tc>
      </w:tr>
      <w:tr w:rsidR="0008009C" w14:paraId="5C7C7C18" w14:textId="77777777">
        <w:tc>
          <w:tcPr>
            <w:tcW w:w="0" w:type="auto"/>
            <w:gridSpan w:val="3"/>
            <w:shd w:val="clear" w:color="auto" w:fill="auto"/>
            <w:tcMar>
              <w:top w:w="40" w:type="dxa"/>
              <w:left w:w="20" w:type="dxa"/>
              <w:bottom w:w="40" w:type="dxa"/>
              <w:right w:w="20" w:type="dxa"/>
            </w:tcMar>
            <w:vAlign w:val="bottom"/>
          </w:tcPr>
          <w:p w14:paraId="5C7C7C15" w14:textId="77777777" w:rsidR="0008009C" w:rsidRDefault="00936FDF">
            <w:pPr>
              <w:textAlignment w:val="bottom"/>
            </w:pPr>
            <w:r>
              <w:rPr>
                <w:rFonts w:ascii="Arial" w:eastAsia="宋体" w:hAnsi="Arial" w:cs="Arial"/>
                <w:b/>
                <w:bCs/>
                <w:color w:val="262626"/>
                <w:sz w:val="18"/>
                <w:szCs w:val="18"/>
              </w:rPr>
              <w:t xml:space="preserve">Item 4. </w:t>
            </w:r>
          </w:p>
        </w:tc>
        <w:tc>
          <w:tcPr>
            <w:tcW w:w="0" w:type="auto"/>
            <w:gridSpan w:val="3"/>
            <w:shd w:val="clear" w:color="auto" w:fill="auto"/>
            <w:tcMar>
              <w:top w:w="40" w:type="dxa"/>
              <w:left w:w="20" w:type="dxa"/>
              <w:bottom w:w="40" w:type="dxa"/>
              <w:right w:w="20" w:type="dxa"/>
            </w:tcMar>
            <w:vAlign w:val="bottom"/>
          </w:tcPr>
          <w:p w14:paraId="5C7C7C16" w14:textId="77777777" w:rsidR="0008009C" w:rsidRDefault="00936FDF">
            <w:pPr>
              <w:textAlignment w:val="bottom"/>
            </w:pPr>
            <w:r>
              <w:rPr>
                <w:rFonts w:ascii="Arial" w:eastAsia="宋体" w:hAnsi="Arial" w:cs="Arial"/>
                <w:b/>
                <w:bCs/>
                <w:color w:val="262626"/>
                <w:sz w:val="18"/>
                <w:szCs w:val="18"/>
              </w:rPr>
              <w:t>Mine Safety Disclosures</w:t>
            </w:r>
          </w:p>
        </w:tc>
        <w:tc>
          <w:tcPr>
            <w:tcW w:w="0" w:type="auto"/>
            <w:gridSpan w:val="3"/>
            <w:shd w:val="clear" w:color="auto" w:fill="auto"/>
            <w:tcMar>
              <w:top w:w="40" w:type="dxa"/>
              <w:left w:w="20" w:type="dxa"/>
              <w:bottom w:w="40" w:type="dxa"/>
              <w:right w:w="20" w:type="dxa"/>
            </w:tcMar>
            <w:vAlign w:val="center"/>
          </w:tcPr>
          <w:p w14:paraId="5C7C7C17" w14:textId="77777777" w:rsidR="0008009C" w:rsidRDefault="00936FDF">
            <w:pPr>
              <w:jc w:val="center"/>
              <w:textAlignment w:val="center"/>
            </w:pPr>
            <w:r>
              <w:rPr>
                <w:rFonts w:ascii="Arial" w:eastAsia="宋体" w:hAnsi="Arial" w:cs="Arial"/>
                <w:color w:val="262626"/>
                <w:sz w:val="18"/>
                <w:szCs w:val="18"/>
              </w:rPr>
              <w:t>Not applicable</w:t>
            </w:r>
          </w:p>
        </w:tc>
      </w:tr>
      <w:tr w:rsidR="0008009C" w14:paraId="5C7C7C1C" w14:textId="77777777">
        <w:tc>
          <w:tcPr>
            <w:tcW w:w="0" w:type="auto"/>
            <w:gridSpan w:val="3"/>
            <w:shd w:val="clear" w:color="auto" w:fill="auto"/>
            <w:tcMar>
              <w:top w:w="40" w:type="dxa"/>
              <w:left w:w="20" w:type="dxa"/>
              <w:bottom w:w="40" w:type="dxa"/>
              <w:right w:w="20" w:type="dxa"/>
            </w:tcMar>
            <w:vAlign w:val="bottom"/>
          </w:tcPr>
          <w:p w14:paraId="5C7C7C19" w14:textId="77777777" w:rsidR="0008009C" w:rsidRDefault="00936FDF">
            <w:pPr>
              <w:textAlignment w:val="bottom"/>
            </w:pPr>
            <w:r>
              <w:rPr>
                <w:rFonts w:ascii="Arial" w:eastAsia="宋体" w:hAnsi="Arial" w:cs="Arial"/>
                <w:b/>
                <w:bCs/>
                <w:color w:val="262626"/>
                <w:sz w:val="18"/>
                <w:szCs w:val="18"/>
              </w:rPr>
              <w:t xml:space="preserve">Item 5. </w:t>
            </w:r>
          </w:p>
        </w:tc>
        <w:tc>
          <w:tcPr>
            <w:tcW w:w="0" w:type="auto"/>
            <w:gridSpan w:val="3"/>
            <w:shd w:val="clear" w:color="auto" w:fill="auto"/>
            <w:tcMar>
              <w:top w:w="40" w:type="dxa"/>
              <w:left w:w="20" w:type="dxa"/>
              <w:bottom w:w="40" w:type="dxa"/>
              <w:right w:w="20" w:type="dxa"/>
            </w:tcMar>
            <w:vAlign w:val="bottom"/>
          </w:tcPr>
          <w:p w14:paraId="5C7C7C1A" w14:textId="77777777" w:rsidR="0008009C" w:rsidRDefault="00936FDF">
            <w:pPr>
              <w:textAlignment w:val="bottom"/>
            </w:pPr>
            <w:r>
              <w:rPr>
                <w:rFonts w:ascii="Arial" w:eastAsia="宋体" w:hAnsi="Arial" w:cs="Arial"/>
                <w:b/>
                <w:bCs/>
                <w:color w:val="262626"/>
                <w:sz w:val="18"/>
                <w:szCs w:val="18"/>
              </w:rPr>
              <w:t>Other Information</w:t>
            </w:r>
          </w:p>
        </w:tc>
        <w:tc>
          <w:tcPr>
            <w:tcW w:w="0" w:type="auto"/>
            <w:gridSpan w:val="3"/>
            <w:shd w:val="clear" w:color="auto" w:fill="auto"/>
            <w:tcMar>
              <w:top w:w="40" w:type="dxa"/>
              <w:left w:w="20" w:type="dxa"/>
              <w:bottom w:w="40" w:type="dxa"/>
              <w:right w:w="20" w:type="dxa"/>
            </w:tcMar>
            <w:vAlign w:val="center"/>
          </w:tcPr>
          <w:p w14:paraId="5C7C7C1B" w14:textId="77777777" w:rsidR="0008009C" w:rsidRDefault="00936FDF">
            <w:pPr>
              <w:jc w:val="center"/>
              <w:textAlignment w:val="center"/>
            </w:pPr>
            <w:r>
              <w:rPr>
                <w:rFonts w:ascii="Arial" w:eastAsia="宋体" w:hAnsi="Arial" w:cs="Arial"/>
                <w:color w:val="262626"/>
                <w:sz w:val="18"/>
                <w:szCs w:val="18"/>
              </w:rPr>
              <w:t>Not applicable</w:t>
            </w:r>
          </w:p>
        </w:tc>
      </w:tr>
      <w:tr w:rsidR="0008009C" w14:paraId="5C7C7C20" w14:textId="77777777">
        <w:tc>
          <w:tcPr>
            <w:tcW w:w="0" w:type="auto"/>
            <w:gridSpan w:val="3"/>
            <w:shd w:val="clear" w:color="auto" w:fill="auto"/>
            <w:tcMar>
              <w:top w:w="40" w:type="dxa"/>
              <w:left w:w="20" w:type="dxa"/>
              <w:bottom w:w="40" w:type="dxa"/>
              <w:right w:w="20" w:type="dxa"/>
            </w:tcMar>
            <w:vAlign w:val="bottom"/>
          </w:tcPr>
          <w:p w14:paraId="5C7C7C1D" w14:textId="77777777" w:rsidR="0008009C" w:rsidRDefault="00936FDF">
            <w:pPr>
              <w:textAlignment w:val="bottom"/>
            </w:pPr>
            <w:r>
              <w:rPr>
                <w:rFonts w:ascii="Arial" w:eastAsia="宋体" w:hAnsi="Arial" w:cs="Arial"/>
                <w:b/>
                <w:bCs/>
                <w:color w:val="262626"/>
                <w:sz w:val="18"/>
                <w:szCs w:val="18"/>
              </w:rPr>
              <w:t>Item 6.</w:t>
            </w:r>
          </w:p>
        </w:tc>
        <w:tc>
          <w:tcPr>
            <w:tcW w:w="0" w:type="auto"/>
            <w:gridSpan w:val="3"/>
            <w:shd w:val="clear" w:color="auto" w:fill="auto"/>
            <w:tcMar>
              <w:top w:w="40" w:type="dxa"/>
              <w:left w:w="20" w:type="dxa"/>
              <w:bottom w:w="40" w:type="dxa"/>
              <w:right w:w="20" w:type="dxa"/>
            </w:tcMar>
            <w:vAlign w:val="bottom"/>
          </w:tcPr>
          <w:p w14:paraId="5C7C7C1E" w14:textId="77777777" w:rsidR="0008009C" w:rsidRDefault="00936FDF">
            <w:pPr>
              <w:textAlignment w:val="bottom"/>
            </w:pPr>
            <w:r>
              <w:rPr>
                <w:rFonts w:ascii="Arial" w:eastAsia="宋体" w:hAnsi="Arial" w:cs="Arial"/>
                <w:b/>
                <w:bCs/>
                <w:color w:val="262626"/>
                <w:sz w:val="18"/>
                <w:szCs w:val="18"/>
              </w:rPr>
              <w:t>Exhibits</w:t>
            </w:r>
          </w:p>
        </w:tc>
        <w:tc>
          <w:tcPr>
            <w:tcW w:w="0" w:type="auto"/>
            <w:gridSpan w:val="3"/>
            <w:shd w:val="clear" w:color="auto" w:fill="auto"/>
            <w:tcMar>
              <w:top w:w="40" w:type="dxa"/>
              <w:left w:w="20" w:type="dxa"/>
              <w:bottom w:w="40" w:type="dxa"/>
              <w:right w:w="20" w:type="dxa"/>
            </w:tcMar>
            <w:vAlign w:val="center"/>
          </w:tcPr>
          <w:p w14:paraId="5C7C7C1F" w14:textId="77777777" w:rsidR="0008009C" w:rsidRDefault="00936FDF">
            <w:pPr>
              <w:jc w:val="center"/>
              <w:textAlignment w:val="center"/>
            </w:pPr>
            <w:r>
              <w:rPr>
                <w:rFonts w:ascii="Arial" w:eastAsia="宋体" w:hAnsi="Arial" w:cs="Arial"/>
                <w:color w:val="262626"/>
                <w:sz w:val="18"/>
                <w:szCs w:val="18"/>
              </w:rPr>
              <w:t xml:space="preserve">Page </w:t>
            </w:r>
            <w:hyperlink r:id="rId100" w:anchor="i3a00378f6cc84b1c9cfc83239548ad53_244" w:history="1">
              <w:r>
                <w:rPr>
                  <w:rStyle w:val="a5"/>
                  <w:rFonts w:ascii="Arial" w:eastAsia="宋体" w:hAnsi="Arial" w:cs="Arial"/>
                  <w:color w:val="262626"/>
                  <w:sz w:val="18"/>
                  <w:szCs w:val="18"/>
                </w:rPr>
                <w:t>38</w:t>
              </w:r>
            </w:hyperlink>
            <w:r>
              <w:rPr>
                <w:rFonts w:ascii="Arial" w:eastAsia="宋体" w:hAnsi="Arial" w:cs="Arial"/>
                <w:color w:val="262626"/>
                <w:sz w:val="18"/>
                <w:szCs w:val="18"/>
              </w:rPr>
              <w:t xml:space="preserve"> </w:t>
            </w:r>
          </w:p>
        </w:tc>
      </w:tr>
      <w:tr w:rsidR="0008009C" w14:paraId="5C7C7C24" w14:textId="77777777">
        <w:trPr>
          <w:trHeight w:val="60"/>
        </w:trPr>
        <w:tc>
          <w:tcPr>
            <w:tcW w:w="0" w:type="auto"/>
            <w:gridSpan w:val="3"/>
            <w:shd w:val="clear" w:color="auto" w:fill="auto"/>
            <w:tcMar>
              <w:top w:w="0" w:type="dxa"/>
              <w:left w:w="20" w:type="dxa"/>
              <w:bottom w:w="0" w:type="dxa"/>
              <w:right w:w="20" w:type="dxa"/>
            </w:tcMar>
          </w:tcPr>
          <w:p w14:paraId="5C7C7C2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2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23" w14:textId="77777777" w:rsidR="0008009C" w:rsidRDefault="0008009C">
            <w:pPr>
              <w:rPr>
                <w:rFonts w:ascii="宋体"/>
              </w:rPr>
            </w:pPr>
          </w:p>
        </w:tc>
      </w:tr>
      <w:tr w:rsidR="0008009C" w14:paraId="5C7C7C28" w14:textId="77777777">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5C7C7C25" w14:textId="77777777" w:rsidR="0008009C" w:rsidRDefault="00936FDF">
            <w:pPr>
              <w:textAlignment w:val="bottom"/>
            </w:pPr>
            <w:r>
              <w:rPr>
                <w:rFonts w:ascii="Arial" w:eastAsia="宋体" w:hAnsi="Arial" w:cs="Arial"/>
                <w:b/>
                <w:bCs/>
                <w:color w:val="0068B5"/>
                <w:sz w:val="18"/>
                <w:szCs w:val="18"/>
              </w:rPr>
              <w:t>Signatures</w:t>
            </w:r>
          </w:p>
        </w:tc>
        <w:tc>
          <w:tcPr>
            <w:tcW w:w="0" w:type="auto"/>
            <w:gridSpan w:val="3"/>
            <w:tcBorders>
              <w:bottom w:val="single" w:sz="8" w:space="0" w:color="0068B5"/>
            </w:tcBorders>
            <w:shd w:val="clear" w:color="auto" w:fill="auto"/>
            <w:tcMar>
              <w:top w:w="0" w:type="dxa"/>
              <w:left w:w="20" w:type="dxa"/>
              <w:bottom w:w="0" w:type="dxa"/>
              <w:right w:w="20" w:type="dxa"/>
            </w:tcMar>
          </w:tcPr>
          <w:p w14:paraId="5C7C7C26" w14:textId="77777777" w:rsidR="0008009C" w:rsidRDefault="0008009C">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center"/>
          </w:tcPr>
          <w:p w14:paraId="5C7C7C27" w14:textId="77777777" w:rsidR="0008009C" w:rsidRDefault="00936FDF">
            <w:pPr>
              <w:jc w:val="center"/>
              <w:textAlignment w:val="center"/>
            </w:pPr>
            <w:r>
              <w:rPr>
                <w:rFonts w:ascii="Arial" w:eastAsia="宋体" w:hAnsi="Arial" w:cs="Arial"/>
                <w:color w:val="262626"/>
                <w:sz w:val="18"/>
                <w:szCs w:val="18"/>
              </w:rPr>
              <w:t xml:space="preserve">Page </w:t>
            </w:r>
            <w:hyperlink r:id="rId101" w:anchor="i3a00378f6cc84b1c9cfc83239548ad53_253" w:history="1">
              <w:r>
                <w:rPr>
                  <w:rStyle w:val="a5"/>
                  <w:rFonts w:ascii="Arial" w:eastAsia="宋体" w:hAnsi="Arial" w:cs="Arial"/>
                  <w:color w:val="262626"/>
                  <w:sz w:val="18"/>
                  <w:szCs w:val="18"/>
                </w:rPr>
                <w:t>40</w:t>
              </w:r>
            </w:hyperlink>
          </w:p>
        </w:tc>
      </w:tr>
    </w:tbl>
    <w:p w14:paraId="5C7C7C29" w14:textId="77777777" w:rsidR="0008009C" w:rsidRDefault="00936FDF">
      <w:pPr>
        <w:spacing w:before="240" w:after="60"/>
        <w:ind w:hanging="360"/>
      </w:pPr>
      <w:r>
        <w:rPr>
          <w:rFonts w:ascii="Arial" w:eastAsia="宋体" w:hAnsi="Arial" w:cs="Arial"/>
          <w:i/>
          <w:iCs/>
          <w:color w:val="262626"/>
          <w:sz w:val="16"/>
          <w:szCs w:val="16"/>
        </w:rPr>
        <w:t xml:space="preserve">(a)    As of March 27, 2021, we did not have any significant off-balance sheet </w:t>
      </w:r>
      <w:r>
        <w:rPr>
          <w:rFonts w:ascii="Arial" w:eastAsia="宋体" w:hAnsi="Arial" w:cs="Arial"/>
          <w:i/>
          <w:iCs/>
          <w:color w:val="262626"/>
          <w:sz w:val="16"/>
          <w:szCs w:val="16"/>
        </w:rPr>
        <w:t>arrangements, as previously defined in Item 303(a)(4)(ii) of SEC Regulation S-K.</w:t>
      </w:r>
    </w:p>
    <w:p w14:paraId="5C7C7C2A" w14:textId="77777777" w:rsidR="0008009C" w:rsidRDefault="00936FDF">
      <w:pPr>
        <w:spacing w:after="60"/>
        <w:ind w:hanging="360"/>
      </w:pPr>
      <w:r>
        <w:rPr>
          <w:rFonts w:ascii="Arial" w:eastAsia="宋体" w:hAnsi="Arial" w:cs="Arial"/>
          <w:i/>
          <w:iCs/>
          <w:color w:val="262626"/>
          <w:sz w:val="16"/>
          <w:szCs w:val="16"/>
        </w:rPr>
        <w:t>(b)    There were no material changes to our significant contractual obligations from those disclosed in our 2020 Form 10-K.</w:t>
      </w:r>
    </w:p>
    <w:p w14:paraId="5C7C7C2B" w14:textId="77777777" w:rsidR="0008009C" w:rsidRDefault="0008009C">
      <w:pPr>
        <w:spacing w:after="180"/>
        <w:ind w:hanging="360"/>
      </w:pP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08009C" w14:paraId="5C7C7C35" w14:textId="77777777">
        <w:tc>
          <w:tcPr>
            <w:tcW w:w="50" w:type="pct"/>
            <w:shd w:val="clear" w:color="auto" w:fill="auto"/>
            <w:vAlign w:val="bottom"/>
          </w:tcPr>
          <w:p w14:paraId="5C7C7C2C" w14:textId="77777777" w:rsidR="0008009C" w:rsidRDefault="0008009C">
            <w:pPr>
              <w:rPr>
                <w:rFonts w:ascii="宋体"/>
              </w:rPr>
            </w:pPr>
          </w:p>
        </w:tc>
        <w:tc>
          <w:tcPr>
            <w:tcW w:w="212" w:type="pct"/>
            <w:shd w:val="clear" w:color="auto" w:fill="auto"/>
            <w:vAlign w:val="bottom"/>
          </w:tcPr>
          <w:p w14:paraId="5C7C7C2D" w14:textId="77777777" w:rsidR="0008009C" w:rsidRDefault="0008009C">
            <w:pPr>
              <w:rPr>
                <w:rFonts w:ascii="宋体"/>
              </w:rPr>
            </w:pPr>
          </w:p>
        </w:tc>
        <w:tc>
          <w:tcPr>
            <w:tcW w:w="5" w:type="pct"/>
            <w:shd w:val="clear" w:color="auto" w:fill="auto"/>
            <w:vAlign w:val="bottom"/>
          </w:tcPr>
          <w:p w14:paraId="5C7C7C2E" w14:textId="77777777" w:rsidR="0008009C" w:rsidRDefault="0008009C">
            <w:pPr>
              <w:rPr>
                <w:rFonts w:ascii="宋体"/>
              </w:rPr>
            </w:pPr>
          </w:p>
        </w:tc>
        <w:tc>
          <w:tcPr>
            <w:tcW w:w="50" w:type="pct"/>
            <w:shd w:val="clear" w:color="auto" w:fill="auto"/>
            <w:vAlign w:val="bottom"/>
          </w:tcPr>
          <w:p w14:paraId="5C7C7C2F" w14:textId="77777777" w:rsidR="0008009C" w:rsidRDefault="0008009C">
            <w:pPr>
              <w:rPr>
                <w:rFonts w:ascii="宋体"/>
              </w:rPr>
            </w:pPr>
          </w:p>
        </w:tc>
        <w:tc>
          <w:tcPr>
            <w:tcW w:w="2492" w:type="pct"/>
            <w:shd w:val="clear" w:color="auto" w:fill="auto"/>
            <w:vAlign w:val="bottom"/>
          </w:tcPr>
          <w:p w14:paraId="5C7C7C30" w14:textId="77777777" w:rsidR="0008009C" w:rsidRDefault="0008009C">
            <w:pPr>
              <w:rPr>
                <w:rFonts w:ascii="宋体"/>
              </w:rPr>
            </w:pPr>
          </w:p>
        </w:tc>
        <w:tc>
          <w:tcPr>
            <w:tcW w:w="5" w:type="pct"/>
            <w:shd w:val="clear" w:color="auto" w:fill="auto"/>
            <w:vAlign w:val="bottom"/>
          </w:tcPr>
          <w:p w14:paraId="5C7C7C31" w14:textId="77777777" w:rsidR="0008009C" w:rsidRDefault="0008009C">
            <w:pPr>
              <w:rPr>
                <w:rFonts w:ascii="宋体"/>
              </w:rPr>
            </w:pPr>
          </w:p>
        </w:tc>
        <w:tc>
          <w:tcPr>
            <w:tcW w:w="50" w:type="pct"/>
            <w:shd w:val="clear" w:color="auto" w:fill="auto"/>
            <w:vAlign w:val="bottom"/>
          </w:tcPr>
          <w:p w14:paraId="5C7C7C32" w14:textId="77777777" w:rsidR="0008009C" w:rsidRDefault="0008009C">
            <w:pPr>
              <w:rPr>
                <w:rFonts w:ascii="宋体"/>
              </w:rPr>
            </w:pPr>
          </w:p>
        </w:tc>
        <w:tc>
          <w:tcPr>
            <w:tcW w:w="2130" w:type="pct"/>
            <w:shd w:val="clear" w:color="auto" w:fill="auto"/>
            <w:vAlign w:val="bottom"/>
          </w:tcPr>
          <w:p w14:paraId="5C7C7C33" w14:textId="77777777" w:rsidR="0008009C" w:rsidRDefault="0008009C">
            <w:pPr>
              <w:rPr>
                <w:rFonts w:ascii="宋体"/>
              </w:rPr>
            </w:pPr>
          </w:p>
        </w:tc>
        <w:tc>
          <w:tcPr>
            <w:tcW w:w="5" w:type="pct"/>
            <w:shd w:val="clear" w:color="auto" w:fill="auto"/>
            <w:vAlign w:val="bottom"/>
          </w:tcPr>
          <w:p w14:paraId="5C7C7C34" w14:textId="77777777" w:rsidR="0008009C" w:rsidRDefault="0008009C">
            <w:pPr>
              <w:rPr>
                <w:rFonts w:ascii="宋体"/>
              </w:rPr>
            </w:pPr>
          </w:p>
        </w:tc>
      </w:tr>
      <w:tr w:rsidR="0008009C" w14:paraId="5C7C7C39"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7C36"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81" wp14:editId="5C7C7D82">
                  <wp:extent cx="304800" cy="304800"/>
                  <wp:effectExtent l="0" t="0" r="0" b="0"/>
                  <wp:docPr id="83" name="图片 134"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34"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C37" w14:textId="77777777" w:rsidR="0008009C" w:rsidRDefault="00936FDF">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C38" w14:textId="77777777" w:rsidR="0008009C" w:rsidRDefault="00936FDF">
            <w:pPr>
              <w:jc w:val="right"/>
              <w:textAlignment w:val="center"/>
            </w:pPr>
            <w:r>
              <w:rPr>
                <w:rFonts w:ascii="Arial" w:eastAsia="宋体" w:hAnsi="Arial" w:cs="Arial"/>
                <w:color w:val="262626"/>
                <w:sz w:val="16"/>
                <w:szCs w:val="16"/>
              </w:rPr>
              <w:t>39</w:t>
            </w:r>
          </w:p>
        </w:tc>
      </w:tr>
    </w:tbl>
    <w:p w14:paraId="5C7C7C3A" w14:textId="77777777" w:rsidR="0008009C" w:rsidRDefault="00936FDF">
      <w:r>
        <w:pict w14:anchorId="5C7C7D83">
          <v:rect id="_x0000_i1065" style="width:415.3pt;height:1.5pt" o:hralign="center" o:hrstd="t" o:hr="t" fillcolor="#a0a0a0" stroked="f"/>
        </w:pict>
      </w:r>
    </w:p>
    <w:p w14:paraId="5C7C7C3B" w14:textId="77777777" w:rsidR="0008009C" w:rsidRDefault="00936FDF">
      <w:pPr>
        <w:spacing w:after="180"/>
        <w:jc w:val="right"/>
      </w:pPr>
      <w:hyperlink r:id="rId102" w:anchor="i3a00378f6cc84b1c9cfc83239548ad53_7" w:history="1">
        <w:r>
          <w:rPr>
            <w:rStyle w:val="a5"/>
            <w:rFonts w:ascii="Arial" w:eastAsia="宋体" w:hAnsi="Arial" w:cs="Arial"/>
            <w:b/>
            <w:bCs/>
            <w:sz w:val="16"/>
            <w:szCs w:val="16"/>
          </w:rPr>
          <w:t>Table of Contents</w:t>
        </w:r>
      </w:hyperlink>
    </w:p>
    <w:p w14:paraId="5C7C7C3C" w14:textId="77777777" w:rsidR="0008009C" w:rsidRDefault="0008009C">
      <w:pPr>
        <w:spacing w:after="180"/>
        <w:jc w:val="right"/>
      </w:pPr>
    </w:p>
    <w:p w14:paraId="5C7C7C3D" w14:textId="77777777" w:rsidR="0008009C" w:rsidRDefault="00936FDF">
      <w:pPr>
        <w:spacing w:after="180"/>
      </w:pPr>
      <w:r>
        <w:rPr>
          <w:rFonts w:ascii="Arial" w:eastAsia="宋体" w:hAnsi="Arial" w:cs="Arial"/>
          <w:color w:val="0068B5"/>
          <w:sz w:val="28"/>
          <w:szCs w:val="28"/>
        </w:rPr>
        <w:t>Signatures</w:t>
      </w:r>
    </w:p>
    <w:p w14:paraId="5C7C7C3E" w14:textId="77777777" w:rsidR="0008009C" w:rsidRDefault="00936FDF">
      <w:pPr>
        <w:spacing w:before="240" w:after="180"/>
      </w:pPr>
      <w:r>
        <w:rPr>
          <w:rFonts w:ascii="Arial" w:eastAsia="宋体" w:hAnsi="Arial" w:cs="Arial"/>
          <w:color w:val="262626"/>
          <w:sz w:val="18"/>
          <w:szCs w:val="18"/>
        </w:rPr>
        <w:t xml:space="preserve">Pursuant to the requirements of the Securities Exchange Act of 1934, the </w:t>
      </w:r>
      <w:r>
        <w:rPr>
          <w:rFonts w:ascii="Arial" w:eastAsia="宋体" w:hAnsi="Arial" w:cs="Arial"/>
          <w:color w:val="262626"/>
          <w:sz w:val="18"/>
          <w:szCs w:val="18"/>
        </w:rPr>
        <w:t>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82"/>
        <w:gridCol w:w="36"/>
        <w:gridCol w:w="46"/>
        <w:gridCol w:w="1881"/>
        <w:gridCol w:w="36"/>
        <w:gridCol w:w="65"/>
        <w:gridCol w:w="1243"/>
        <w:gridCol w:w="36"/>
        <w:gridCol w:w="80"/>
        <w:gridCol w:w="214"/>
        <w:gridCol w:w="37"/>
        <w:gridCol w:w="37"/>
        <w:gridCol w:w="128"/>
        <w:gridCol w:w="36"/>
        <w:gridCol w:w="66"/>
        <w:gridCol w:w="3896"/>
        <w:gridCol w:w="36"/>
      </w:tblGrid>
      <w:tr w:rsidR="0008009C" w14:paraId="5C7C7C51" w14:textId="77777777">
        <w:tc>
          <w:tcPr>
            <w:tcW w:w="50" w:type="pct"/>
            <w:shd w:val="clear" w:color="auto" w:fill="auto"/>
          </w:tcPr>
          <w:p w14:paraId="5C7C7C3F" w14:textId="77777777" w:rsidR="0008009C" w:rsidRDefault="0008009C">
            <w:pPr>
              <w:rPr>
                <w:rFonts w:ascii="宋体"/>
              </w:rPr>
            </w:pPr>
          </w:p>
        </w:tc>
        <w:tc>
          <w:tcPr>
            <w:tcW w:w="238" w:type="pct"/>
            <w:shd w:val="clear" w:color="auto" w:fill="auto"/>
          </w:tcPr>
          <w:p w14:paraId="5C7C7C40" w14:textId="77777777" w:rsidR="0008009C" w:rsidRDefault="0008009C">
            <w:pPr>
              <w:rPr>
                <w:rFonts w:ascii="宋体"/>
              </w:rPr>
            </w:pPr>
          </w:p>
        </w:tc>
        <w:tc>
          <w:tcPr>
            <w:tcW w:w="5" w:type="pct"/>
            <w:shd w:val="clear" w:color="auto" w:fill="auto"/>
          </w:tcPr>
          <w:p w14:paraId="5C7C7C41" w14:textId="77777777" w:rsidR="0008009C" w:rsidRDefault="0008009C">
            <w:pPr>
              <w:rPr>
                <w:rFonts w:ascii="宋体"/>
              </w:rPr>
            </w:pPr>
          </w:p>
        </w:tc>
        <w:tc>
          <w:tcPr>
            <w:tcW w:w="50" w:type="pct"/>
            <w:shd w:val="clear" w:color="auto" w:fill="auto"/>
          </w:tcPr>
          <w:p w14:paraId="5C7C7C42" w14:textId="77777777" w:rsidR="0008009C" w:rsidRDefault="0008009C">
            <w:pPr>
              <w:rPr>
                <w:rFonts w:ascii="宋体"/>
              </w:rPr>
            </w:pPr>
          </w:p>
        </w:tc>
        <w:tc>
          <w:tcPr>
            <w:tcW w:w="1138" w:type="pct"/>
            <w:shd w:val="clear" w:color="auto" w:fill="auto"/>
          </w:tcPr>
          <w:p w14:paraId="5C7C7C43" w14:textId="77777777" w:rsidR="0008009C" w:rsidRDefault="0008009C">
            <w:pPr>
              <w:rPr>
                <w:rFonts w:ascii="宋体"/>
              </w:rPr>
            </w:pPr>
          </w:p>
        </w:tc>
        <w:tc>
          <w:tcPr>
            <w:tcW w:w="5" w:type="pct"/>
            <w:shd w:val="clear" w:color="auto" w:fill="auto"/>
          </w:tcPr>
          <w:p w14:paraId="5C7C7C44" w14:textId="77777777" w:rsidR="0008009C" w:rsidRDefault="0008009C">
            <w:pPr>
              <w:rPr>
                <w:rFonts w:ascii="宋体"/>
              </w:rPr>
            </w:pPr>
          </w:p>
        </w:tc>
        <w:tc>
          <w:tcPr>
            <w:tcW w:w="50" w:type="pct"/>
            <w:shd w:val="clear" w:color="auto" w:fill="auto"/>
          </w:tcPr>
          <w:p w14:paraId="5C7C7C45" w14:textId="77777777" w:rsidR="0008009C" w:rsidRDefault="0008009C">
            <w:pPr>
              <w:rPr>
                <w:rFonts w:ascii="宋体"/>
              </w:rPr>
            </w:pPr>
          </w:p>
        </w:tc>
        <w:tc>
          <w:tcPr>
            <w:tcW w:w="756" w:type="pct"/>
            <w:shd w:val="clear" w:color="auto" w:fill="auto"/>
          </w:tcPr>
          <w:p w14:paraId="5C7C7C46" w14:textId="77777777" w:rsidR="0008009C" w:rsidRDefault="0008009C">
            <w:pPr>
              <w:rPr>
                <w:rFonts w:ascii="宋体"/>
              </w:rPr>
            </w:pPr>
          </w:p>
        </w:tc>
        <w:tc>
          <w:tcPr>
            <w:tcW w:w="5" w:type="pct"/>
            <w:shd w:val="clear" w:color="auto" w:fill="auto"/>
          </w:tcPr>
          <w:p w14:paraId="5C7C7C47" w14:textId="77777777" w:rsidR="0008009C" w:rsidRDefault="0008009C">
            <w:pPr>
              <w:rPr>
                <w:rFonts w:ascii="宋体"/>
              </w:rPr>
            </w:pPr>
          </w:p>
        </w:tc>
        <w:tc>
          <w:tcPr>
            <w:tcW w:w="50" w:type="pct"/>
            <w:shd w:val="clear" w:color="auto" w:fill="auto"/>
          </w:tcPr>
          <w:p w14:paraId="5C7C7C48" w14:textId="77777777" w:rsidR="0008009C" w:rsidRDefault="0008009C">
            <w:pPr>
              <w:rPr>
                <w:rFonts w:ascii="宋体"/>
              </w:rPr>
            </w:pPr>
          </w:p>
        </w:tc>
        <w:tc>
          <w:tcPr>
            <w:tcW w:w="135" w:type="pct"/>
            <w:shd w:val="clear" w:color="auto" w:fill="auto"/>
          </w:tcPr>
          <w:p w14:paraId="5C7C7C49" w14:textId="77777777" w:rsidR="0008009C" w:rsidRDefault="0008009C">
            <w:pPr>
              <w:rPr>
                <w:rFonts w:ascii="宋体"/>
              </w:rPr>
            </w:pPr>
          </w:p>
        </w:tc>
        <w:tc>
          <w:tcPr>
            <w:tcW w:w="5" w:type="pct"/>
            <w:shd w:val="clear" w:color="auto" w:fill="auto"/>
          </w:tcPr>
          <w:p w14:paraId="5C7C7C4A" w14:textId="77777777" w:rsidR="0008009C" w:rsidRDefault="0008009C">
            <w:pPr>
              <w:rPr>
                <w:rFonts w:ascii="宋体"/>
              </w:rPr>
            </w:pPr>
          </w:p>
        </w:tc>
        <w:tc>
          <w:tcPr>
            <w:tcW w:w="5" w:type="pct"/>
            <w:shd w:val="clear" w:color="auto" w:fill="auto"/>
          </w:tcPr>
          <w:p w14:paraId="5C7C7C4B" w14:textId="77777777" w:rsidR="0008009C" w:rsidRDefault="0008009C">
            <w:pPr>
              <w:rPr>
                <w:rFonts w:ascii="宋体"/>
              </w:rPr>
            </w:pPr>
          </w:p>
        </w:tc>
        <w:tc>
          <w:tcPr>
            <w:tcW w:w="99" w:type="pct"/>
            <w:shd w:val="clear" w:color="auto" w:fill="auto"/>
          </w:tcPr>
          <w:p w14:paraId="5C7C7C4C" w14:textId="77777777" w:rsidR="0008009C" w:rsidRDefault="0008009C">
            <w:pPr>
              <w:rPr>
                <w:rFonts w:ascii="宋体"/>
              </w:rPr>
            </w:pPr>
          </w:p>
        </w:tc>
        <w:tc>
          <w:tcPr>
            <w:tcW w:w="5" w:type="pct"/>
            <w:shd w:val="clear" w:color="auto" w:fill="auto"/>
          </w:tcPr>
          <w:p w14:paraId="5C7C7C4D" w14:textId="77777777" w:rsidR="0008009C" w:rsidRDefault="0008009C">
            <w:pPr>
              <w:rPr>
                <w:rFonts w:ascii="宋体"/>
              </w:rPr>
            </w:pPr>
          </w:p>
        </w:tc>
        <w:tc>
          <w:tcPr>
            <w:tcW w:w="50" w:type="pct"/>
            <w:shd w:val="clear" w:color="auto" w:fill="auto"/>
          </w:tcPr>
          <w:p w14:paraId="5C7C7C4E" w14:textId="77777777" w:rsidR="0008009C" w:rsidRDefault="0008009C">
            <w:pPr>
              <w:rPr>
                <w:rFonts w:ascii="宋体"/>
              </w:rPr>
            </w:pPr>
          </w:p>
        </w:tc>
        <w:tc>
          <w:tcPr>
            <w:tcW w:w="2346" w:type="pct"/>
            <w:shd w:val="clear" w:color="auto" w:fill="auto"/>
          </w:tcPr>
          <w:p w14:paraId="5C7C7C4F" w14:textId="77777777" w:rsidR="0008009C" w:rsidRDefault="0008009C">
            <w:pPr>
              <w:rPr>
                <w:rFonts w:ascii="宋体"/>
              </w:rPr>
            </w:pPr>
          </w:p>
        </w:tc>
        <w:tc>
          <w:tcPr>
            <w:tcW w:w="5" w:type="pct"/>
            <w:shd w:val="clear" w:color="auto" w:fill="auto"/>
          </w:tcPr>
          <w:p w14:paraId="5C7C7C50" w14:textId="77777777" w:rsidR="0008009C" w:rsidRDefault="0008009C">
            <w:pPr>
              <w:rPr>
                <w:rFonts w:ascii="宋体"/>
              </w:rPr>
            </w:pPr>
          </w:p>
        </w:tc>
      </w:tr>
      <w:tr w:rsidR="0008009C" w14:paraId="5C7C7C56" w14:textId="77777777">
        <w:tc>
          <w:tcPr>
            <w:tcW w:w="0" w:type="auto"/>
            <w:gridSpan w:val="3"/>
            <w:shd w:val="clear" w:color="auto" w:fill="auto"/>
            <w:tcMar>
              <w:top w:w="0" w:type="dxa"/>
              <w:left w:w="20" w:type="dxa"/>
              <w:bottom w:w="0" w:type="dxa"/>
              <w:right w:w="20" w:type="dxa"/>
            </w:tcMar>
          </w:tcPr>
          <w:p w14:paraId="5C7C7C5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53"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C54" w14:textId="77777777" w:rsidR="0008009C" w:rsidRDefault="00936FDF">
            <w:pPr>
              <w:textAlignment w:val="bottom"/>
            </w:pPr>
            <w:r>
              <w:rPr>
                <w:rFonts w:ascii="Arial" w:eastAsia="宋体" w:hAnsi="Arial" w:cs="Arial"/>
                <w:color w:val="262626"/>
                <w:sz w:val="18"/>
                <w:szCs w:val="18"/>
              </w:rPr>
              <w:t> </w:t>
            </w:r>
          </w:p>
        </w:tc>
        <w:tc>
          <w:tcPr>
            <w:tcW w:w="0" w:type="auto"/>
            <w:gridSpan w:val="9"/>
            <w:shd w:val="clear" w:color="auto" w:fill="auto"/>
            <w:tcMar>
              <w:top w:w="40" w:type="dxa"/>
              <w:left w:w="20" w:type="dxa"/>
              <w:bottom w:w="40" w:type="dxa"/>
              <w:right w:w="20" w:type="dxa"/>
            </w:tcMar>
            <w:vAlign w:val="bottom"/>
          </w:tcPr>
          <w:p w14:paraId="5C7C7C55" w14:textId="77777777" w:rsidR="0008009C" w:rsidRDefault="00936FDF">
            <w:pPr>
              <w:textAlignment w:val="bottom"/>
            </w:pPr>
            <w:r>
              <w:rPr>
                <w:rFonts w:ascii="Arial" w:eastAsia="宋体" w:hAnsi="Arial" w:cs="Arial"/>
                <w:color w:val="262626"/>
                <w:sz w:val="18"/>
                <w:szCs w:val="18"/>
              </w:rPr>
              <w:t>INTEL CORPORATION</w:t>
            </w:r>
            <w:r>
              <w:rPr>
                <w:rFonts w:ascii="Arial" w:eastAsia="宋体" w:hAnsi="Arial" w:cs="Arial"/>
                <w:color w:val="262626"/>
                <w:sz w:val="18"/>
                <w:szCs w:val="18"/>
              </w:rPr>
              <w:br/>
              <w:t>(Registrant)</w:t>
            </w:r>
          </w:p>
        </w:tc>
      </w:tr>
      <w:tr w:rsidR="0008009C" w14:paraId="5C7C7C5D" w14:textId="77777777">
        <w:trPr>
          <w:trHeight w:val="300"/>
        </w:trPr>
        <w:tc>
          <w:tcPr>
            <w:tcW w:w="0" w:type="auto"/>
            <w:gridSpan w:val="3"/>
            <w:shd w:val="clear" w:color="auto" w:fill="auto"/>
            <w:tcMar>
              <w:top w:w="0" w:type="dxa"/>
              <w:left w:w="20" w:type="dxa"/>
              <w:bottom w:w="0" w:type="dxa"/>
              <w:right w:w="20" w:type="dxa"/>
            </w:tcMar>
          </w:tcPr>
          <w:p w14:paraId="5C7C7C5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5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5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5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5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5C" w14:textId="77777777" w:rsidR="0008009C" w:rsidRDefault="0008009C">
            <w:pPr>
              <w:rPr>
                <w:rFonts w:ascii="宋体"/>
              </w:rPr>
            </w:pPr>
          </w:p>
        </w:tc>
      </w:tr>
      <w:tr w:rsidR="0008009C" w14:paraId="5C7C7C64" w14:textId="77777777">
        <w:tc>
          <w:tcPr>
            <w:tcW w:w="0" w:type="auto"/>
            <w:gridSpan w:val="3"/>
            <w:shd w:val="clear" w:color="auto" w:fill="auto"/>
            <w:tcMar>
              <w:top w:w="40" w:type="dxa"/>
              <w:left w:w="20" w:type="dxa"/>
              <w:bottom w:w="40" w:type="dxa"/>
              <w:right w:w="20" w:type="dxa"/>
            </w:tcMar>
            <w:vAlign w:val="bottom"/>
          </w:tcPr>
          <w:p w14:paraId="5C7C7C5E" w14:textId="77777777" w:rsidR="0008009C" w:rsidRDefault="00936FDF">
            <w:pPr>
              <w:textAlignment w:val="bottom"/>
            </w:pPr>
            <w:r>
              <w:rPr>
                <w:rFonts w:ascii="Arial" w:eastAsia="宋体" w:hAnsi="Arial" w:cs="Arial"/>
                <w:color w:val="262626"/>
                <w:sz w:val="18"/>
                <w:szCs w:val="18"/>
              </w:rPr>
              <w:t xml:space="preserve">Date: </w:t>
            </w:r>
          </w:p>
        </w:tc>
        <w:tc>
          <w:tcPr>
            <w:tcW w:w="0" w:type="auto"/>
            <w:gridSpan w:val="3"/>
            <w:shd w:val="clear" w:color="auto" w:fill="auto"/>
            <w:tcMar>
              <w:top w:w="40" w:type="dxa"/>
              <w:left w:w="20" w:type="dxa"/>
              <w:bottom w:w="40" w:type="dxa"/>
              <w:right w:w="20" w:type="dxa"/>
            </w:tcMar>
            <w:vAlign w:val="bottom"/>
          </w:tcPr>
          <w:p w14:paraId="5C7C7C5F" w14:textId="77777777" w:rsidR="0008009C" w:rsidRDefault="00936FDF">
            <w:pPr>
              <w:textAlignment w:val="bottom"/>
            </w:pPr>
            <w:r>
              <w:rPr>
                <w:rFonts w:ascii="Arial" w:eastAsia="宋体" w:hAnsi="Arial" w:cs="Arial"/>
                <w:color w:val="262626"/>
                <w:sz w:val="18"/>
                <w:szCs w:val="18"/>
              </w:rPr>
              <w:t>April 22, 2021</w:t>
            </w:r>
          </w:p>
        </w:tc>
        <w:tc>
          <w:tcPr>
            <w:tcW w:w="0" w:type="auto"/>
            <w:gridSpan w:val="3"/>
            <w:shd w:val="clear" w:color="auto" w:fill="auto"/>
            <w:tcMar>
              <w:top w:w="40" w:type="dxa"/>
              <w:left w:w="20" w:type="dxa"/>
              <w:bottom w:w="40" w:type="dxa"/>
              <w:right w:w="20" w:type="dxa"/>
            </w:tcMar>
            <w:vAlign w:val="bottom"/>
          </w:tcPr>
          <w:p w14:paraId="5C7C7C60" w14:textId="77777777" w:rsidR="0008009C" w:rsidRDefault="00936FDF">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vAlign w:val="bottom"/>
          </w:tcPr>
          <w:p w14:paraId="5C7C7C61" w14:textId="77777777" w:rsidR="0008009C" w:rsidRDefault="00936FDF">
            <w:pPr>
              <w:textAlignment w:val="bottom"/>
            </w:pPr>
            <w:r>
              <w:rPr>
                <w:rFonts w:ascii="Arial" w:eastAsia="宋体" w:hAnsi="Arial" w:cs="Arial"/>
                <w:color w:val="262626"/>
                <w:sz w:val="18"/>
                <w:szCs w:val="18"/>
              </w:rPr>
              <w:t>By:</w:t>
            </w:r>
          </w:p>
        </w:tc>
        <w:tc>
          <w:tcPr>
            <w:tcW w:w="0" w:type="auto"/>
            <w:gridSpan w:val="3"/>
            <w:shd w:val="clear" w:color="auto" w:fill="auto"/>
            <w:tcMar>
              <w:top w:w="40" w:type="dxa"/>
              <w:left w:w="20" w:type="dxa"/>
              <w:bottom w:w="40" w:type="dxa"/>
              <w:right w:w="20" w:type="dxa"/>
            </w:tcMar>
            <w:vAlign w:val="bottom"/>
          </w:tcPr>
          <w:p w14:paraId="5C7C7C62" w14:textId="77777777" w:rsidR="0008009C" w:rsidRDefault="00936FDF">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vAlign w:val="bottom"/>
          </w:tcPr>
          <w:p w14:paraId="5C7C7C63" w14:textId="77777777" w:rsidR="0008009C" w:rsidRDefault="00936FDF">
            <w:pPr>
              <w:textAlignment w:val="bottom"/>
            </w:pPr>
            <w:r>
              <w:rPr>
                <w:rFonts w:ascii="Arial" w:eastAsia="宋体" w:hAnsi="Arial" w:cs="Arial"/>
                <w:color w:val="262626"/>
                <w:sz w:val="18"/>
                <w:szCs w:val="18"/>
              </w:rPr>
              <w:t>/s/ GEORGE S. DAVIS</w:t>
            </w:r>
          </w:p>
        </w:tc>
      </w:tr>
      <w:tr w:rsidR="0008009C" w14:paraId="5C7C7C6B" w14:textId="77777777">
        <w:tc>
          <w:tcPr>
            <w:tcW w:w="0" w:type="auto"/>
            <w:gridSpan w:val="3"/>
            <w:shd w:val="clear" w:color="auto" w:fill="auto"/>
            <w:tcMar>
              <w:top w:w="0" w:type="dxa"/>
              <w:left w:w="20" w:type="dxa"/>
              <w:bottom w:w="0" w:type="dxa"/>
              <w:right w:w="20" w:type="dxa"/>
            </w:tcMar>
          </w:tcPr>
          <w:p w14:paraId="5C7C7C6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66"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C67" w14:textId="77777777" w:rsidR="0008009C" w:rsidRDefault="00936FDF">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tcPr>
          <w:p w14:paraId="5C7C7C68" w14:textId="77777777" w:rsidR="0008009C" w:rsidRDefault="0008009C">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5C7C7C69" w14:textId="77777777" w:rsidR="0008009C" w:rsidRDefault="00936FDF">
            <w:pPr>
              <w:textAlignment w:val="bottom"/>
            </w:pPr>
            <w:r>
              <w:rPr>
                <w:rFonts w:ascii="Arial" w:eastAsia="宋体" w:hAnsi="Arial" w:cs="Arial"/>
                <w:color w:val="262626"/>
                <w:sz w:val="18"/>
                <w:szCs w:val="18"/>
              </w:rPr>
              <w:t> </w:t>
            </w: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5C7C7C6A" w14:textId="77777777" w:rsidR="0008009C" w:rsidRDefault="00936FDF">
            <w:pPr>
              <w:textAlignment w:val="bottom"/>
            </w:pPr>
            <w:r>
              <w:rPr>
                <w:rFonts w:ascii="Arial" w:eastAsia="宋体" w:hAnsi="Arial" w:cs="Arial"/>
                <w:color w:val="262626"/>
                <w:sz w:val="18"/>
                <w:szCs w:val="18"/>
              </w:rPr>
              <w:t>George S. Davis</w:t>
            </w:r>
          </w:p>
        </w:tc>
      </w:tr>
      <w:tr w:rsidR="0008009C" w14:paraId="5C7C7C72" w14:textId="77777777">
        <w:tc>
          <w:tcPr>
            <w:tcW w:w="0" w:type="auto"/>
            <w:gridSpan w:val="3"/>
            <w:shd w:val="clear" w:color="auto" w:fill="auto"/>
            <w:tcMar>
              <w:top w:w="0" w:type="dxa"/>
              <w:left w:w="20" w:type="dxa"/>
              <w:bottom w:w="0" w:type="dxa"/>
              <w:right w:w="20" w:type="dxa"/>
            </w:tcMar>
          </w:tcPr>
          <w:p w14:paraId="5C7C7C6C"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6D"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C6E" w14:textId="77777777" w:rsidR="0008009C" w:rsidRDefault="00936FDF">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tcPr>
          <w:p w14:paraId="5C7C7C6F"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C70" w14:textId="77777777" w:rsidR="0008009C" w:rsidRDefault="00936FDF">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tcPr>
          <w:p w14:paraId="5C7C7C71" w14:textId="77777777" w:rsidR="0008009C" w:rsidRDefault="00936FDF">
            <w:pPr>
              <w:textAlignment w:val="top"/>
            </w:pPr>
            <w:r>
              <w:rPr>
                <w:rFonts w:ascii="Arial" w:eastAsia="宋体" w:hAnsi="Arial" w:cs="Arial"/>
                <w:color w:val="262626"/>
                <w:sz w:val="18"/>
                <w:szCs w:val="18"/>
              </w:rPr>
              <w:t>Executive Vice President, Chief Financial Officer and Principal Financial Officer</w:t>
            </w:r>
          </w:p>
        </w:tc>
      </w:tr>
      <w:tr w:rsidR="0008009C" w14:paraId="5C7C7C79" w14:textId="77777777">
        <w:trPr>
          <w:trHeight w:val="480"/>
        </w:trPr>
        <w:tc>
          <w:tcPr>
            <w:tcW w:w="0" w:type="auto"/>
            <w:gridSpan w:val="3"/>
            <w:shd w:val="clear" w:color="auto" w:fill="auto"/>
            <w:tcMar>
              <w:top w:w="0" w:type="dxa"/>
              <w:left w:w="20" w:type="dxa"/>
              <w:bottom w:w="0" w:type="dxa"/>
              <w:right w:w="20" w:type="dxa"/>
            </w:tcMar>
          </w:tcPr>
          <w:p w14:paraId="5C7C7C7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74"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75"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76"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77"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78" w14:textId="77777777" w:rsidR="0008009C" w:rsidRDefault="0008009C">
            <w:pPr>
              <w:rPr>
                <w:rFonts w:ascii="宋体"/>
              </w:rPr>
            </w:pPr>
          </w:p>
        </w:tc>
      </w:tr>
      <w:tr w:rsidR="0008009C" w14:paraId="5C7C7C80" w14:textId="77777777">
        <w:tc>
          <w:tcPr>
            <w:tcW w:w="0" w:type="auto"/>
            <w:gridSpan w:val="3"/>
            <w:shd w:val="clear" w:color="auto" w:fill="auto"/>
            <w:tcMar>
              <w:top w:w="40" w:type="dxa"/>
              <w:left w:w="20" w:type="dxa"/>
              <w:bottom w:w="40" w:type="dxa"/>
              <w:right w:w="20" w:type="dxa"/>
            </w:tcMar>
          </w:tcPr>
          <w:p w14:paraId="5C7C7C7A" w14:textId="77777777" w:rsidR="0008009C" w:rsidRDefault="00936FDF">
            <w:pPr>
              <w:textAlignment w:val="top"/>
            </w:pPr>
            <w:r>
              <w:rPr>
                <w:rFonts w:ascii="Arial" w:eastAsia="宋体" w:hAnsi="Arial" w:cs="Arial"/>
                <w:color w:val="262626"/>
                <w:sz w:val="18"/>
                <w:szCs w:val="18"/>
              </w:rPr>
              <w:t>Date:</w:t>
            </w:r>
          </w:p>
        </w:tc>
        <w:tc>
          <w:tcPr>
            <w:tcW w:w="0" w:type="auto"/>
            <w:gridSpan w:val="3"/>
            <w:shd w:val="clear" w:color="auto" w:fill="auto"/>
            <w:tcMar>
              <w:top w:w="40" w:type="dxa"/>
              <w:left w:w="20" w:type="dxa"/>
              <w:bottom w:w="40" w:type="dxa"/>
              <w:right w:w="20" w:type="dxa"/>
            </w:tcMar>
            <w:vAlign w:val="bottom"/>
          </w:tcPr>
          <w:p w14:paraId="5C7C7C7B" w14:textId="77777777" w:rsidR="0008009C" w:rsidRDefault="00936FDF">
            <w:pPr>
              <w:textAlignment w:val="bottom"/>
            </w:pPr>
            <w:r>
              <w:rPr>
                <w:rFonts w:ascii="Arial" w:eastAsia="宋体" w:hAnsi="Arial" w:cs="Arial"/>
                <w:color w:val="262626"/>
                <w:sz w:val="18"/>
                <w:szCs w:val="18"/>
              </w:rPr>
              <w:t>April 22, 2021</w:t>
            </w:r>
          </w:p>
        </w:tc>
        <w:tc>
          <w:tcPr>
            <w:tcW w:w="0" w:type="auto"/>
            <w:gridSpan w:val="3"/>
            <w:shd w:val="clear" w:color="auto" w:fill="auto"/>
            <w:tcMar>
              <w:top w:w="0" w:type="dxa"/>
              <w:left w:w="20" w:type="dxa"/>
              <w:bottom w:w="0" w:type="dxa"/>
              <w:right w:w="20" w:type="dxa"/>
            </w:tcMar>
          </w:tcPr>
          <w:p w14:paraId="5C7C7C7C"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C7D" w14:textId="77777777" w:rsidR="0008009C" w:rsidRDefault="00936FDF">
            <w:pPr>
              <w:textAlignment w:val="bottom"/>
            </w:pPr>
            <w:r>
              <w:rPr>
                <w:rFonts w:ascii="Arial" w:eastAsia="宋体" w:hAnsi="Arial" w:cs="Arial"/>
                <w:color w:val="262626"/>
                <w:sz w:val="18"/>
                <w:szCs w:val="18"/>
              </w:rPr>
              <w:t>By:</w:t>
            </w:r>
          </w:p>
        </w:tc>
        <w:tc>
          <w:tcPr>
            <w:tcW w:w="0" w:type="auto"/>
            <w:gridSpan w:val="3"/>
            <w:shd w:val="clear" w:color="auto" w:fill="auto"/>
            <w:tcMar>
              <w:top w:w="0" w:type="dxa"/>
              <w:left w:w="20" w:type="dxa"/>
              <w:bottom w:w="0" w:type="dxa"/>
              <w:right w:w="20" w:type="dxa"/>
            </w:tcMar>
          </w:tcPr>
          <w:p w14:paraId="5C7C7C7E"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vAlign w:val="bottom"/>
          </w:tcPr>
          <w:p w14:paraId="5C7C7C7F" w14:textId="77777777" w:rsidR="0008009C" w:rsidRDefault="00936FDF">
            <w:pPr>
              <w:textAlignment w:val="bottom"/>
            </w:pPr>
            <w:r>
              <w:rPr>
                <w:rFonts w:ascii="Arial" w:eastAsia="宋体" w:hAnsi="Arial" w:cs="Arial"/>
                <w:color w:val="262626"/>
                <w:sz w:val="18"/>
                <w:szCs w:val="18"/>
              </w:rPr>
              <w:t>/s/ KEVIN T. MCBRIDE</w:t>
            </w:r>
          </w:p>
        </w:tc>
      </w:tr>
      <w:tr w:rsidR="0008009C" w14:paraId="5C7C7C87" w14:textId="77777777">
        <w:tc>
          <w:tcPr>
            <w:tcW w:w="0" w:type="auto"/>
            <w:gridSpan w:val="3"/>
            <w:shd w:val="clear" w:color="auto" w:fill="auto"/>
            <w:tcMar>
              <w:top w:w="0" w:type="dxa"/>
              <w:left w:w="20" w:type="dxa"/>
              <w:bottom w:w="0" w:type="dxa"/>
              <w:right w:w="20" w:type="dxa"/>
            </w:tcMar>
          </w:tcPr>
          <w:p w14:paraId="5C7C7C81"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82"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83"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84" w14:textId="77777777" w:rsidR="0008009C" w:rsidRDefault="0008009C">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5C7C7C85" w14:textId="77777777" w:rsidR="0008009C" w:rsidRDefault="0008009C">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5C7C7C86" w14:textId="77777777" w:rsidR="0008009C" w:rsidRDefault="00936FDF">
            <w:pPr>
              <w:textAlignment w:val="bottom"/>
            </w:pPr>
            <w:r>
              <w:rPr>
                <w:rFonts w:ascii="Arial" w:eastAsia="宋体" w:hAnsi="Arial" w:cs="Arial"/>
                <w:color w:val="262626"/>
                <w:sz w:val="18"/>
                <w:szCs w:val="18"/>
              </w:rPr>
              <w:t>Kevin T. McBride</w:t>
            </w:r>
          </w:p>
        </w:tc>
      </w:tr>
      <w:tr w:rsidR="0008009C" w14:paraId="5C7C7C8E" w14:textId="77777777">
        <w:tc>
          <w:tcPr>
            <w:tcW w:w="0" w:type="auto"/>
            <w:gridSpan w:val="3"/>
            <w:shd w:val="clear" w:color="auto" w:fill="auto"/>
            <w:tcMar>
              <w:top w:w="0" w:type="dxa"/>
              <w:left w:w="20" w:type="dxa"/>
              <w:bottom w:w="0" w:type="dxa"/>
              <w:right w:w="20" w:type="dxa"/>
            </w:tcMar>
          </w:tcPr>
          <w:p w14:paraId="5C7C7C88"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89"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8A"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8B" w14:textId="77777777" w:rsidR="0008009C" w:rsidRDefault="0008009C">
            <w:pPr>
              <w:rPr>
                <w:rFonts w:ascii="宋体"/>
              </w:rPr>
            </w:pPr>
          </w:p>
        </w:tc>
        <w:tc>
          <w:tcPr>
            <w:tcW w:w="0" w:type="auto"/>
            <w:gridSpan w:val="3"/>
            <w:shd w:val="clear" w:color="auto" w:fill="auto"/>
            <w:tcMar>
              <w:top w:w="0" w:type="dxa"/>
              <w:left w:w="20" w:type="dxa"/>
              <w:bottom w:w="0" w:type="dxa"/>
              <w:right w:w="20" w:type="dxa"/>
            </w:tcMar>
          </w:tcPr>
          <w:p w14:paraId="5C7C7C8C" w14:textId="77777777" w:rsidR="0008009C" w:rsidRDefault="0008009C">
            <w:pPr>
              <w:rPr>
                <w:rFonts w:ascii="宋体"/>
              </w:rPr>
            </w:pPr>
          </w:p>
        </w:tc>
        <w:tc>
          <w:tcPr>
            <w:tcW w:w="0" w:type="auto"/>
            <w:gridSpan w:val="3"/>
            <w:shd w:val="clear" w:color="auto" w:fill="auto"/>
            <w:tcMar>
              <w:top w:w="40" w:type="dxa"/>
              <w:left w:w="20" w:type="dxa"/>
              <w:bottom w:w="40" w:type="dxa"/>
              <w:right w:w="20" w:type="dxa"/>
            </w:tcMar>
          </w:tcPr>
          <w:p w14:paraId="5C7C7C8D" w14:textId="77777777" w:rsidR="0008009C" w:rsidRDefault="00936FDF">
            <w:pPr>
              <w:textAlignment w:val="top"/>
            </w:pPr>
            <w:r>
              <w:rPr>
                <w:rFonts w:ascii="Arial" w:eastAsia="宋体" w:hAnsi="Arial" w:cs="Arial"/>
                <w:color w:val="262626"/>
                <w:sz w:val="18"/>
                <w:szCs w:val="18"/>
              </w:rPr>
              <w:t>Vice President of Finance, Corporate Controller and Principal Accounting Officer</w:t>
            </w:r>
          </w:p>
        </w:tc>
      </w:tr>
    </w:tbl>
    <w:p w14:paraId="5C7C7C8F" w14:textId="77777777" w:rsidR="0008009C" w:rsidRDefault="0008009C">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08009C" w14:paraId="5C7C7C99" w14:textId="77777777">
        <w:tc>
          <w:tcPr>
            <w:tcW w:w="50" w:type="pct"/>
            <w:shd w:val="clear" w:color="auto" w:fill="auto"/>
            <w:vAlign w:val="bottom"/>
          </w:tcPr>
          <w:p w14:paraId="5C7C7C90" w14:textId="77777777" w:rsidR="0008009C" w:rsidRDefault="0008009C">
            <w:pPr>
              <w:rPr>
                <w:rFonts w:ascii="宋体"/>
              </w:rPr>
            </w:pPr>
          </w:p>
        </w:tc>
        <w:tc>
          <w:tcPr>
            <w:tcW w:w="212" w:type="pct"/>
            <w:shd w:val="clear" w:color="auto" w:fill="auto"/>
            <w:vAlign w:val="bottom"/>
          </w:tcPr>
          <w:p w14:paraId="5C7C7C91" w14:textId="77777777" w:rsidR="0008009C" w:rsidRDefault="0008009C">
            <w:pPr>
              <w:rPr>
                <w:rFonts w:ascii="宋体"/>
              </w:rPr>
            </w:pPr>
          </w:p>
        </w:tc>
        <w:tc>
          <w:tcPr>
            <w:tcW w:w="5" w:type="pct"/>
            <w:shd w:val="clear" w:color="auto" w:fill="auto"/>
            <w:vAlign w:val="bottom"/>
          </w:tcPr>
          <w:p w14:paraId="5C7C7C92" w14:textId="77777777" w:rsidR="0008009C" w:rsidRDefault="0008009C">
            <w:pPr>
              <w:rPr>
                <w:rFonts w:ascii="宋体"/>
              </w:rPr>
            </w:pPr>
          </w:p>
        </w:tc>
        <w:tc>
          <w:tcPr>
            <w:tcW w:w="50" w:type="pct"/>
            <w:shd w:val="clear" w:color="auto" w:fill="auto"/>
            <w:vAlign w:val="bottom"/>
          </w:tcPr>
          <w:p w14:paraId="5C7C7C93" w14:textId="77777777" w:rsidR="0008009C" w:rsidRDefault="0008009C">
            <w:pPr>
              <w:rPr>
                <w:rFonts w:ascii="宋体"/>
              </w:rPr>
            </w:pPr>
          </w:p>
        </w:tc>
        <w:tc>
          <w:tcPr>
            <w:tcW w:w="2492" w:type="pct"/>
            <w:shd w:val="clear" w:color="auto" w:fill="auto"/>
            <w:vAlign w:val="bottom"/>
          </w:tcPr>
          <w:p w14:paraId="5C7C7C94" w14:textId="77777777" w:rsidR="0008009C" w:rsidRDefault="0008009C">
            <w:pPr>
              <w:rPr>
                <w:rFonts w:ascii="宋体"/>
              </w:rPr>
            </w:pPr>
          </w:p>
        </w:tc>
        <w:tc>
          <w:tcPr>
            <w:tcW w:w="5" w:type="pct"/>
            <w:shd w:val="clear" w:color="auto" w:fill="auto"/>
            <w:vAlign w:val="bottom"/>
          </w:tcPr>
          <w:p w14:paraId="5C7C7C95" w14:textId="77777777" w:rsidR="0008009C" w:rsidRDefault="0008009C">
            <w:pPr>
              <w:rPr>
                <w:rFonts w:ascii="宋体"/>
              </w:rPr>
            </w:pPr>
          </w:p>
        </w:tc>
        <w:tc>
          <w:tcPr>
            <w:tcW w:w="50" w:type="pct"/>
            <w:shd w:val="clear" w:color="auto" w:fill="auto"/>
            <w:vAlign w:val="bottom"/>
          </w:tcPr>
          <w:p w14:paraId="5C7C7C96" w14:textId="77777777" w:rsidR="0008009C" w:rsidRDefault="0008009C">
            <w:pPr>
              <w:rPr>
                <w:rFonts w:ascii="宋体"/>
              </w:rPr>
            </w:pPr>
          </w:p>
        </w:tc>
        <w:tc>
          <w:tcPr>
            <w:tcW w:w="2130" w:type="pct"/>
            <w:shd w:val="clear" w:color="auto" w:fill="auto"/>
            <w:vAlign w:val="bottom"/>
          </w:tcPr>
          <w:p w14:paraId="5C7C7C97" w14:textId="77777777" w:rsidR="0008009C" w:rsidRDefault="0008009C">
            <w:pPr>
              <w:rPr>
                <w:rFonts w:ascii="宋体"/>
              </w:rPr>
            </w:pPr>
          </w:p>
        </w:tc>
        <w:tc>
          <w:tcPr>
            <w:tcW w:w="5" w:type="pct"/>
            <w:shd w:val="clear" w:color="auto" w:fill="auto"/>
            <w:vAlign w:val="bottom"/>
          </w:tcPr>
          <w:p w14:paraId="5C7C7C98" w14:textId="77777777" w:rsidR="0008009C" w:rsidRDefault="0008009C">
            <w:pPr>
              <w:rPr>
                <w:rFonts w:ascii="宋体"/>
              </w:rPr>
            </w:pPr>
          </w:p>
        </w:tc>
      </w:tr>
      <w:tr w:rsidR="0008009C" w14:paraId="5C7C7C9D"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7C9A" w14:textId="77777777" w:rsidR="0008009C" w:rsidRDefault="00936FDF">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Viewer7_files/intc-20210327_g2.jpg"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C7C7D84" wp14:editId="5C7C7D85">
                  <wp:extent cx="304800" cy="304800"/>
                  <wp:effectExtent l="0" t="0" r="0" b="0"/>
                  <wp:docPr id="37" name="图片 136"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6"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5C7C7C9B" w14:textId="77777777" w:rsidR="0008009C" w:rsidRDefault="0008009C">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5C7C7C9C" w14:textId="77777777" w:rsidR="0008009C" w:rsidRDefault="00936FDF">
            <w:pPr>
              <w:jc w:val="right"/>
              <w:textAlignment w:val="center"/>
            </w:pPr>
            <w:r>
              <w:rPr>
                <w:rFonts w:ascii="Arial" w:eastAsia="宋体" w:hAnsi="Arial" w:cs="Arial"/>
                <w:color w:val="262626"/>
                <w:sz w:val="16"/>
                <w:szCs w:val="16"/>
              </w:rPr>
              <w:t>40</w:t>
            </w:r>
          </w:p>
        </w:tc>
      </w:tr>
    </w:tbl>
    <w:p w14:paraId="5C7C7C9E" w14:textId="77777777" w:rsidR="0008009C" w:rsidRDefault="00936FD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C7C7D86" wp14:editId="5C7C7D87">
                <wp:extent cx="635" cy="0"/>
                <wp:effectExtent l="0" t="0" r="0" b="0"/>
                <wp:docPr id="55" name="矩形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IXS9AA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p9z5sDSxP98//n71w9GDlJnCFhT0H24i5kfhlsvHpA5f92D69QHDKQx7VGOrZ4E5wMe0nZt&#10;tDmdCLNdUX9/Ul/tEhPkvHxLHYijv4L6mBQipk/KW5aNhkcqWLSG7S2mXBbqY0iu4fyNNqYM1jg2&#10;NPz9fJ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vIXS9A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009C" w14:paraId="5C7C7CA0" w14:textId="77777777">
        <w:trPr>
          <w:tblCellSpacing w:w="15" w:type="dxa"/>
        </w:trPr>
        <w:tc>
          <w:tcPr>
            <w:tcW w:w="0" w:type="auto"/>
            <w:shd w:val="clear" w:color="auto" w:fill="auto"/>
            <w:vAlign w:val="center"/>
          </w:tcPr>
          <w:p w14:paraId="5C7C7C9F" w14:textId="77777777" w:rsidR="0008009C" w:rsidRDefault="0008009C">
            <w:pPr>
              <w:rPr>
                <w:rFonts w:ascii="宋体"/>
              </w:rPr>
            </w:pPr>
          </w:p>
        </w:tc>
      </w:tr>
    </w:tbl>
    <w:p w14:paraId="5C7C7CA1" w14:textId="77777777" w:rsidR="0008009C" w:rsidRDefault="0008009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009C" w14:paraId="5C7C7CA3" w14:textId="77777777">
        <w:trPr>
          <w:tblCellSpacing w:w="15" w:type="dxa"/>
        </w:trPr>
        <w:tc>
          <w:tcPr>
            <w:tcW w:w="0" w:type="auto"/>
            <w:shd w:val="clear" w:color="auto" w:fill="auto"/>
            <w:vAlign w:val="center"/>
          </w:tcPr>
          <w:p w14:paraId="5C7C7CA2" w14:textId="77777777" w:rsidR="0008009C" w:rsidRDefault="0008009C">
            <w:pPr>
              <w:rPr>
                <w:rFonts w:ascii="宋体"/>
              </w:rPr>
            </w:pPr>
          </w:p>
        </w:tc>
      </w:tr>
    </w:tbl>
    <w:p w14:paraId="5C7C7CA4" w14:textId="77777777" w:rsidR="0008009C" w:rsidRDefault="0008009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009C" w14:paraId="5C7C7CA6" w14:textId="77777777">
        <w:trPr>
          <w:tblCellSpacing w:w="15" w:type="dxa"/>
        </w:trPr>
        <w:tc>
          <w:tcPr>
            <w:tcW w:w="0" w:type="auto"/>
            <w:shd w:val="clear" w:color="auto" w:fill="auto"/>
            <w:vAlign w:val="center"/>
          </w:tcPr>
          <w:p w14:paraId="5C7C7CA5" w14:textId="77777777" w:rsidR="0008009C" w:rsidRDefault="0008009C">
            <w:pPr>
              <w:rPr>
                <w:rFonts w:ascii="宋体"/>
              </w:rPr>
            </w:pPr>
          </w:p>
        </w:tc>
      </w:tr>
    </w:tbl>
    <w:p w14:paraId="5C7C7CA7" w14:textId="77777777" w:rsidR="0008009C" w:rsidRDefault="0008009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009C" w14:paraId="5C7C7CA9" w14:textId="77777777">
        <w:trPr>
          <w:tblCellSpacing w:w="15" w:type="dxa"/>
        </w:trPr>
        <w:tc>
          <w:tcPr>
            <w:tcW w:w="0" w:type="auto"/>
            <w:shd w:val="clear" w:color="auto" w:fill="auto"/>
            <w:vAlign w:val="center"/>
          </w:tcPr>
          <w:p w14:paraId="5C7C7CA8" w14:textId="77777777" w:rsidR="0008009C" w:rsidRDefault="0008009C">
            <w:pPr>
              <w:rPr>
                <w:rFonts w:ascii="宋体"/>
              </w:rPr>
            </w:pPr>
          </w:p>
        </w:tc>
      </w:tr>
    </w:tbl>
    <w:p w14:paraId="5C7C7CAA" w14:textId="77777777" w:rsidR="0008009C" w:rsidRDefault="00936FDF">
      <w:r>
        <w:rPr>
          <w:rFonts w:ascii="宋体" w:eastAsia="宋体" w:hAnsi="宋体" w:cs="宋体"/>
        </w:rPr>
        <w:t xml:space="preserve">Previous Next </w:t>
      </w:r>
    </w:p>
    <w:p w14:paraId="5C7C7CAB" w14:textId="77777777" w:rsidR="0008009C" w:rsidRDefault="00936FDF">
      <w:pPr>
        <w:pStyle w:val="a3"/>
      </w:pPr>
      <w:r>
        <w:t>Settings</w:t>
      </w:r>
    </w:p>
    <w:p w14:paraId="5C7C7CAC" w14:textId="77777777" w:rsidR="0008009C" w:rsidRDefault="00936FDF">
      <w:pPr>
        <w:pStyle w:val="Style4"/>
      </w:pPr>
      <w:r>
        <w:t>窗体顶端</w:t>
      </w:r>
    </w:p>
    <w:p w14:paraId="5C7C7CAD" w14:textId="77777777" w:rsidR="0008009C" w:rsidRDefault="00936FDF">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C7C7D88" wp14:editId="5C7C7D89">
                <wp:extent cx="635" cy="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4PRJAA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J4PRJA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5C7C7CAE" w14:textId="77777777" w:rsidR="0008009C" w:rsidRDefault="00936FDF">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C7C7D8A" wp14:editId="5C7C7D8B">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lfqd/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KV+p3/wEAABo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5C7C7CAF" w14:textId="77777777" w:rsidR="0008009C" w:rsidRDefault="00936FDF">
      <w:r>
        <w:pict w14:anchorId="5C7C7D8C">
          <v:rect id="_x0000_i1066" style="width:415.3pt;height:1.5pt" o:hralign="center" o:hrstd="t" o:hr="t" fillcolor="#a0a0a0" stroked="f"/>
        </w:pict>
      </w:r>
    </w:p>
    <w:p w14:paraId="5C7C7CB0" w14:textId="77777777" w:rsidR="0008009C" w:rsidRDefault="00936FDF">
      <w:r>
        <w:rPr>
          <w:rFonts w:ascii="宋体" w:eastAsia="宋体" w:hAnsi="宋体" w:cs="宋体"/>
        </w:rPr>
        <w:t xml:space="preserve">Tagged Data </w:t>
      </w:r>
    </w:p>
    <w:p w14:paraId="5C7C7CB1" w14:textId="77777777" w:rsidR="0008009C" w:rsidRDefault="00936FDF">
      <w:r>
        <w:rPr>
          <w:rFonts w:ascii="monospace" w:eastAsia="monospace" w:hAnsi="monospace" w:cs="monospace"/>
          <w:noProof/>
        </w:rPr>
        <mc:AlternateContent>
          <mc:Choice Requires="wps">
            <w:drawing>
              <wp:inline distT="0" distB="0" distL="114300" distR="114300" wp14:anchorId="5C7C7D8D" wp14:editId="5C7C7D8E">
                <wp:extent cx="635" cy="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bwE6gA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rSJlxy5sDSxH9/+/Hr53dGDlJnCFhT0EO4j5kfhjsvnpA5f9OD69Q1BtKYsnNs9SI4H3Cftm2j&#10;zelEmG2L+ruj+mqbmCDnxftzzsTBX0F9SAoR0yflLctGwyMVLFrD5g5TLgv1ISTXcP5WG1MGaxwb&#10;Gn55Ps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wbwE6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5C7C7CB2" w14:textId="77777777" w:rsidR="0008009C" w:rsidRDefault="00936FDF">
      <w:r>
        <w:rPr>
          <w:rFonts w:ascii="宋体" w:eastAsia="宋体" w:hAnsi="宋体" w:cs="宋体"/>
        </w:rPr>
        <w:t>Save</w:t>
      </w:r>
    </w:p>
    <w:p w14:paraId="5C7C7CB3" w14:textId="77777777" w:rsidR="0008009C" w:rsidRDefault="00936FDF">
      <w:r>
        <w:rPr>
          <w:rFonts w:ascii="宋体" w:eastAsia="宋体" w:hAnsi="宋体" w:cs="宋体"/>
        </w:rPr>
        <w:t>Reset</w:t>
      </w:r>
    </w:p>
    <w:p w14:paraId="5C7C7CB4" w14:textId="77777777" w:rsidR="0008009C" w:rsidRDefault="00936FDF">
      <w:r>
        <w:pict w14:anchorId="5C7C7D8F">
          <v:rect id="_x0000_i1067" style="width:415.3pt;height:1.5pt" o:hralign="center" o:hrstd="t" o:hr="t" fillcolor="#a0a0a0" stroked="f"/>
        </w:pict>
      </w:r>
    </w:p>
    <w:p w14:paraId="5C7C7CB5" w14:textId="77777777" w:rsidR="0008009C" w:rsidRDefault="00936FDF">
      <w:r>
        <w:rPr>
          <w:rFonts w:ascii="宋体" w:eastAsia="宋体" w:hAnsi="宋体" w:cs="宋体"/>
        </w:rPr>
        <w:t xml:space="preserve">Search Results </w:t>
      </w:r>
    </w:p>
    <w:p w14:paraId="5C7C7CB6" w14:textId="77777777" w:rsidR="0008009C" w:rsidRDefault="00936FDF">
      <w:r>
        <w:rPr>
          <w:rFonts w:ascii="monospace" w:eastAsia="monospace" w:hAnsi="monospace" w:cs="monospace"/>
          <w:noProof/>
        </w:rPr>
        <mc:AlternateContent>
          <mc:Choice Requires="wps">
            <w:drawing>
              <wp:inline distT="0" distB="0" distL="114300" distR="114300" wp14:anchorId="5C7C7D90" wp14:editId="5C7C7D91">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C7C7CB7" w14:textId="77777777" w:rsidR="0008009C" w:rsidRDefault="00936FDF">
      <w:r>
        <w:rPr>
          <w:rFonts w:ascii="宋体" w:eastAsia="宋体" w:hAnsi="宋体" w:cs="宋体"/>
        </w:rPr>
        <w:t>Save</w:t>
      </w:r>
    </w:p>
    <w:p w14:paraId="5C7C7CB8" w14:textId="77777777" w:rsidR="0008009C" w:rsidRDefault="00936FDF">
      <w:r>
        <w:rPr>
          <w:rFonts w:ascii="宋体" w:eastAsia="宋体" w:hAnsi="宋体" w:cs="宋体"/>
        </w:rPr>
        <w:t>Reset</w:t>
      </w:r>
    </w:p>
    <w:p w14:paraId="5C7C7CB9" w14:textId="77777777" w:rsidR="0008009C" w:rsidRDefault="00936FDF">
      <w:r>
        <w:pict w14:anchorId="5C7C7D92">
          <v:rect id="_x0000_i1068" style="width:415.3pt;height:1.5pt" o:hralign="center" o:hrstd="t" o:hr="t" fillcolor="#a0a0a0" stroked="f"/>
        </w:pict>
      </w:r>
    </w:p>
    <w:p w14:paraId="5C7C7CBA" w14:textId="77777777" w:rsidR="0008009C" w:rsidRDefault="00936FDF">
      <w:r>
        <w:rPr>
          <w:rFonts w:ascii="宋体" w:eastAsia="宋体" w:hAnsi="宋体" w:cs="宋体"/>
        </w:rPr>
        <w:t xml:space="preserve">Selected Fact </w:t>
      </w:r>
    </w:p>
    <w:p w14:paraId="5C7C7CBB" w14:textId="77777777" w:rsidR="0008009C" w:rsidRDefault="00936FDF">
      <w:r>
        <w:rPr>
          <w:rFonts w:ascii="monospace" w:eastAsia="monospace" w:hAnsi="monospace" w:cs="monospace"/>
          <w:noProof/>
        </w:rPr>
        <mc:AlternateContent>
          <mc:Choice Requires="wps">
            <w:drawing>
              <wp:inline distT="0" distB="0" distL="114300" distR="114300" wp14:anchorId="5C7C7D93" wp14:editId="5C7C7D94">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C7C7CBC" w14:textId="77777777" w:rsidR="0008009C" w:rsidRDefault="00936FDF">
      <w:r>
        <w:rPr>
          <w:rFonts w:ascii="宋体" w:eastAsia="宋体" w:hAnsi="宋体" w:cs="宋体"/>
        </w:rPr>
        <w:t>Save</w:t>
      </w:r>
    </w:p>
    <w:p w14:paraId="5C7C7CBD" w14:textId="77777777" w:rsidR="0008009C" w:rsidRDefault="00936FDF">
      <w:r>
        <w:rPr>
          <w:rFonts w:ascii="宋体" w:eastAsia="宋体" w:hAnsi="宋体" w:cs="宋体"/>
        </w:rPr>
        <w:t>Reset</w:t>
      </w:r>
    </w:p>
    <w:p w14:paraId="5C7C7CBE" w14:textId="77777777" w:rsidR="0008009C" w:rsidRDefault="00936FDF">
      <w:r>
        <w:pict w14:anchorId="5C7C7D95">
          <v:rect id="_x0000_i1069" style="width:415.3pt;height:1.5pt" o:hralign="center" o:hrstd="t" o:hr="t" fillcolor="#a0a0a0" stroked="f"/>
        </w:pict>
      </w:r>
    </w:p>
    <w:p w14:paraId="5C7C7CBF" w14:textId="77777777" w:rsidR="0008009C" w:rsidRDefault="00936FDF">
      <w:r>
        <w:rPr>
          <w:rFonts w:ascii="宋体" w:eastAsia="宋体" w:hAnsi="宋体" w:cs="宋体"/>
        </w:rPr>
        <w:t xml:space="preserve">Tag Shading (hover) </w:t>
      </w:r>
    </w:p>
    <w:p w14:paraId="5C7C7CC0" w14:textId="77777777" w:rsidR="0008009C" w:rsidRDefault="00936FDF">
      <w:r>
        <w:rPr>
          <w:rFonts w:ascii="monospace" w:eastAsia="monospace" w:hAnsi="monospace" w:cs="monospace"/>
          <w:noProof/>
        </w:rPr>
        <mc:AlternateContent>
          <mc:Choice Requires="wps">
            <w:drawing>
              <wp:inline distT="0" distB="0" distL="114300" distR="114300" wp14:anchorId="5C7C7D96" wp14:editId="5C7C7D97">
                <wp:extent cx="635" cy="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vfsWw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wkcWBp4r+//fj18zsjB6kzBKwp6CHcx8wPw50XT8icv+nBdeoaA2lMe5RjqxfB+YD7tG0b&#10;bU4nwmxb1N8d1VfbxAQ5L88vOBMHfwX1ISlETJ+UtywbDY9UsGgNmztMuSzUh5Bcw/lbbUwZrHFs&#10;aPiHi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cvfsW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5C7C7CC1" w14:textId="77777777" w:rsidR="0008009C" w:rsidRDefault="00936FDF">
      <w:r>
        <w:rPr>
          <w:rFonts w:ascii="宋体" w:eastAsia="宋体" w:hAnsi="宋体" w:cs="宋体"/>
        </w:rPr>
        <w:t>Save</w:t>
      </w:r>
    </w:p>
    <w:p w14:paraId="5C7C7CC2" w14:textId="77777777" w:rsidR="0008009C" w:rsidRDefault="00936FDF">
      <w:r>
        <w:rPr>
          <w:rFonts w:ascii="宋体" w:eastAsia="宋体" w:hAnsi="宋体" w:cs="宋体"/>
        </w:rPr>
        <w:t>Reset</w:t>
      </w:r>
    </w:p>
    <w:p w14:paraId="5C7C7CC3" w14:textId="77777777" w:rsidR="0008009C" w:rsidRDefault="00936FDF">
      <w:pPr>
        <w:pStyle w:val="Style5"/>
      </w:pPr>
      <w:r>
        <w:t>窗体底端</w:t>
      </w:r>
    </w:p>
    <w:p w14:paraId="5C7C7CC4" w14:textId="77777777" w:rsidR="0008009C" w:rsidRDefault="00936FD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C7C7D98" wp14:editId="5C7C7D99">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009C" w14:paraId="5C7C7CC6" w14:textId="77777777">
        <w:trPr>
          <w:tblCellSpacing w:w="15" w:type="dxa"/>
        </w:trPr>
        <w:tc>
          <w:tcPr>
            <w:tcW w:w="0" w:type="auto"/>
            <w:shd w:val="clear" w:color="auto" w:fill="auto"/>
            <w:vAlign w:val="center"/>
          </w:tcPr>
          <w:p w14:paraId="5C7C7CC5" w14:textId="77777777" w:rsidR="0008009C" w:rsidRDefault="0008009C">
            <w:pPr>
              <w:rPr>
                <w:rFonts w:ascii="宋体"/>
              </w:rPr>
            </w:pPr>
          </w:p>
        </w:tc>
      </w:tr>
    </w:tbl>
    <w:p w14:paraId="5C7C7CC7" w14:textId="77777777" w:rsidR="0008009C" w:rsidRDefault="0008009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009C" w14:paraId="5C7C7CC9" w14:textId="77777777">
        <w:trPr>
          <w:tblCellSpacing w:w="15" w:type="dxa"/>
        </w:trPr>
        <w:tc>
          <w:tcPr>
            <w:tcW w:w="0" w:type="auto"/>
            <w:shd w:val="clear" w:color="auto" w:fill="auto"/>
            <w:vAlign w:val="center"/>
          </w:tcPr>
          <w:p w14:paraId="5C7C7CC8" w14:textId="77777777" w:rsidR="0008009C" w:rsidRDefault="0008009C">
            <w:pPr>
              <w:rPr>
                <w:rFonts w:ascii="宋体"/>
              </w:rPr>
            </w:pPr>
          </w:p>
        </w:tc>
      </w:tr>
    </w:tbl>
    <w:p w14:paraId="5C7C7CCA" w14:textId="77777777" w:rsidR="0008009C" w:rsidRDefault="0008009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009C" w14:paraId="5C7C7CCC" w14:textId="77777777">
        <w:trPr>
          <w:tblCellSpacing w:w="15" w:type="dxa"/>
        </w:trPr>
        <w:tc>
          <w:tcPr>
            <w:tcW w:w="0" w:type="auto"/>
            <w:shd w:val="clear" w:color="auto" w:fill="auto"/>
            <w:vAlign w:val="center"/>
          </w:tcPr>
          <w:p w14:paraId="5C7C7CCB" w14:textId="77777777" w:rsidR="0008009C" w:rsidRDefault="0008009C">
            <w:pPr>
              <w:rPr>
                <w:rFonts w:ascii="宋体"/>
              </w:rPr>
            </w:pPr>
          </w:p>
        </w:tc>
      </w:tr>
    </w:tbl>
    <w:p w14:paraId="5C7C7CCD" w14:textId="77777777" w:rsidR="0008009C" w:rsidRDefault="0008009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009C" w14:paraId="5C7C7CCF" w14:textId="77777777">
        <w:trPr>
          <w:tblCellSpacing w:w="15" w:type="dxa"/>
        </w:trPr>
        <w:tc>
          <w:tcPr>
            <w:tcW w:w="0" w:type="auto"/>
            <w:shd w:val="clear" w:color="auto" w:fill="auto"/>
            <w:vAlign w:val="center"/>
          </w:tcPr>
          <w:p w14:paraId="5C7C7CCE" w14:textId="77777777" w:rsidR="0008009C" w:rsidRDefault="0008009C">
            <w:pPr>
              <w:rPr>
                <w:rFonts w:ascii="宋体"/>
              </w:rPr>
            </w:pPr>
          </w:p>
        </w:tc>
      </w:tr>
    </w:tbl>
    <w:p w14:paraId="5C7C7CD0" w14:textId="77777777" w:rsidR="0008009C" w:rsidRDefault="00936FDF">
      <w:r>
        <w:rPr>
          <w:rFonts w:ascii="宋体" w:eastAsia="宋体" w:hAnsi="宋体" w:cs="宋体"/>
        </w:rPr>
        <w:t xml:space="preserve">Previous Next </w:t>
      </w:r>
    </w:p>
    <w:p w14:paraId="5C7C7CD1" w14:textId="77777777" w:rsidR="0008009C" w:rsidRDefault="00936FDF">
      <w:pPr>
        <w:pStyle w:val="a3"/>
      </w:pPr>
      <w:r>
        <w:t xml:space="preserve">Nested Facts / </w:t>
      </w:r>
    </w:p>
    <w:p w14:paraId="5C7C7CD2" w14:textId="77777777" w:rsidR="0008009C" w:rsidRDefault="00936FDF">
      <w:r>
        <w:rPr>
          <w:rFonts w:ascii="宋体" w:eastAsia="宋体" w:hAnsi="宋体" w:cs="宋体"/>
        </w:rPr>
        <w:t xml:space="preserve">Previous Next </w:t>
      </w:r>
    </w:p>
    <w:p w14:paraId="5C7C7CD3" w14:textId="77777777" w:rsidR="0008009C" w:rsidRDefault="00936FD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C7C7D9A" wp14:editId="5C7C7D9B">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009C" w14:paraId="5C7C7CD5" w14:textId="77777777">
        <w:trPr>
          <w:tblCellSpacing w:w="15" w:type="dxa"/>
        </w:trPr>
        <w:tc>
          <w:tcPr>
            <w:tcW w:w="0" w:type="auto"/>
            <w:shd w:val="clear" w:color="auto" w:fill="auto"/>
            <w:vAlign w:val="center"/>
          </w:tcPr>
          <w:p w14:paraId="5C7C7CD4" w14:textId="77777777" w:rsidR="0008009C" w:rsidRDefault="0008009C">
            <w:pPr>
              <w:rPr>
                <w:rFonts w:ascii="宋体"/>
              </w:rPr>
            </w:pPr>
          </w:p>
        </w:tc>
      </w:tr>
    </w:tbl>
    <w:p w14:paraId="5C7C7CD6" w14:textId="77777777" w:rsidR="0008009C" w:rsidRDefault="0008009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009C" w14:paraId="5C7C7CD8" w14:textId="77777777">
        <w:trPr>
          <w:tblCellSpacing w:w="15" w:type="dxa"/>
        </w:trPr>
        <w:tc>
          <w:tcPr>
            <w:tcW w:w="0" w:type="auto"/>
            <w:shd w:val="clear" w:color="auto" w:fill="auto"/>
            <w:vAlign w:val="center"/>
          </w:tcPr>
          <w:p w14:paraId="5C7C7CD7" w14:textId="77777777" w:rsidR="0008009C" w:rsidRDefault="0008009C">
            <w:pPr>
              <w:rPr>
                <w:rFonts w:ascii="宋体"/>
              </w:rPr>
            </w:pPr>
          </w:p>
        </w:tc>
      </w:tr>
    </w:tbl>
    <w:p w14:paraId="5C7C7CD9" w14:textId="77777777" w:rsidR="0008009C" w:rsidRDefault="0008009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009C" w14:paraId="5C7C7CDB" w14:textId="77777777">
        <w:trPr>
          <w:tblCellSpacing w:w="15" w:type="dxa"/>
        </w:trPr>
        <w:tc>
          <w:tcPr>
            <w:tcW w:w="0" w:type="auto"/>
            <w:shd w:val="clear" w:color="auto" w:fill="auto"/>
            <w:vAlign w:val="center"/>
          </w:tcPr>
          <w:p w14:paraId="5C7C7CDA" w14:textId="77777777" w:rsidR="0008009C" w:rsidRDefault="0008009C">
            <w:pPr>
              <w:rPr>
                <w:rFonts w:ascii="宋体"/>
              </w:rPr>
            </w:pPr>
          </w:p>
        </w:tc>
      </w:tr>
    </w:tbl>
    <w:p w14:paraId="5C7C7CDC" w14:textId="77777777" w:rsidR="0008009C" w:rsidRDefault="0008009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009C" w14:paraId="5C7C7CDE" w14:textId="77777777">
        <w:trPr>
          <w:tblCellSpacing w:w="15" w:type="dxa"/>
        </w:trPr>
        <w:tc>
          <w:tcPr>
            <w:tcW w:w="0" w:type="auto"/>
            <w:shd w:val="clear" w:color="auto" w:fill="auto"/>
            <w:vAlign w:val="center"/>
          </w:tcPr>
          <w:p w14:paraId="5C7C7CDD" w14:textId="77777777" w:rsidR="0008009C" w:rsidRDefault="0008009C">
            <w:pPr>
              <w:rPr>
                <w:rFonts w:ascii="宋体"/>
              </w:rPr>
            </w:pPr>
          </w:p>
        </w:tc>
      </w:tr>
    </w:tbl>
    <w:p w14:paraId="5C7C7CDF" w14:textId="77777777" w:rsidR="0008009C" w:rsidRDefault="00936FDF">
      <w:r>
        <w:rPr>
          <w:rFonts w:ascii="宋体" w:eastAsia="宋体" w:hAnsi="宋体" w:cs="宋体"/>
        </w:rPr>
        <w:t xml:space="preserve">Previous Next </w:t>
      </w:r>
    </w:p>
    <w:p w14:paraId="5C7C7CE0" w14:textId="77777777" w:rsidR="0008009C" w:rsidRDefault="0008009C"/>
    <w:sectPr w:rsidR="0008009C">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C87A0" w14:textId="77777777" w:rsidR="00936FDF" w:rsidRDefault="00936FDF" w:rsidP="00936FDF">
      <w:r>
        <w:separator/>
      </w:r>
    </w:p>
  </w:endnote>
  <w:endnote w:type="continuationSeparator" w:id="0">
    <w:p w14:paraId="7660470C" w14:textId="77777777" w:rsidR="00936FDF" w:rsidRDefault="00936FDF" w:rsidP="00936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F82E1" w14:textId="77777777" w:rsidR="00936FDF" w:rsidRDefault="00936FDF" w:rsidP="00936FDF">
      <w:r>
        <w:separator/>
      </w:r>
    </w:p>
  </w:footnote>
  <w:footnote w:type="continuationSeparator" w:id="0">
    <w:p w14:paraId="1CE84D62" w14:textId="77777777" w:rsidR="00936FDF" w:rsidRDefault="00936FDF" w:rsidP="00936F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CD72137"/>
    <w:rsid w:val="BCD72137"/>
    <w:rsid w:val="0008009C"/>
    <w:rsid w:val="00936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7C4FAA"/>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936FD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36FDF"/>
    <w:rPr>
      <w:rFonts w:asciiTheme="minorEastAsia" w:hAnsiTheme="minorEastAsia" w:cs="Times New Roman"/>
      <w:sz w:val="18"/>
      <w:szCs w:val="18"/>
    </w:rPr>
  </w:style>
  <w:style w:type="paragraph" w:styleId="a8">
    <w:name w:val="footer"/>
    <w:basedOn w:val="a"/>
    <w:link w:val="a9"/>
    <w:rsid w:val="00936FDF"/>
    <w:pPr>
      <w:tabs>
        <w:tab w:val="center" w:pos="4153"/>
        <w:tab w:val="right" w:pos="8306"/>
      </w:tabs>
      <w:snapToGrid w:val="0"/>
    </w:pPr>
    <w:rPr>
      <w:sz w:val="18"/>
      <w:szCs w:val="18"/>
    </w:rPr>
  </w:style>
  <w:style w:type="character" w:customStyle="1" w:styleId="a9">
    <w:name w:val="页脚 字符"/>
    <w:basedOn w:val="a0"/>
    <w:link w:val="a8"/>
    <w:rsid w:val="00936FDF"/>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050863/000005086321000018/intc-20210327.htm" TargetMode="External"/><Relationship Id="rId21" Type="http://schemas.openxmlformats.org/officeDocument/2006/relationships/hyperlink" Target="https://www.sec.gov/ix?doc=/Archives/edgar/data/0000050863/000005086321000018/intc-20210327.htm" TargetMode="External"/><Relationship Id="rId42" Type="http://schemas.openxmlformats.org/officeDocument/2006/relationships/hyperlink" Target="https://www.sec.gov/ix?doc=/Archives/edgar/data/0000050863/000005086321000018/intc-20210327.htm" TargetMode="External"/><Relationship Id="rId47" Type="http://schemas.openxmlformats.org/officeDocument/2006/relationships/hyperlink" Target="https://www.sec.gov/ix?doc=/Archives/edgar/data/0000050863/000005086321000018/intc-20210327.htm" TargetMode="External"/><Relationship Id="rId63" Type="http://schemas.openxmlformats.org/officeDocument/2006/relationships/hyperlink" Target="http://www.sec.gov/Archives/edgar/data/50863/000005086306000102/edgar8kex3.txt" TargetMode="External"/><Relationship Id="rId68" Type="http://schemas.openxmlformats.org/officeDocument/2006/relationships/hyperlink" Target="https://www.sec.gov/Archives/edgar/data/50863/000119312521082782/d148850dex32.htm" TargetMode="External"/><Relationship Id="rId84" Type="http://schemas.openxmlformats.org/officeDocument/2006/relationships/hyperlink" Target="https://www.sec.gov/Archives/edgar/data/0000050863/000005086321000018/a3272021ex312.htm" TargetMode="External"/><Relationship Id="rId89" Type="http://schemas.openxmlformats.org/officeDocument/2006/relationships/hyperlink" Target="https://www.sec.gov/ix?doc=/Archives/edgar/data/0000050863/000005086321000018/intc-20210327.htm" TargetMode="External"/><Relationship Id="rId16" Type="http://schemas.openxmlformats.org/officeDocument/2006/relationships/hyperlink" Target="https://www.sec.gov/ix?doc=/Archives/edgar/data/0000050863/000005086321000018/intc-20210327.htm" TargetMode="External"/><Relationship Id="rId11" Type="http://schemas.openxmlformats.org/officeDocument/2006/relationships/hyperlink" Target="https://www.sec.gov/ix?doc=/Archives/edgar/data/0000050863/000005086321000018/intc-20210327.htm" TargetMode="External"/><Relationship Id="rId32" Type="http://schemas.openxmlformats.org/officeDocument/2006/relationships/hyperlink" Target="https://www.sec.gov/ix?doc=/Archives/edgar/data/0000050863/000005086321000018/intc-20210327.htm" TargetMode="External"/><Relationship Id="rId37" Type="http://schemas.openxmlformats.org/officeDocument/2006/relationships/hyperlink" Target="https://www.sec.gov/ix?doc=/Archives/edgar/data/0000050863/000005086321000018/intc-20210327.htm" TargetMode="External"/><Relationship Id="rId53" Type="http://schemas.openxmlformats.org/officeDocument/2006/relationships/hyperlink" Target="https://www.sec.gov/ix?doc=/Archives/edgar/data/0000050863/000005086321000018/intc-20210327.htm" TargetMode="External"/><Relationship Id="rId58" Type="http://schemas.openxmlformats.org/officeDocument/2006/relationships/hyperlink" Target="https://www.sec.gov/ix?doc=/Archives/edgar/data/0000050863/000005086321000018/intc-20210327.htm" TargetMode="External"/><Relationship Id="rId74" Type="http://schemas.openxmlformats.org/officeDocument/2006/relationships/hyperlink" Target="http://www.sec.gov/Archives/edgar/data/50863/000119312521009142/d82915dex101.htm" TargetMode="External"/><Relationship Id="rId79" Type="http://schemas.openxmlformats.org/officeDocument/2006/relationships/hyperlink" Target="https://www.sec.gov/Archives/edgar/data/0000050863/000005086321000018/a3272021ex106.htm" TargetMode="External"/><Relationship Id="rId102" Type="http://schemas.openxmlformats.org/officeDocument/2006/relationships/hyperlink" Target="https://www.sec.gov/ix?doc=/Archives/edgar/data/0000050863/000005086321000018/intc-20210327.htm" TargetMode="External"/><Relationship Id="rId5" Type="http://schemas.openxmlformats.org/officeDocument/2006/relationships/endnotes" Target="endnotes.xml"/><Relationship Id="rId90" Type="http://schemas.openxmlformats.org/officeDocument/2006/relationships/hyperlink" Target="https://www.sec.gov/ix?doc=/Archives/edgar/data/0000050863/000005086321000018/intc-20210327.htm" TargetMode="External"/><Relationship Id="rId95" Type="http://schemas.openxmlformats.org/officeDocument/2006/relationships/hyperlink" Target="https://www.sec.gov/ix?doc=/Archives/edgar/data/0000050863/000005086321000018/intc-20210327.htm" TargetMode="External"/><Relationship Id="rId22" Type="http://schemas.openxmlformats.org/officeDocument/2006/relationships/hyperlink" Target="https://www.sec.gov/ix?doc=/Archives/edgar/data/0000050863/000005086321000018/intc-20210327.htm" TargetMode="External"/><Relationship Id="rId27" Type="http://schemas.openxmlformats.org/officeDocument/2006/relationships/hyperlink" Target="https://www.sec.gov/ix?doc=/Archives/edgar/data/0000050863/000005086321000018/intc-20210327.htm" TargetMode="External"/><Relationship Id="rId43" Type="http://schemas.openxmlformats.org/officeDocument/2006/relationships/hyperlink" Target="https://www.sec.gov/ix?doc=/Archives/edgar/data/0000050863/000005086321000018/intc-20210327.htm" TargetMode="External"/><Relationship Id="rId48" Type="http://schemas.openxmlformats.org/officeDocument/2006/relationships/hyperlink" Target="https://www.sec.gov/ix?doc=/Archives/edgar/data/0000050863/000005086321000018/intc-20210327.htm" TargetMode="External"/><Relationship Id="rId64" Type="http://schemas.openxmlformats.org/officeDocument/2006/relationships/hyperlink" Target="https://www.sec.gov/Archives/edgar/data/50863/000119312521082782/d148850dex32.htm" TargetMode="External"/><Relationship Id="rId69" Type="http://schemas.openxmlformats.org/officeDocument/2006/relationships/hyperlink" Target="https://www.sec.gov/Archives/edgar/data/50863/000119312521082782/d148850dex32.htm" TargetMode="External"/><Relationship Id="rId80" Type="http://schemas.openxmlformats.org/officeDocument/2006/relationships/hyperlink" Target="https://www.sec.gov/Archives/edgar/data/0000050863/000005086321000018/a3272021ex107.htm" TargetMode="External"/><Relationship Id="rId85" Type="http://schemas.openxmlformats.org/officeDocument/2006/relationships/hyperlink" Target="https://www.sec.gov/Archives/edgar/data/0000050863/000005086321000018/a3272021ex321.htm" TargetMode="External"/><Relationship Id="rId12" Type="http://schemas.openxmlformats.org/officeDocument/2006/relationships/hyperlink" Target="https://www.sec.gov/ix?doc=/Archives/edgar/data/0000050863/000005086321000018/intc-20210327.htm" TargetMode="External"/><Relationship Id="rId17" Type="http://schemas.openxmlformats.org/officeDocument/2006/relationships/hyperlink" Target="https://www.sec.gov/ix?doc=/Archives/edgar/data/0000050863/000005086321000018/intc-20210327.htm" TargetMode="External"/><Relationship Id="rId25" Type="http://schemas.openxmlformats.org/officeDocument/2006/relationships/hyperlink" Target="https://www.sec.gov/ix?doc=/Archives/edgar/data/0000050863/000005086321000018/intc-20210327.htm" TargetMode="External"/><Relationship Id="rId33" Type="http://schemas.openxmlformats.org/officeDocument/2006/relationships/hyperlink" Target="https://www.sec.gov/ix?doc=/Archives/edgar/data/0000050863/000005086321000018/intc-20210327.htm" TargetMode="External"/><Relationship Id="rId38" Type="http://schemas.openxmlformats.org/officeDocument/2006/relationships/hyperlink" Target="https://www.sec.gov/ix?doc=/Archives/edgar/data/0000050863/000005086321000018/intc-20210327.htm" TargetMode="External"/><Relationship Id="rId46" Type="http://schemas.openxmlformats.org/officeDocument/2006/relationships/hyperlink" Target="https://www.sec.gov/ix?doc=/Archives/edgar/data/0000050863/000005086321000018/intc-20210327.htm" TargetMode="External"/><Relationship Id="rId59" Type="http://schemas.openxmlformats.org/officeDocument/2006/relationships/hyperlink" Target="https://www.sec.gov/ix?doc=/Archives/edgar/data/0000050863/000005086321000018/intc-20210327.htm" TargetMode="External"/><Relationship Id="rId67" Type="http://schemas.openxmlformats.org/officeDocument/2006/relationships/hyperlink" Target="https://www.sec.gov/Archives/edgar/data/50863/000119312521082782/d148850dex32.htm" TargetMode="External"/><Relationship Id="rId103" Type="http://schemas.openxmlformats.org/officeDocument/2006/relationships/fontTable" Target="fontTable.xml"/><Relationship Id="rId20" Type="http://schemas.openxmlformats.org/officeDocument/2006/relationships/hyperlink" Target="https://www.sec.gov/ix?doc=/Archives/edgar/data/0000050863/000005086321000018/intc-20210327.htm" TargetMode="External"/><Relationship Id="rId41" Type="http://schemas.openxmlformats.org/officeDocument/2006/relationships/hyperlink" Target="https://www.sec.gov/ix?doc=/Archives/edgar/data/0000050863/000005086321000018/intc-20210327.htm" TargetMode="External"/><Relationship Id="rId54" Type="http://schemas.openxmlformats.org/officeDocument/2006/relationships/hyperlink" Target="https://www.sec.gov/ix?doc=/Archives/edgar/data/0000050863/000005086321000018/intc-20210327.htm" TargetMode="External"/><Relationship Id="rId62" Type="http://schemas.openxmlformats.org/officeDocument/2006/relationships/hyperlink" Target="https://www.sec.gov/ix?doc=/Archives/edgar/data/0000050863/000005086321000018/intc-20210327.htm" TargetMode="External"/><Relationship Id="rId70" Type="http://schemas.openxmlformats.org/officeDocument/2006/relationships/hyperlink" Target="http://www.sec.gov/Archives/edgar/data/50863/000119312521009142/d82915dex101.htm" TargetMode="External"/><Relationship Id="rId75" Type="http://schemas.openxmlformats.org/officeDocument/2006/relationships/hyperlink" Target="https://www.sec.gov/Archives/edgar/data/50863/000119312521041697/d119051dex991.htm" TargetMode="External"/><Relationship Id="rId83" Type="http://schemas.openxmlformats.org/officeDocument/2006/relationships/hyperlink" Target="https://www.sec.gov/Archives/edgar/data/0000050863/000005086321000018/a3272021ex311.htm" TargetMode="External"/><Relationship Id="rId88" Type="http://schemas.openxmlformats.org/officeDocument/2006/relationships/hyperlink" Target="https://www.sec.gov/ix?doc=/Archives/edgar/data/0000050863/000005086321000018/intc-20210327.htm" TargetMode="External"/><Relationship Id="rId91" Type="http://schemas.openxmlformats.org/officeDocument/2006/relationships/hyperlink" Target="https://www.sec.gov/ix?doc=/Archives/edgar/data/0000050863/000005086321000018/intc-20210327.htm" TargetMode="External"/><Relationship Id="rId96" Type="http://schemas.openxmlformats.org/officeDocument/2006/relationships/hyperlink" Target="https://www.sec.gov/ix?doc=/Archives/edgar/data/0000050863/000005086321000018/intc-20210327.htm" TargetMode="External"/><Relationship Id="rId1" Type="http://schemas.openxmlformats.org/officeDocument/2006/relationships/styles" Target="styles.xml"/><Relationship Id="rId15" Type="http://schemas.openxmlformats.org/officeDocument/2006/relationships/hyperlink" Target="https://www.sec.gov/ix?doc=/Archives/edgar/data/0000050863/000005086321000018/intc-20210327.htm" TargetMode="External"/><Relationship Id="rId23" Type="http://schemas.openxmlformats.org/officeDocument/2006/relationships/hyperlink" Target="https://www.sec.gov/ix?doc=/Archives/edgar/data/0000050863/000005086321000018/intc-20210327.htm" TargetMode="External"/><Relationship Id="rId28" Type="http://schemas.openxmlformats.org/officeDocument/2006/relationships/hyperlink" Target="https://www.sec.gov/ix?doc=/Archives/edgar/data/0000050863/000005086321000018/intc-20210327.htm" TargetMode="External"/><Relationship Id="rId36" Type="http://schemas.openxmlformats.org/officeDocument/2006/relationships/hyperlink" Target="https://www.sec.gov/ix?doc=/Archives/edgar/data/0000050863/000005086321000018/intc-20210327.htm" TargetMode="External"/><Relationship Id="rId49" Type="http://schemas.openxmlformats.org/officeDocument/2006/relationships/hyperlink" Target="https://www.sec.gov/ix?doc=/Archives/edgar/data/0000050863/000005086321000018/intc-20210327.htm" TargetMode="External"/><Relationship Id="rId57" Type="http://schemas.openxmlformats.org/officeDocument/2006/relationships/hyperlink" Target="https://www.sec.gov/ix?doc=/Archives/edgar/data/0000050863/000005086321000018/intc-20210327.htm" TargetMode="External"/><Relationship Id="rId10" Type="http://schemas.openxmlformats.org/officeDocument/2006/relationships/hyperlink" Target="https://www.sec.gov/ix?doc=/Archives/edgar/data/0000050863/000005086321000018/intc-20210327.htm" TargetMode="External"/><Relationship Id="rId31" Type="http://schemas.openxmlformats.org/officeDocument/2006/relationships/hyperlink" Target="https://www.sec.gov/ix?doc=/Archives/edgar/data/0000050863/000005086321000018/intc-20210327.htm" TargetMode="External"/><Relationship Id="rId44" Type="http://schemas.openxmlformats.org/officeDocument/2006/relationships/hyperlink" Target="https://www.sec.gov/ix?doc=/Archives/edgar/data/0000050863/000005086321000018/intc-20210327.htm" TargetMode="External"/><Relationship Id="rId52" Type="http://schemas.openxmlformats.org/officeDocument/2006/relationships/hyperlink" Target="https://www.sec.gov/ix?doc=/Archives/edgar/data/0000050863/000005086321000018/intc-20210327.htm" TargetMode="External"/><Relationship Id="rId60" Type="http://schemas.openxmlformats.org/officeDocument/2006/relationships/hyperlink" Target="https://www.sec.gov/ix?doc=/Archives/edgar/data/0000050863/000005086321000018/intc-20210327.htm" TargetMode="External"/><Relationship Id="rId65" Type="http://schemas.openxmlformats.org/officeDocument/2006/relationships/hyperlink" Target="https://www.sec.gov/Archives/edgar/data/50863/000119312521082782/d148850dex32.htm" TargetMode="External"/><Relationship Id="rId73" Type="http://schemas.openxmlformats.org/officeDocument/2006/relationships/hyperlink" Target="http://www.sec.gov/Archives/edgar/data/50863/000119312521009142/d82915dex101.htm" TargetMode="External"/><Relationship Id="rId78" Type="http://schemas.openxmlformats.org/officeDocument/2006/relationships/hyperlink" Target="https://www.sec.gov/Archives/edgar/data/0000050863/000005086321000018/a3272021ex105.htm" TargetMode="External"/><Relationship Id="rId81" Type="http://schemas.openxmlformats.org/officeDocument/2006/relationships/hyperlink" Target="https://www.sec.gov/Archives/edgar/data/0000050863/000005086321000018/a3272021ex108.htm" TargetMode="External"/><Relationship Id="rId86" Type="http://schemas.openxmlformats.org/officeDocument/2006/relationships/hyperlink" Target="https://www.sec.gov/ix?doc=/Archives/edgar/data/0000050863/000005086321000018/intc-20210327.htm" TargetMode="External"/><Relationship Id="rId94" Type="http://schemas.openxmlformats.org/officeDocument/2006/relationships/hyperlink" Target="https://www.sec.gov/ix?doc=/Archives/edgar/data/0000050863/000005086321000018/intc-20210327.htm" TargetMode="External"/><Relationship Id="rId99" Type="http://schemas.openxmlformats.org/officeDocument/2006/relationships/hyperlink" Target="https://www.sec.gov/ix?doc=/Archives/edgar/data/0000050863/000005086321000018/intc-20210327.htm" TargetMode="External"/><Relationship Id="rId101" Type="http://schemas.openxmlformats.org/officeDocument/2006/relationships/hyperlink" Target="https://www.sec.gov/ix?doc=/Archives/edgar/data/0000050863/000005086321000018/intc-20210327.htm" TargetMode="External"/><Relationship Id="rId4" Type="http://schemas.openxmlformats.org/officeDocument/2006/relationships/footnotes" Target="footnotes.xml"/><Relationship Id="rId9" Type="http://schemas.openxmlformats.org/officeDocument/2006/relationships/hyperlink" Target="https://www.sec.gov/ix?doc=/Archives/edgar/data/0000050863/000005086321000018/intc-20210327.htm" TargetMode="External"/><Relationship Id="rId13" Type="http://schemas.openxmlformats.org/officeDocument/2006/relationships/hyperlink" Target="https://www.sec.gov/ix?doc=/Archives/edgar/data/0000050863/000005086321000018/intc-20210327.htm" TargetMode="External"/><Relationship Id="rId18" Type="http://schemas.openxmlformats.org/officeDocument/2006/relationships/hyperlink" Target="https://www.sec.gov/ix?doc=/Archives/edgar/data/0000050863/000005086321000018/intc-20210327.htm" TargetMode="External"/><Relationship Id="rId39" Type="http://schemas.openxmlformats.org/officeDocument/2006/relationships/hyperlink" Target="https://www.sec.gov/ix?doc=/Archives/edgar/data/0000050863/000005086321000018/intc-20210327.htm" TargetMode="External"/><Relationship Id="rId34" Type="http://schemas.openxmlformats.org/officeDocument/2006/relationships/hyperlink" Target="https://www.sec.gov/ix?doc=/Archives/edgar/data/0000050863/000005086321000018/intc-20210327.htm" TargetMode="External"/><Relationship Id="rId50" Type="http://schemas.openxmlformats.org/officeDocument/2006/relationships/hyperlink" Target="https://www.sec.gov/ix?doc=/Archives/edgar/data/0000050863/000005086321000018/intc-20210327.htm" TargetMode="External"/><Relationship Id="rId55" Type="http://schemas.openxmlformats.org/officeDocument/2006/relationships/hyperlink" Target="https://www.sec.gov/ix?doc=/Archives/edgar/data/0000050863/000005086321000018/intc-20210327.htm" TargetMode="External"/><Relationship Id="rId76" Type="http://schemas.openxmlformats.org/officeDocument/2006/relationships/hyperlink" Target="https://www.sec.gov/Archives/edgar/data/0000050863/000005086321000018/a3272021ex103.htm" TargetMode="External"/><Relationship Id="rId97" Type="http://schemas.openxmlformats.org/officeDocument/2006/relationships/hyperlink" Target="https://www.sec.gov/ix?doc=/Archives/edgar/data/0000050863/000005086321000018/intc-20210327.htm" TargetMode="External"/><Relationship Id="rId104" Type="http://schemas.openxmlformats.org/officeDocument/2006/relationships/theme" Target="theme/theme1.xml"/><Relationship Id="rId7" Type="http://schemas.openxmlformats.org/officeDocument/2006/relationships/hyperlink" Target="https://www.sec.gov/ix?doc=/Archives/edgar/data/0000050863/000005086321000018/intc-20210327.htm" TargetMode="External"/><Relationship Id="rId71" Type="http://schemas.openxmlformats.org/officeDocument/2006/relationships/hyperlink" Target="http://www.sec.gov/Archives/edgar/data/50863/000119312521009142/d82915dex101.htm" TargetMode="External"/><Relationship Id="rId92" Type="http://schemas.openxmlformats.org/officeDocument/2006/relationships/hyperlink" Target="https://www.sec.gov/ix?doc=/Archives/edgar/data/0000050863/000005086321000018/intc-20210327.htm" TargetMode="External"/><Relationship Id="rId2" Type="http://schemas.openxmlformats.org/officeDocument/2006/relationships/settings" Target="settings.xml"/><Relationship Id="rId29" Type="http://schemas.openxmlformats.org/officeDocument/2006/relationships/hyperlink" Target="https://www.sec.gov/ix?doc=/Archives/edgar/data/0000050863/000005086321000018/intc-20210327.htm" TargetMode="External"/><Relationship Id="rId24" Type="http://schemas.openxmlformats.org/officeDocument/2006/relationships/hyperlink" Target="https://www.sec.gov/ix?doc=/Archives/edgar/data/0000050863/000005086321000018/intc-20210327.htm" TargetMode="External"/><Relationship Id="rId40" Type="http://schemas.openxmlformats.org/officeDocument/2006/relationships/hyperlink" Target="https://www.sec.gov/ix?doc=/Archives/edgar/data/0000050863/000005086321000018/intc-20210327.htm" TargetMode="External"/><Relationship Id="rId45" Type="http://schemas.openxmlformats.org/officeDocument/2006/relationships/hyperlink" Target="https://www.sec.gov/ix?doc=/Archives/edgar/data/0000050863/000005086321000018/intc-20210327.htm" TargetMode="External"/><Relationship Id="rId66" Type="http://schemas.openxmlformats.org/officeDocument/2006/relationships/hyperlink" Target="https://www.sec.gov/Archives/edgar/data/50863/000119312521082782/d148850dex32.htm" TargetMode="External"/><Relationship Id="rId87" Type="http://schemas.openxmlformats.org/officeDocument/2006/relationships/hyperlink" Target="https://www.sec.gov/ix?doc=/Archives/edgar/data/0000050863/000005086321000018/intc-20210327.htm" TargetMode="External"/><Relationship Id="rId61" Type="http://schemas.openxmlformats.org/officeDocument/2006/relationships/hyperlink" Target="https://www.sec.gov/ix?doc=/Archives/edgar/data/0000050863/000005086321000018/intc-20210327.htm" TargetMode="External"/><Relationship Id="rId82" Type="http://schemas.openxmlformats.org/officeDocument/2006/relationships/hyperlink" Target="https://www.sec.gov/Archives/edgar/data/0000050863/000005086321000018/a3272021ex109.htm" TargetMode="External"/><Relationship Id="rId19" Type="http://schemas.openxmlformats.org/officeDocument/2006/relationships/hyperlink" Target="https://www.sec.gov/ix?doc=/Archives/edgar/data/0000050863/000005086321000018/intc-20210327.htm" TargetMode="External"/><Relationship Id="rId14" Type="http://schemas.openxmlformats.org/officeDocument/2006/relationships/hyperlink" Target="https://www.sec.gov/ix?doc=/Archives/edgar/data/0000050863/000005086321000018/intc-20210327.htm" TargetMode="External"/><Relationship Id="rId30" Type="http://schemas.openxmlformats.org/officeDocument/2006/relationships/hyperlink" Target="https://www.sec.gov/ix?doc=/Archives/edgar/data/0000050863/000005086321000018/intc-20210327.htm" TargetMode="External"/><Relationship Id="rId35" Type="http://schemas.openxmlformats.org/officeDocument/2006/relationships/hyperlink" Target="https://www.sec.gov/ix?doc=/Archives/edgar/data/0000050863/000005086321000018/intc-20210327.htm" TargetMode="External"/><Relationship Id="rId56" Type="http://schemas.openxmlformats.org/officeDocument/2006/relationships/hyperlink" Target="https://www.sec.gov/ix?doc=/Archives/edgar/data/0000050863/000005086321000018/intc-20210327.htm" TargetMode="External"/><Relationship Id="rId77" Type="http://schemas.openxmlformats.org/officeDocument/2006/relationships/hyperlink" Target="https://www.sec.gov/Archives/edgar/data/0000050863/000005086321000018/a3272021ex104.htm" TargetMode="External"/><Relationship Id="rId100" Type="http://schemas.openxmlformats.org/officeDocument/2006/relationships/hyperlink" Target="https://www.sec.gov/ix?doc=/Archives/edgar/data/0000050863/000005086321000018/intc-20210327.htm" TargetMode="External"/><Relationship Id="rId8" Type="http://schemas.openxmlformats.org/officeDocument/2006/relationships/hyperlink" Target="https://www.sec.gov/ix?doc=/Archives/edgar/data/0000050863/000005086321000018/intc-20210327.htm" TargetMode="External"/><Relationship Id="rId51" Type="http://schemas.openxmlformats.org/officeDocument/2006/relationships/hyperlink" Target="https://www.sec.gov/ix?doc=/Archives/edgar/data/0000050863/000005086321000018/intc-20210327.htm" TargetMode="External"/><Relationship Id="rId72" Type="http://schemas.openxmlformats.org/officeDocument/2006/relationships/hyperlink" Target="http://www.sec.gov/Archives/edgar/data/50863/000119312521009142/d82915dex101.htm" TargetMode="External"/><Relationship Id="rId93" Type="http://schemas.openxmlformats.org/officeDocument/2006/relationships/hyperlink" Target="https://www.sec.gov/ix?doc=/Archives/edgar/data/0000050863/000005086321000018/intc-20210327.htm" TargetMode="External"/><Relationship Id="rId98" Type="http://schemas.openxmlformats.org/officeDocument/2006/relationships/hyperlink" Target="https://www.sec.gov/ix?doc=/Archives/edgar/data/0000050863/000005086321000018/intc-20210327.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26582</Words>
  <Characters>151519</Characters>
  <Application>Microsoft Office Word</Application>
  <DocSecurity>0</DocSecurity>
  <Lines>1262</Lines>
  <Paragraphs>355</Paragraphs>
  <ScaleCrop>false</ScaleCrop>
  <Company/>
  <LinksUpToDate>false</LinksUpToDate>
  <CharactersWithSpaces>177746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2023-02-11T20:00:00Z</dcterms:created>
  <dcterms:modified xsi:type="dcterms:W3CDTF">2023-02-13T11:18:00Z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2083307E2665FBF27183E763C7413512</vt:lpwstr>
  </property>
</Properties>
</file>